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41774" w14:textId="77777777" w:rsidR="00A70B58" w:rsidRDefault="00A70B58">
      <w:pPr>
        <w:spacing w:before="280"/>
        <w:jc w:val="center"/>
        <w:rPr>
          <w:b/>
          <w:bCs/>
          <w:sz w:val="28"/>
          <w:szCs w:val="28"/>
        </w:rPr>
      </w:pPr>
    </w:p>
    <w:p w14:paraId="6FFCFAFD" w14:textId="77777777" w:rsidR="00136DAA" w:rsidRDefault="00136DAA" w:rsidP="00136DAA">
      <w:pPr>
        <w:spacing w:before="280"/>
        <w:jc w:val="center"/>
        <w:rPr>
          <w:b/>
          <w:bCs/>
          <w:sz w:val="28"/>
          <w:szCs w:val="28"/>
        </w:rPr>
      </w:pPr>
    </w:p>
    <w:p w14:paraId="5735A08A" w14:textId="77777777" w:rsidR="00136DAA" w:rsidRDefault="00136DAA" w:rsidP="00136DAA">
      <w:pPr>
        <w:spacing w:before="280"/>
        <w:jc w:val="center"/>
        <w:rPr>
          <w:b/>
          <w:bCs/>
          <w:sz w:val="28"/>
          <w:szCs w:val="28"/>
        </w:rPr>
      </w:pPr>
      <w:r>
        <w:rPr>
          <w:b/>
          <w:bCs/>
          <w:noProof/>
          <w:sz w:val="28"/>
          <w:szCs w:val="28"/>
        </w:rPr>
        <w:drawing>
          <wp:inline distT="114300" distB="114300" distL="114300" distR="114300" wp14:anchorId="57725DAE" wp14:editId="5980D3F2">
            <wp:extent cx="2781300" cy="154305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781300" cy="1543050"/>
                    </a:xfrm>
                    <a:prstGeom prst="rect">
                      <a:avLst/>
                    </a:prstGeom>
                    <a:ln/>
                  </pic:spPr>
                </pic:pic>
              </a:graphicData>
            </a:graphic>
          </wp:inline>
        </w:drawing>
      </w:r>
    </w:p>
    <w:p w14:paraId="3F5CA5E0" w14:textId="77777777" w:rsidR="00136DAA" w:rsidRDefault="00136DAA" w:rsidP="00136DAA">
      <w:pPr>
        <w:spacing w:before="280"/>
        <w:jc w:val="center"/>
        <w:rPr>
          <w:b/>
          <w:bCs/>
          <w:sz w:val="28"/>
          <w:szCs w:val="28"/>
        </w:rPr>
      </w:pPr>
      <w:r>
        <w:rPr>
          <w:b/>
          <w:bCs/>
          <w:sz w:val="28"/>
          <w:szCs w:val="28"/>
        </w:rPr>
        <w:t>Assessment component: Financial performance and management of Toyota Motor Corporation</w:t>
      </w:r>
    </w:p>
    <w:p w14:paraId="605450C0" w14:textId="77777777" w:rsidR="00136DAA" w:rsidRDefault="00136DAA" w:rsidP="00136DAA">
      <w:pPr>
        <w:spacing w:before="280"/>
        <w:jc w:val="center"/>
        <w:rPr>
          <w:b/>
          <w:bCs/>
          <w:sz w:val="28"/>
          <w:szCs w:val="28"/>
        </w:rPr>
      </w:pPr>
      <w:r>
        <w:rPr>
          <w:b/>
          <w:bCs/>
          <w:sz w:val="28"/>
          <w:szCs w:val="28"/>
        </w:rPr>
        <w:t>Student ID: 2529416</w:t>
      </w:r>
    </w:p>
    <w:p w14:paraId="1DAAAF71" w14:textId="77777777" w:rsidR="00136DAA" w:rsidRDefault="00136DAA" w:rsidP="00136DAA">
      <w:pPr>
        <w:spacing w:before="280"/>
        <w:jc w:val="center"/>
        <w:rPr>
          <w:b/>
          <w:bCs/>
          <w:sz w:val="28"/>
          <w:szCs w:val="28"/>
        </w:rPr>
      </w:pPr>
      <w:r>
        <w:rPr>
          <w:b/>
          <w:bCs/>
          <w:sz w:val="28"/>
          <w:szCs w:val="28"/>
        </w:rPr>
        <w:t>Student Name: Dhruv Jaysukhbhai Pansuriya</w:t>
      </w:r>
    </w:p>
    <w:p w14:paraId="381945C9" w14:textId="77777777" w:rsidR="00136DAA" w:rsidRDefault="00136DAA" w:rsidP="00136DAA">
      <w:pPr>
        <w:spacing w:before="280"/>
        <w:jc w:val="center"/>
        <w:rPr>
          <w:b/>
          <w:bCs/>
          <w:sz w:val="28"/>
          <w:szCs w:val="28"/>
        </w:rPr>
      </w:pPr>
      <w:r>
        <w:rPr>
          <w:b/>
          <w:bCs/>
          <w:sz w:val="28"/>
          <w:szCs w:val="28"/>
        </w:rPr>
        <w:t>Course Name :- Financial Management</w:t>
      </w:r>
    </w:p>
    <w:p w14:paraId="3C9711A7" w14:textId="77777777" w:rsidR="00136DAA" w:rsidRDefault="00136DAA" w:rsidP="00136DAA">
      <w:pPr>
        <w:spacing w:before="280"/>
        <w:jc w:val="center"/>
        <w:rPr>
          <w:b/>
          <w:bCs/>
          <w:sz w:val="28"/>
          <w:szCs w:val="28"/>
        </w:rPr>
      </w:pPr>
      <w:r>
        <w:rPr>
          <w:b/>
          <w:bCs/>
          <w:sz w:val="28"/>
          <w:szCs w:val="28"/>
        </w:rPr>
        <w:t xml:space="preserve">Lecturer Name :- </w:t>
      </w:r>
      <w:proofErr w:type="spellStart"/>
      <w:r>
        <w:rPr>
          <w:b/>
          <w:bCs/>
          <w:sz w:val="28"/>
          <w:szCs w:val="28"/>
        </w:rPr>
        <w:t>Shengfeng</w:t>
      </w:r>
      <w:proofErr w:type="spellEnd"/>
      <w:r>
        <w:rPr>
          <w:b/>
          <w:bCs/>
          <w:sz w:val="28"/>
          <w:szCs w:val="28"/>
        </w:rPr>
        <w:t xml:space="preserve"> Mai</w:t>
      </w:r>
    </w:p>
    <w:p w14:paraId="0A8D0126" w14:textId="77777777" w:rsidR="00136DAA" w:rsidRDefault="00136DAA" w:rsidP="00136DAA">
      <w:pPr>
        <w:spacing w:before="280"/>
        <w:jc w:val="center"/>
        <w:rPr>
          <w:b/>
          <w:bCs/>
          <w:sz w:val="28"/>
          <w:szCs w:val="28"/>
        </w:rPr>
      </w:pPr>
      <w:r>
        <w:rPr>
          <w:b/>
          <w:bCs/>
          <w:sz w:val="28"/>
          <w:szCs w:val="28"/>
        </w:rPr>
        <w:t>Term :- February 2026</w:t>
      </w:r>
    </w:p>
    <w:p w14:paraId="5E71BB3C" w14:textId="090CA4E0" w:rsidR="00136DAA" w:rsidRDefault="00136DAA" w:rsidP="00136DAA">
      <w:pPr>
        <w:spacing w:before="280"/>
        <w:jc w:val="center"/>
        <w:rPr>
          <w:b/>
          <w:bCs/>
          <w:sz w:val="28"/>
          <w:szCs w:val="28"/>
        </w:rPr>
      </w:pPr>
      <w:r>
        <w:rPr>
          <w:b/>
          <w:bCs/>
          <w:sz w:val="28"/>
          <w:szCs w:val="28"/>
        </w:rPr>
        <w:t>Word Count :- 52</w:t>
      </w:r>
      <w:r w:rsidR="00E22199">
        <w:rPr>
          <w:b/>
          <w:bCs/>
          <w:sz w:val="28"/>
          <w:szCs w:val="28"/>
        </w:rPr>
        <w:t>83</w:t>
      </w:r>
    </w:p>
    <w:p w14:paraId="4C28E1FC" w14:textId="77777777" w:rsidR="00136DAA" w:rsidRDefault="00136DAA" w:rsidP="00136DAA">
      <w:pPr>
        <w:spacing w:before="280"/>
        <w:jc w:val="center"/>
        <w:rPr>
          <w:b/>
          <w:bCs/>
          <w:sz w:val="28"/>
          <w:szCs w:val="28"/>
        </w:rPr>
      </w:pPr>
      <w:r>
        <w:rPr>
          <w:b/>
          <w:bCs/>
          <w:sz w:val="28"/>
          <w:szCs w:val="28"/>
        </w:rPr>
        <w:t>Submission Deadline :- 24</w:t>
      </w:r>
      <w:r w:rsidRPr="0074086A">
        <w:rPr>
          <w:b/>
          <w:bCs/>
          <w:sz w:val="28"/>
          <w:szCs w:val="28"/>
          <w:vertAlign w:val="superscript"/>
        </w:rPr>
        <w:t>th</w:t>
      </w:r>
      <w:r>
        <w:rPr>
          <w:b/>
          <w:bCs/>
          <w:sz w:val="28"/>
          <w:szCs w:val="28"/>
        </w:rPr>
        <w:t xml:space="preserve"> April 2026</w:t>
      </w:r>
    </w:p>
    <w:p w14:paraId="1D635608" w14:textId="77777777" w:rsidR="00A70B58" w:rsidRDefault="00F252D5">
      <w:pPr>
        <w:spacing w:before="280"/>
        <w:jc w:val="center"/>
      </w:pPr>
      <w:r>
        <w:br w:type="page"/>
      </w:r>
    </w:p>
    <w:bookmarkStart w:id="0" w:name="_5fkc4sef1em6" w:colFirst="0" w:colLast="0" w:displacedByCustomXml="next"/>
    <w:bookmarkEnd w:id="0" w:displacedByCustomXml="next"/>
    <w:sdt>
      <w:sdtPr>
        <w:rPr>
          <w:rFonts w:ascii="Times New Roman" w:eastAsia="Times New Roman" w:hAnsi="Times New Roman" w:cs="Times New Roman"/>
          <w:color w:val="auto"/>
          <w:sz w:val="24"/>
          <w:szCs w:val="24"/>
          <w:lang w:val="en" w:eastAsia="en-IN"/>
        </w:rPr>
        <w:id w:val="1511561531"/>
        <w:docPartObj>
          <w:docPartGallery w:val="Table of Contents"/>
          <w:docPartUnique/>
        </w:docPartObj>
      </w:sdtPr>
      <w:sdtEndPr>
        <w:rPr>
          <w:b/>
          <w:bCs/>
        </w:rPr>
      </w:sdtEndPr>
      <w:sdtContent>
        <w:p w14:paraId="06E82F2D" w14:textId="77777777" w:rsidR="00A70B58" w:rsidRDefault="00F252D5">
          <w:pPr>
            <w:pStyle w:val="TOCHeading1"/>
            <w:jc w:val="center"/>
            <w:rPr>
              <w:rFonts w:ascii="Times New Roman" w:hAnsi="Times New Roman" w:cs="Times New Roman"/>
              <w:b/>
              <w:bCs/>
              <w:color w:val="000000" w:themeColor="text1"/>
            </w:rPr>
          </w:pPr>
          <w:r>
            <w:rPr>
              <w:rFonts w:ascii="Times New Roman" w:hAnsi="Times New Roman" w:cs="Times New Roman"/>
              <w:b/>
              <w:bCs/>
              <w:color w:val="000000" w:themeColor="text1"/>
            </w:rPr>
            <w:t>Table of Contents</w:t>
          </w:r>
        </w:p>
        <w:p w14:paraId="22E83247" w14:textId="5147CD6D" w:rsidR="007F2FB4" w:rsidRDefault="00F252D5">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27747721" w:history="1">
            <w:r w:rsidR="007F2FB4" w:rsidRPr="00CF4819">
              <w:rPr>
                <w:rStyle w:val="Hyperlink"/>
                <w:noProof/>
              </w:rPr>
              <w:t>1. Introduction</w:t>
            </w:r>
            <w:r w:rsidR="007F2FB4">
              <w:rPr>
                <w:noProof/>
                <w:webHidden/>
              </w:rPr>
              <w:tab/>
            </w:r>
            <w:r w:rsidR="007F2FB4">
              <w:rPr>
                <w:noProof/>
                <w:webHidden/>
              </w:rPr>
              <w:fldChar w:fldCharType="begin"/>
            </w:r>
            <w:r w:rsidR="007F2FB4">
              <w:rPr>
                <w:noProof/>
                <w:webHidden/>
              </w:rPr>
              <w:instrText xml:space="preserve"> PAGEREF _Toc227747721 \h </w:instrText>
            </w:r>
            <w:r w:rsidR="007F2FB4">
              <w:rPr>
                <w:noProof/>
                <w:webHidden/>
              </w:rPr>
            </w:r>
            <w:r w:rsidR="007F2FB4">
              <w:rPr>
                <w:noProof/>
                <w:webHidden/>
              </w:rPr>
              <w:fldChar w:fldCharType="separate"/>
            </w:r>
            <w:r w:rsidR="007F2FB4">
              <w:rPr>
                <w:noProof/>
                <w:webHidden/>
              </w:rPr>
              <w:t>5</w:t>
            </w:r>
            <w:r w:rsidR="007F2FB4">
              <w:rPr>
                <w:noProof/>
                <w:webHidden/>
              </w:rPr>
              <w:fldChar w:fldCharType="end"/>
            </w:r>
          </w:hyperlink>
        </w:p>
        <w:p w14:paraId="40DD9ABF" w14:textId="143356C8"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22" w:history="1">
            <w:r w:rsidRPr="00CF4819">
              <w:rPr>
                <w:rStyle w:val="Hyperlink"/>
                <w:noProof/>
              </w:rPr>
              <w:t>1.1 Company Overview</w:t>
            </w:r>
            <w:r>
              <w:rPr>
                <w:noProof/>
                <w:webHidden/>
              </w:rPr>
              <w:tab/>
            </w:r>
            <w:r>
              <w:rPr>
                <w:noProof/>
                <w:webHidden/>
              </w:rPr>
              <w:fldChar w:fldCharType="begin"/>
            </w:r>
            <w:r>
              <w:rPr>
                <w:noProof/>
                <w:webHidden/>
              </w:rPr>
              <w:instrText xml:space="preserve"> PAGEREF _Toc227747722 \h </w:instrText>
            </w:r>
            <w:r>
              <w:rPr>
                <w:noProof/>
                <w:webHidden/>
              </w:rPr>
            </w:r>
            <w:r>
              <w:rPr>
                <w:noProof/>
                <w:webHidden/>
              </w:rPr>
              <w:fldChar w:fldCharType="separate"/>
            </w:r>
            <w:r>
              <w:rPr>
                <w:noProof/>
                <w:webHidden/>
              </w:rPr>
              <w:t>5</w:t>
            </w:r>
            <w:r>
              <w:rPr>
                <w:noProof/>
                <w:webHidden/>
              </w:rPr>
              <w:fldChar w:fldCharType="end"/>
            </w:r>
          </w:hyperlink>
        </w:p>
        <w:p w14:paraId="108659C5" w14:textId="3AAD9A1F"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23" w:history="1">
            <w:r w:rsidRPr="00CF4819">
              <w:rPr>
                <w:rStyle w:val="Hyperlink"/>
                <w:noProof/>
              </w:rPr>
              <w:t>1.2 Purpose and Scope of the Report</w:t>
            </w:r>
            <w:r>
              <w:rPr>
                <w:noProof/>
                <w:webHidden/>
              </w:rPr>
              <w:tab/>
            </w:r>
            <w:r>
              <w:rPr>
                <w:noProof/>
                <w:webHidden/>
              </w:rPr>
              <w:fldChar w:fldCharType="begin"/>
            </w:r>
            <w:r>
              <w:rPr>
                <w:noProof/>
                <w:webHidden/>
              </w:rPr>
              <w:instrText xml:space="preserve"> PAGEREF _Toc227747723 \h </w:instrText>
            </w:r>
            <w:r>
              <w:rPr>
                <w:noProof/>
                <w:webHidden/>
              </w:rPr>
            </w:r>
            <w:r>
              <w:rPr>
                <w:noProof/>
                <w:webHidden/>
              </w:rPr>
              <w:fldChar w:fldCharType="separate"/>
            </w:r>
            <w:r>
              <w:rPr>
                <w:noProof/>
                <w:webHidden/>
              </w:rPr>
              <w:t>5</w:t>
            </w:r>
            <w:r>
              <w:rPr>
                <w:noProof/>
                <w:webHidden/>
              </w:rPr>
              <w:fldChar w:fldCharType="end"/>
            </w:r>
          </w:hyperlink>
        </w:p>
        <w:p w14:paraId="0D2E9FE1" w14:textId="2A88382A" w:rsidR="007F2FB4" w:rsidRDefault="007F2FB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7747724" w:history="1">
            <w:r w:rsidRPr="00CF4819">
              <w:rPr>
                <w:rStyle w:val="Hyperlink"/>
                <w:noProof/>
              </w:rPr>
              <w:t>2. Financial Health Check</w:t>
            </w:r>
            <w:r>
              <w:rPr>
                <w:noProof/>
                <w:webHidden/>
              </w:rPr>
              <w:tab/>
            </w:r>
            <w:r>
              <w:rPr>
                <w:noProof/>
                <w:webHidden/>
              </w:rPr>
              <w:fldChar w:fldCharType="begin"/>
            </w:r>
            <w:r>
              <w:rPr>
                <w:noProof/>
                <w:webHidden/>
              </w:rPr>
              <w:instrText xml:space="preserve"> PAGEREF _Toc227747724 \h </w:instrText>
            </w:r>
            <w:r>
              <w:rPr>
                <w:noProof/>
                <w:webHidden/>
              </w:rPr>
            </w:r>
            <w:r>
              <w:rPr>
                <w:noProof/>
                <w:webHidden/>
              </w:rPr>
              <w:fldChar w:fldCharType="separate"/>
            </w:r>
            <w:r>
              <w:rPr>
                <w:noProof/>
                <w:webHidden/>
              </w:rPr>
              <w:t>6</w:t>
            </w:r>
            <w:r>
              <w:rPr>
                <w:noProof/>
                <w:webHidden/>
              </w:rPr>
              <w:fldChar w:fldCharType="end"/>
            </w:r>
          </w:hyperlink>
        </w:p>
        <w:p w14:paraId="50B82EE3" w14:textId="04BB31AF"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25" w:history="1">
            <w:r w:rsidRPr="00CF4819">
              <w:rPr>
                <w:rStyle w:val="Hyperlink"/>
                <w:noProof/>
              </w:rPr>
              <w:t>2.1 Overview of Financial Performance</w:t>
            </w:r>
            <w:r>
              <w:rPr>
                <w:noProof/>
                <w:webHidden/>
              </w:rPr>
              <w:tab/>
            </w:r>
            <w:r>
              <w:rPr>
                <w:noProof/>
                <w:webHidden/>
              </w:rPr>
              <w:fldChar w:fldCharType="begin"/>
            </w:r>
            <w:r>
              <w:rPr>
                <w:noProof/>
                <w:webHidden/>
              </w:rPr>
              <w:instrText xml:space="preserve"> PAGEREF _Toc227747725 \h </w:instrText>
            </w:r>
            <w:r>
              <w:rPr>
                <w:noProof/>
                <w:webHidden/>
              </w:rPr>
            </w:r>
            <w:r>
              <w:rPr>
                <w:noProof/>
                <w:webHidden/>
              </w:rPr>
              <w:fldChar w:fldCharType="separate"/>
            </w:r>
            <w:r>
              <w:rPr>
                <w:noProof/>
                <w:webHidden/>
              </w:rPr>
              <w:t>6</w:t>
            </w:r>
            <w:r>
              <w:rPr>
                <w:noProof/>
                <w:webHidden/>
              </w:rPr>
              <w:fldChar w:fldCharType="end"/>
            </w:r>
          </w:hyperlink>
        </w:p>
        <w:p w14:paraId="44EBA47D" w14:textId="37BB3F94"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26" w:history="1">
            <w:r w:rsidRPr="00CF4819">
              <w:rPr>
                <w:rStyle w:val="Hyperlink"/>
                <w:noProof/>
              </w:rPr>
              <w:t>2.2 Profitability Analysis</w:t>
            </w:r>
            <w:r>
              <w:rPr>
                <w:noProof/>
                <w:webHidden/>
              </w:rPr>
              <w:tab/>
            </w:r>
            <w:r>
              <w:rPr>
                <w:noProof/>
                <w:webHidden/>
              </w:rPr>
              <w:fldChar w:fldCharType="begin"/>
            </w:r>
            <w:r>
              <w:rPr>
                <w:noProof/>
                <w:webHidden/>
              </w:rPr>
              <w:instrText xml:space="preserve"> PAGEREF _Toc227747726 \h </w:instrText>
            </w:r>
            <w:r>
              <w:rPr>
                <w:noProof/>
                <w:webHidden/>
              </w:rPr>
            </w:r>
            <w:r>
              <w:rPr>
                <w:noProof/>
                <w:webHidden/>
              </w:rPr>
              <w:fldChar w:fldCharType="separate"/>
            </w:r>
            <w:r>
              <w:rPr>
                <w:noProof/>
                <w:webHidden/>
              </w:rPr>
              <w:t>7</w:t>
            </w:r>
            <w:r>
              <w:rPr>
                <w:noProof/>
                <w:webHidden/>
              </w:rPr>
              <w:fldChar w:fldCharType="end"/>
            </w:r>
          </w:hyperlink>
        </w:p>
        <w:p w14:paraId="1F122A13" w14:textId="2838C776"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27" w:history="1">
            <w:r w:rsidRPr="00CF4819">
              <w:rPr>
                <w:rStyle w:val="Hyperlink"/>
                <w:noProof/>
              </w:rPr>
              <w:t>2.3 Liquidity Analysis</w:t>
            </w:r>
            <w:r>
              <w:rPr>
                <w:noProof/>
                <w:webHidden/>
              </w:rPr>
              <w:tab/>
            </w:r>
            <w:r>
              <w:rPr>
                <w:noProof/>
                <w:webHidden/>
              </w:rPr>
              <w:fldChar w:fldCharType="begin"/>
            </w:r>
            <w:r>
              <w:rPr>
                <w:noProof/>
                <w:webHidden/>
              </w:rPr>
              <w:instrText xml:space="preserve"> PAGEREF _Toc227747727 \h </w:instrText>
            </w:r>
            <w:r>
              <w:rPr>
                <w:noProof/>
                <w:webHidden/>
              </w:rPr>
            </w:r>
            <w:r>
              <w:rPr>
                <w:noProof/>
                <w:webHidden/>
              </w:rPr>
              <w:fldChar w:fldCharType="separate"/>
            </w:r>
            <w:r>
              <w:rPr>
                <w:noProof/>
                <w:webHidden/>
              </w:rPr>
              <w:t>7</w:t>
            </w:r>
            <w:r>
              <w:rPr>
                <w:noProof/>
                <w:webHidden/>
              </w:rPr>
              <w:fldChar w:fldCharType="end"/>
            </w:r>
          </w:hyperlink>
        </w:p>
        <w:p w14:paraId="16E4EC81" w14:textId="710C30AE"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28" w:history="1">
            <w:r w:rsidRPr="00CF4819">
              <w:rPr>
                <w:rStyle w:val="Hyperlink"/>
                <w:noProof/>
              </w:rPr>
              <w:t>2.4 Efficiency Analysis</w:t>
            </w:r>
            <w:r>
              <w:rPr>
                <w:noProof/>
                <w:webHidden/>
              </w:rPr>
              <w:tab/>
            </w:r>
            <w:r>
              <w:rPr>
                <w:noProof/>
                <w:webHidden/>
              </w:rPr>
              <w:fldChar w:fldCharType="begin"/>
            </w:r>
            <w:r>
              <w:rPr>
                <w:noProof/>
                <w:webHidden/>
              </w:rPr>
              <w:instrText xml:space="preserve"> PAGEREF _Toc227747728 \h </w:instrText>
            </w:r>
            <w:r>
              <w:rPr>
                <w:noProof/>
                <w:webHidden/>
              </w:rPr>
            </w:r>
            <w:r>
              <w:rPr>
                <w:noProof/>
                <w:webHidden/>
              </w:rPr>
              <w:fldChar w:fldCharType="separate"/>
            </w:r>
            <w:r>
              <w:rPr>
                <w:noProof/>
                <w:webHidden/>
              </w:rPr>
              <w:t>8</w:t>
            </w:r>
            <w:r>
              <w:rPr>
                <w:noProof/>
                <w:webHidden/>
              </w:rPr>
              <w:fldChar w:fldCharType="end"/>
            </w:r>
          </w:hyperlink>
        </w:p>
        <w:p w14:paraId="6751BCEB" w14:textId="55817E15"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29" w:history="1">
            <w:r w:rsidRPr="00CF4819">
              <w:rPr>
                <w:rStyle w:val="Hyperlink"/>
                <w:noProof/>
              </w:rPr>
              <w:t>2.5 Gearing / Leverage Analysis</w:t>
            </w:r>
            <w:r>
              <w:rPr>
                <w:noProof/>
                <w:webHidden/>
              </w:rPr>
              <w:tab/>
            </w:r>
            <w:r>
              <w:rPr>
                <w:noProof/>
                <w:webHidden/>
              </w:rPr>
              <w:fldChar w:fldCharType="begin"/>
            </w:r>
            <w:r>
              <w:rPr>
                <w:noProof/>
                <w:webHidden/>
              </w:rPr>
              <w:instrText xml:space="preserve"> PAGEREF _Toc227747729 \h </w:instrText>
            </w:r>
            <w:r>
              <w:rPr>
                <w:noProof/>
                <w:webHidden/>
              </w:rPr>
            </w:r>
            <w:r>
              <w:rPr>
                <w:noProof/>
                <w:webHidden/>
              </w:rPr>
              <w:fldChar w:fldCharType="separate"/>
            </w:r>
            <w:r>
              <w:rPr>
                <w:noProof/>
                <w:webHidden/>
              </w:rPr>
              <w:t>9</w:t>
            </w:r>
            <w:r>
              <w:rPr>
                <w:noProof/>
                <w:webHidden/>
              </w:rPr>
              <w:fldChar w:fldCharType="end"/>
            </w:r>
          </w:hyperlink>
        </w:p>
        <w:p w14:paraId="45C97C15" w14:textId="0E12E2ED"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30" w:history="1">
            <w:r w:rsidRPr="00CF4819">
              <w:rPr>
                <w:rStyle w:val="Hyperlink"/>
                <w:noProof/>
              </w:rPr>
              <w:t>2.6 Investment Ratios</w:t>
            </w:r>
            <w:r>
              <w:rPr>
                <w:noProof/>
                <w:webHidden/>
              </w:rPr>
              <w:tab/>
            </w:r>
            <w:r>
              <w:rPr>
                <w:noProof/>
                <w:webHidden/>
              </w:rPr>
              <w:fldChar w:fldCharType="begin"/>
            </w:r>
            <w:r>
              <w:rPr>
                <w:noProof/>
                <w:webHidden/>
              </w:rPr>
              <w:instrText xml:space="preserve"> PAGEREF _Toc227747730 \h </w:instrText>
            </w:r>
            <w:r>
              <w:rPr>
                <w:noProof/>
                <w:webHidden/>
              </w:rPr>
            </w:r>
            <w:r>
              <w:rPr>
                <w:noProof/>
                <w:webHidden/>
              </w:rPr>
              <w:fldChar w:fldCharType="separate"/>
            </w:r>
            <w:r>
              <w:rPr>
                <w:noProof/>
                <w:webHidden/>
              </w:rPr>
              <w:t>9</w:t>
            </w:r>
            <w:r>
              <w:rPr>
                <w:noProof/>
                <w:webHidden/>
              </w:rPr>
              <w:fldChar w:fldCharType="end"/>
            </w:r>
          </w:hyperlink>
        </w:p>
        <w:p w14:paraId="5DA9FD01" w14:textId="3EA98FA5"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31" w:history="1">
            <w:r w:rsidRPr="00CF4819">
              <w:rPr>
                <w:rStyle w:val="Hyperlink"/>
                <w:noProof/>
              </w:rPr>
              <w:t>2.7 Cash Flow Analysis</w:t>
            </w:r>
            <w:r>
              <w:rPr>
                <w:noProof/>
                <w:webHidden/>
              </w:rPr>
              <w:tab/>
            </w:r>
            <w:r>
              <w:rPr>
                <w:noProof/>
                <w:webHidden/>
              </w:rPr>
              <w:fldChar w:fldCharType="begin"/>
            </w:r>
            <w:r>
              <w:rPr>
                <w:noProof/>
                <w:webHidden/>
              </w:rPr>
              <w:instrText xml:space="preserve"> PAGEREF _Toc227747731 \h </w:instrText>
            </w:r>
            <w:r>
              <w:rPr>
                <w:noProof/>
                <w:webHidden/>
              </w:rPr>
            </w:r>
            <w:r>
              <w:rPr>
                <w:noProof/>
                <w:webHidden/>
              </w:rPr>
              <w:fldChar w:fldCharType="separate"/>
            </w:r>
            <w:r>
              <w:rPr>
                <w:noProof/>
                <w:webHidden/>
              </w:rPr>
              <w:t>11</w:t>
            </w:r>
            <w:r>
              <w:rPr>
                <w:noProof/>
                <w:webHidden/>
              </w:rPr>
              <w:fldChar w:fldCharType="end"/>
            </w:r>
          </w:hyperlink>
        </w:p>
        <w:p w14:paraId="5D5C0539" w14:textId="1DFB7C78" w:rsidR="007F2FB4" w:rsidRDefault="007F2FB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7747732" w:history="1">
            <w:r w:rsidRPr="00CF4819">
              <w:rPr>
                <w:rStyle w:val="Hyperlink"/>
                <w:noProof/>
              </w:rPr>
              <w:t>3. Working Capital Management Analysis</w:t>
            </w:r>
            <w:r>
              <w:rPr>
                <w:noProof/>
                <w:webHidden/>
              </w:rPr>
              <w:tab/>
            </w:r>
            <w:r>
              <w:rPr>
                <w:noProof/>
                <w:webHidden/>
              </w:rPr>
              <w:fldChar w:fldCharType="begin"/>
            </w:r>
            <w:r>
              <w:rPr>
                <w:noProof/>
                <w:webHidden/>
              </w:rPr>
              <w:instrText xml:space="preserve"> PAGEREF _Toc227747732 \h </w:instrText>
            </w:r>
            <w:r>
              <w:rPr>
                <w:noProof/>
                <w:webHidden/>
              </w:rPr>
            </w:r>
            <w:r>
              <w:rPr>
                <w:noProof/>
                <w:webHidden/>
              </w:rPr>
              <w:fldChar w:fldCharType="separate"/>
            </w:r>
            <w:r>
              <w:rPr>
                <w:noProof/>
                <w:webHidden/>
              </w:rPr>
              <w:t>15</w:t>
            </w:r>
            <w:r>
              <w:rPr>
                <w:noProof/>
                <w:webHidden/>
              </w:rPr>
              <w:fldChar w:fldCharType="end"/>
            </w:r>
          </w:hyperlink>
        </w:p>
        <w:p w14:paraId="2E415132" w14:textId="3EA21705"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33" w:history="1">
            <w:r w:rsidRPr="00CF4819">
              <w:rPr>
                <w:rStyle w:val="Hyperlink"/>
                <w:noProof/>
              </w:rPr>
              <w:t>3.1 Cash Operating Cycle Analysis</w:t>
            </w:r>
            <w:r>
              <w:rPr>
                <w:noProof/>
                <w:webHidden/>
              </w:rPr>
              <w:tab/>
            </w:r>
            <w:r>
              <w:rPr>
                <w:noProof/>
                <w:webHidden/>
              </w:rPr>
              <w:fldChar w:fldCharType="begin"/>
            </w:r>
            <w:r>
              <w:rPr>
                <w:noProof/>
                <w:webHidden/>
              </w:rPr>
              <w:instrText xml:space="preserve"> PAGEREF _Toc227747733 \h </w:instrText>
            </w:r>
            <w:r>
              <w:rPr>
                <w:noProof/>
                <w:webHidden/>
              </w:rPr>
            </w:r>
            <w:r>
              <w:rPr>
                <w:noProof/>
                <w:webHidden/>
              </w:rPr>
              <w:fldChar w:fldCharType="separate"/>
            </w:r>
            <w:r>
              <w:rPr>
                <w:noProof/>
                <w:webHidden/>
              </w:rPr>
              <w:t>15</w:t>
            </w:r>
            <w:r>
              <w:rPr>
                <w:noProof/>
                <w:webHidden/>
              </w:rPr>
              <w:fldChar w:fldCharType="end"/>
            </w:r>
          </w:hyperlink>
        </w:p>
        <w:p w14:paraId="1AD4BDD0" w14:textId="72933F27"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34" w:history="1">
            <w:r w:rsidRPr="00CF4819">
              <w:rPr>
                <w:rStyle w:val="Hyperlink"/>
                <w:noProof/>
              </w:rPr>
              <w:t>3.2 Evaluation of Liquidity Position</w:t>
            </w:r>
            <w:r>
              <w:rPr>
                <w:noProof/>
                <w:webHidden/>
              </w:rPr>
              <w:tab/>
            </w:r>
            <w:r>
              <w:rPr>
                <w:noProof/>
                <w:webHidden/>
              </w:rPr>
              <w:fldChar w:fldCharType="begin"/>
            </w:r>
            <w:r>
              <w:rPr>
                <w:noProof/>
                <w:webHidden/>
              </w:rPr>
              <w:instrText xml:space="preserve"> PAGEREF _Toc227747734 \h </w:instrText>
            </w:r>
            <w:r>
              <w:rPr>
                <w:noProof/>
                <w:webHidden/>
              </w:rPr>
            </w:r>
            <w:r>
              <w:rPr>
                <w:noProof/>
                <w:webHidden/>
              </w:rPr>
              <w:fldChar w:fldCharType="separate"/>
            </w:r>
            <w:r>
              <w:rPr>
                <w:noProof/>
                <w:webHidden/>
              </w:rPr>
              <w:t>17</w:t>
            </w:r>
            <w:r>
              <w:rPr>
                <w:noProof/>
                <w:webHidden/>
              </w:rPr>
              <w:fldChar w:fldCharType="end"/>
            </w:r>
          </w:hyperlink>
        </w:p>
        <w:p w14:paraId="6E829573" w14:textId="66FB1616"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35" w:history="1">
            <w:r w:rsidRPr="00CF4819">
              <w:rPr>
                <w:rStyle w:val="Hyperlink"/>
                <w:noProof/>
              </w:rPr>
              <w:t>3.3 Strategies to Improve Working Capital</w:t>
            </w:r>
            <w:r>
              <w:rPr>
                <w:noProof/>
                <w:webHidden/>
              </w:rPr>
              <w:tab/>
            </w:r>
            <w:r>
              <w:rPr>
                <w:noProof/>
                <w:webHidden/>
              </w:rPr>
              <w:fldChar w:fldCharType="begin"/>
            </w:r>
            <w:r>
              <w:rPr>
                <w:noProof/>
                <w:webHidden/>
              </w:rPr>
              <w:instrText xml:space="preserve"> PAGEREF _Toc227747735 \h </w:instrText>
            </w:r>
            <w:r>
              <w:rPr>
                <w:noProof/>
                <w:webHidden/>
              </w:rPr>
            </w:r>
            <w:r>
              <w:rPr>
                <w:noProof/>
                <w:webHidden/>
              </w:rPr>
              <w:fldChar w:fldCharType="separate"/>
            </w:r>
            <w:r>
              <w:rPr>
                <w:noProof/>
                <w:webHidden/>
              </w:rPr>
              <w:t>17</w:t>
            </w:r>
            <w:r>
              <w:rPr>
                <w:noProof/>
                <w:webHidden/>
              </w:rPr>
              <w:fldChar w:fldCharType="end"/>
            </w:r>
          </w:hyperlink>
        </w:p>
        <w:p w14:paraId="22AC4228" w14:textId="7E7C5F69"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36" w:history="1">
            <w:r w:rsidRPr="00CF4819">
              <w:rPr>
                <w:rStyle w:val="Hyperlink"/>
                <w:noProof/>
              </w:rPr>
              <w:t>3.4 Financing Options Comparison</w:t>
            </w:r>
            <w:r>
              <w:rPr>
                <w:noProof/>
                <w:webHidden/>
              </w:rPr>
              <w:tab/>
            </w:r>
            <w:r>
              <w:rPr>
                <w:noProof/>
                <w:webHidden/>
              </w:rPr>
              <w:fldChar w:fldCharType="begin"/>
            </w:r>
            <w:r>
              <w:rPr>
                <w:noProof/>
                <w:webHidden/>
              </w:rPr>
              <w:instrText xml:space="preserve"> PAGEREF _Toc227747736 \h </w:instrText>
            </w:r>
            <w:r>
              <w:rPr>
                <w:noProof/>
                <w:webHidden/>
              </w:rPr>
            </w:r>
            <w:r>
              <w:rPr>
                <w:noProof/>
                <w:webHidden/>
              </w:rPr>
              <w:fldChar w:fldCharType="separate"/>
            </w:r>
            <w:r>
              <w:rPr>
                <w:noProof/>
                <w:webHidden/>
              </w:rPr>
              <w:t>18</w:t>
            </w:r>
            <w:r>
              <w:rPr>
                <w:noProof/>
                <w:webHidden/>
              </w:rPr>
              <w:fldChar w:fldCharType="end"/>
            </w:r>
          </w:hyperlink>
        </w:p>
        <w:p w14:paraId="4572C93B" w14:textId="3CC5D949" w:rsidR="007F2FB4" w:rsidRDefault="007F2FB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7747737" w:history="1">
            <w:r w:rsidRPr="00CF4819">
              <w:rPr>
                <w:rStyle w:val="Hyperlink"/>
                <w:noProof/>
              </w:rPr>
              <w:t>4. Strategic Financial Restructuring Plan</w:t>
            </w:r>
            <w:r>
              <w:rPr>
                <w:noProof/>
                <w:webHidden/>
              </w:rPr>
              <w:tab/>
            </w:r>
            <w:r>
              <w:rPr>
                <w:noProof/>
                <w:webHidden/>
              </w:rPr>
              <w:fldChar w:fldCharType="begin"/>
            </w:r>
            <w:r>
              <w:rPr>
                <w:noProof/>
                <w:webHidden/>
              </w:rPr>
              <w:instrText xml:space="preserve"> PAGEREF _Toc227747737 \h </w:instrText>
            </w:r>
            <w:r>
              <w:rPr>
                <w:noProof/>
                <w:webHidden/>
              </w:rPr>
            </w:r>
            <w:r>
              <w:rPr>
                <w:noProof/>
                <w:webHidden/>
              </w:rPr>
              <w:fldChar w:fldCharType="separate"/>
            </w:r>
            <w:r>
              <w:rPr>
                <w:noProof/>
                <w:webHidden/>
              </w:rPr>
              <w:t>18</w:t>
            </w:r>
            <w:r>
              <w:rPr>
                <w:noProof/>
                <w:webHidden/>
              </w:rPr>
              <w:fldChar w:fldCharType="end"/>
            </w:r>
          </w:hyperlink>
        </w:p>
        <w:p w14:paraId="5F9EA7F6" w14:textId="2BD6EC1E"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38" w:history="1">
            <w:r w:rsidRPr="00CF4819">
              <w:rPr>
                <w:rStyle w:val="Hyperlink"/>
                <w:noProof/>
              </w:rPr>
              <w:t>4.1 Identification of Key Financial Issues</w:t>
            </w:r>
            <w:r>
              <w:rPr>
                <w:noProof/>
                <w:webHidden/>
              </w:rPr>
              <w:tab/>
            </w:r>
            <w:r>
              <w:rPr>
                <w:noProof/>
                <w:webHidden/>
              </w:rPr>
              <w:fldChar w:fldCharType="begin"/>
            </w:r>
            <w:r>
              <w:rPr>
                <w:noProof/>
                <w:webHidden/>
              </w:rPr>
              <w:instrText xml:space="preserve"> PAGEREF _Toc227747738 \h </w:instrText>
            </w:r>
            <w:r>
              <w:rPr>
                <w:noProof/>
                <w:webHidden/>
              </w:rPr>
            </w:r>
            <w:r>
              <w:rPr>
                <w:noProof/>
                <w:webHidden/>
              </w:rPr>
              <w:fldChar w:fldCharType="separate"/>
            </w:r>
            <w:r>
              <w:rPr>
                <w:noProof/>
                <w:webHidden/>
              </w:rPr>
              <w:t>18</w:t>
            </w:r>
            <w:r>
              <w:rPr>
                <w:noProof/>
                <w:webHidden/>
              </w:rPr>
              <w:fldChar w:fldCharType="end"/>
            </w:r>
          </w:hyperlink>
        </w:p>
        <w:p w14:paraId="649E65CD" w14:textId="2FD4C495"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39" w:history="1">
            <w:r w:rsidRPr="00CF4819">
              <w:rPr>
                <w:rStyle w:val="Hyperlink"/>
                <w:noProof/>
              </w:rPr>
              <w:t>4.2 Financial Restructuring Strategies</w:t>
            </w:r>
            <w:r>
              <w:rPr>
                <w:noProof/>
                <w:webHidden/>
              </w:rPr>
              <w:tab/>
            </w:r>
            <w:r>
              <w:rPr>
                <w:noProof/>
                <w:webHidden/>
              </w:rPr>
              <w:fldChar w:fldCharType="begin"/>
            </w:r>
            <w:r>
              <w:rPr>
                <w:noProof/>
                <w:webHidden/>
              </w:rPr>
              <w:instrText xml:space="preserve"> PAGEREF _Toc227747739 \h </w:instrText>
            </w:r>
            <w:r>
              <w:rPr>
                <w:noProof/>
                <w:webHidden/>
              </w:rPr>
            </w:r>
            <w:r>
              <w:rPr>
                <w:noProof/>
                <w:webHidden/>
              </w:rPr>
              <w:fldChar w:fldCharType="separate"/>
            </w:r>
            <w:r>
              <w:rPr>
                <w:noProof/>
                <w:webHidden/>
              </w:rPr>
              <w:t>19</w:t>
            </w:r>
            <w:r>
              <w:rPr>
                <w:noProof/>
                <w:webHidden/>
              </w:rPr>
              <w:fldChar w:fldCharType="end"/>
            </w:r>
          </w:hyperlink>
        </w:p>
        <w:p w14:paraId="2BB456B8" w14:textId="0DB1410C"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40" w:history="1">
            <w:r w:rsidRPr="00CF4819">
              <w:rPr>
                <w:rStyle w:val="Hyperlink"/>
                <w:noProof/>
              </w:rPr>
              <w:t>4.3 Impact on Financial Performance</w:t>
            </w:r>
            <w:r>
              <w:rPr>
                <w:noProof/>
                <w:webHidden/>
              </w:rPr>
              <w:tab/>
            </w:r>
            <w:r>
              <w:rPr>
                <w:noProof/>
                <w:webHidden/>
              </w:rPr>
              <w:fldChar w:fldCharType="begin"/>
            </w:r>
            <w:r>
              <w:rPr>
                <w:noProof/>
                <w:webHidden/>
              </w:rPr>
              <w:instrText xml:space="preserve"> PAGEREF _Toc227747740 \h </w:instrText>
            </w:r>
            <w:r>
              <w:rPr>
                <w:noProof/>
                <w:webHidden/>
              </w:rPr>
            </w:r>
            <w:r>
              <w:rPr>
                <w:noProof/>
                <w:webHidden/>
              </w:rPr>
              <w:fldChar w:fldCharType="separate"/>
            </w:r>
            <w:r>
              <w:rPr>
                <w:noProof/>
                <w:webHidden/>
              </w:rPr>
              <w:t>19</w:t>
            </w:r>
            <w:r>
              <w:rPr>
                <w:noProof/>
                <w:webHidden/>
              </w:rPr>
              <w:fldChar w:fldCharType="end"/>
            </w:r>
          </w:hyperlink>
        </w:p>
        <w:p w14:paraId="406FA43D" w14:textId="31AAD878"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41" w:history="1">
            <w:r w:rsidRPr="00CF4819">
              <w:rPr>
                <w:rStyle w:val="Hyperlink"/>
                <w:noProof/>
              </w:rPr>
              <w:t>4.4 International and Ethical Considerations</w:t>
            </w:r>
            <w:r>
              <w:rPr>
                <w:noProof/>
                <w:webHidden/>
              </w:rPr>
              <w:tab/>
            </w:r>
            <w:r>
              <w:rPr>
                <w:noProof/>
                <w:webHidden/>
              </w:rPr>
              <w:fldChar w:fldCharType="begin"/>
            </w:r>
            <w:r>
              <w:rPr>
                <w:noProof/>
                <w:webHidden/>
              </w:rPr>
              <w:instrText xml:space="preserve"> PAGEREF _Toc227747741 \h </w:instrText>
            </w:r>
            <w:r>
              <w:rPr>
                <w:noProof/>
                <w:webHidden/>
              </w:rPr>
            </w:r>
            <w:r>
              <w:rPr>
                <w:noProof/>
                <w:webHidden/>
              </w:rPr>
              <w:fldChar w:fldCharType="separate"/>
            </w:r>
            <w:r>
              <w:rPr>
                <w:noProof/>
                <w:webHidden/>
              </w:rPr>
              <w:t>20</w:t>
            </w:r>
            <w:r>
              <w:rPr>
                <w:noProof/>
                <w:webHidden/>
              </w:rPr>
              <w:fldChar w:fldCharType="end"/>
            </w:r>
          </w:hyperlink>
        </w:p>
        <w:p w14:paraId="15FC985F" w14:textId="4EB60D96" w:rsidR="007F2FB4" w:rsidRDefault="007F2FB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7747742" w:history="1">
            <w:r w:rsidRPr="00CF4819">
              <w:rPr>
                <w:rStyle w:val="Hyperlink"/>
                <w:noProof/>
              </w:rPr>
              <w:t>5. Investment Appraisal and Capital Budgeting</w:t>
            </w:r>
            <w:r>
              <w:rPr>
                <w:noProof/>
                <w:webHidden/>
              </w:rPr>
              <w:tab/>
            </w:r>
            <w:r>
              <w:rPr>
                <w:noProof/>
                <w:webHidden/>
              </w:rPr>
              <w:fldChar w:fldCharType="begin"/>
            </w:r>
            <w:r>
              <w:rPr>
                <w:noProof/>
                <w:webHidden/>
              </w:rPr>
              <w:instrText xml:space="preserve"> PAGEREF _Toc227747742 \h </w:instrText>
            </w:r>
            <w:r>
              <w:rPr>
                <w:noProof/>
                <w:webHidden/>
              </w:rPr>
            </w:r>
            <w:r>
              <w:rPr>
                <w:noProof/>
                <w:webHidden/>
              </w:rPr>
              <w:fldChar w:fldCharType="separate"/>
            </w:r>
            <w:r>
              <w:rPr>
                <w:noProof/>
                <w:webHidden/>
              </w:rPr>
              <w:t>21</w:t>
            </w:r>
            <w:r>
              <w:rPr>
                <w:noProof/>
                <w:webHidden/>
              </w:rPr>
              <w:fldChar w:fldCharType="end"/>
            </w:r>
          </w:hyperlink>
        </w:p>
        <w:p w14:paraId="166E30AF" w14:textId="1D469AAD"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43" w:history="1">
            <w:r w:rsidRPr="00CF4819">
              <w:rPr>
                <w:rStyle w:val="Hyperlink"/>
                <w:noProof/>
              </w:rPr>
              <w:t>5.1 Overview of Investment Projects</w:t>
            </w:r>
            <w:r>
              <w:rPr>
                <w:noProof/>
                <w:webHidden/>
              </w:rPr>
              <w:tab/>
            </w:r>
            <w:r>
              <w:rPr>
                <w:noProof/>
                <w:webHidden/>
              </w:rPr>
              <w:fldChar w:fldCharType="begin"/>
            </w:r>
            <w:r>
              <w:rPr>
                <w:noProof/>
                <w:webHidden/>
              </w:rPr>
              <w:instrText xml:space="preserve"> PAGEREF _Toc227747743 \h </w:instrText>
            </w:r>
            <w:r>
              <w:rPr>
                <w:noProof/>
                <w:webHidden/>
              </w:rPr>
            </w:r>
            <w:r>
              <w:rPr>
                <w:noProof/>
                <w:webHidden/>
              </w:rPr>
              <w:fldChar w:fldCharType="separate"/>
            </w:r>
            <w:r>
              <w:rPr>
                <w:noProof/>
                <w:webHidden/>
              </w:rPr>
              <w:t>21</w:t>
            </w:r>
            <w:r>
              <w:rPr>
                <w:noProof/>
                <w:webHidden/>
              </w:rPr>
              <w:fldChar w:fldCharType="end"/>
            </w:r>
          </w:hyperlink>
        </w:p>
        <w:p w14:paraId="1C4E5795" w14:textId="390D48C7"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44" w:history="1">
            <w:r w:rsidRPr="00CF4819">
              <w:rPr>
                <w:rStyle w:val="Hyperlink"/>
                <w:noProof/>
              </w:rPr>
              <w:t>5.2 Payback Period (PBP) Analysis</w:t>
            </w:r>
            <w:r>
              <w:rPr>
                <w:noProof/>
                <w:webHidden/>
              </w:rPr>
              <w:tab/>
            </w:r>
            <w:r>
              <w:rPr>
                <w:noProof/>
                <w:webHidden/>
              </w:rPr>
              <w:fldChar w:fldCharType="begin"/>
            </w:r>
            <w:r>
              <w:rPr>
                <w:noProof/>
                <w:webHidden/>
              </w:rPr>
              <w:instrText xml:space="preserve"> PAGEREF _Toc227747744 \h </w:instrText>
            </w:r>
            <w:r>
              <w:rPr>
                <w:noProof/>
                <w:webHidden/>
              </w:rPr>
            </w:r>
            <w:r>
              <w:rPr>
                <w:noProof/>
                <w:webHidden/>
              </w:rPr>
              <w:fldChar w:fldCharType="separate"/>
            </w:r>
            <w:r>
              <w:rPr>
                <w:noProof/>
                <w:webHidden/>
              </w:rPr>
              <w:t>22</w:t>
            </w:r>
            <w:r>
              <w:rPr>
                <w:noProof/>
                <w:webHidden/>
              </w:rPr>
              <w:fldChar w:fldCharType="end"/>
            </w:r>
          </w:hyperlink>
        </w:p>
        <w:p w14:paraId="0482B6D7" w14:textId="1FFAD62C"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45" w:history="1">
            <w:r w:rsidRPr="00CF4819">
              <w:rPr>
                <w:rStyle w:val="Hyperlink"/>
                <w:noProof/>
              </w:rPr>
              <w:t>5.3 Accounting Rate of Return (ARR)</w:t>
            </w:r>
            <w:r>
              <w:rPr>
                <w:noProof/>
                <w:webHidden/>
              </w:rPr>
              <w:tab/>
            </w:r>
            <w:r>
              <w:rPr>
                <w:noProof/>
                <w:webHidden/>
              </w:rPr>
              <w:fldChar w:fldCharType="begin"/>
            </w:r>
            <w:r>
              <w:rPr>
                <w:noProof/>
                <w:webHidden/>
              </w:rPr>
              <w:instrText xml:space="preserve"> PAGEREF _Toc227747745 \h </w:instrText>
            </w:r>
            <w:r>
              <w:rPr>
                <w:noProof/>
                <w:webHidden/>
              </w:rPr>
            </w:r>
            <w:r>
              <w:rPr>
                <w:noProof/>
                <w:webHidden/>
              </w:rPr>
              <w:fldChar w:fldCharType="separate"/>
            </w:r>
            <w:r>
              <w:rPr>
                <w:noProof/>
                <w:webHidden/>
              </w:rPr>
              <w:t>22</w:t>
            </w:r>
            <w:r>
              <w:rPr>
                <w:noProof/>
                <w:webHidden/>
              </w:rPr>
              <w:fldChar w:fldCharType="end"/>
            </w:r>
          </w:hyperlink>
        </w:p>
        <w:p w14:paraId="25AD0310" w14:textId="488B337D"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46" w:history="1">
            <w:r w:rsidRPr="00CF4819">
              <w:rPr>
                <w:rStyle w:val="Hyperlink"/>
                <w:noProof/>
              </w:rPr>
              <w:t>5.4 Net Present Value (NPV) Analysis</w:t>
            </w:r>
            <w:r>
              <w:rPr>
                <w:noProof/>
                <w:webHidden/>
              </w:rPr>
              <w:tab/>
            </w:r>
            <w:r>
              <w:rPr>
                <w:noProof/>
                <w:webHidden/>
              </w:rPr>
              <w:fldChar w:fldCharType="begin"/>
            </w:r>
            <w:r>
              <w:rPr>
                <w:noProof/>
                <w:webHidden/>
              </w:rPr>
              <w:instrText xml:space="preserve"> PAGEREF _Toc227747746 \h </w:instrText>
            </w:r>
            <w:r>
              <w:rPr>
                <w:noProof/>
                <w:webHidden/>
              </w:rPr>
            </w:r>
            <w:r>
              <w:rPr>
                <w:noProof/>
                <w:webHidden/>
              </w:rPr>
              <w:fldChar w:fldCharType="separate"/>
            </w:r>
            <w:r>
              <w:rPr>
                <w:noProof/>
                <w:webHidden/>
              </w:rPr>
              <w:t>23</w:t>
            </w:r>
            <w:r>
              <w:rPr>
                <w:noProof/>
                <w:webHidden/>
              </w:rPr>
              <w:fldChar w:fldCharType="end"/>
            </w:r>
          </w:hyperlink>
        </w:p>
        <w:p w14:paraId="795B560D" w14:textId="6F06B93E"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47" w:history="1">
            <w:r w:rsidRPr="00CF4819">
              <w:rPr>
                <w:rStyle w:val="Hyperlink"/>
                <w:noProof/>
              </w:rPr>
              <w:t>5.5 Internal Rate of Return (IRR)</w:t>
            </w:r>
            <w:r>
              <w:rPr>
                <w:noProof/>
                <w:webHidden/>
              </w:rPr>
              <w:tab/>
            </w:r>
            <w:r>
              <w:rPr>
                <w:noProof/>
                <w:webHidden/>
              </w:rPr>
              <w:fldChar w:fldCharType="begin"/>
            </w:r>
            <w:r>
              <w:rPr>
                <w:noProof/>
                <w:webHidden/>
              </w:rPr>
              <w:instrText xml:space="preserve"> PAGEREF _Toc227747747 \h </w:instrText>
            </w:r>
            <w:r>
              <w:rPr>
                <w:noProof/>
                <w:webHidden/>
              </w:rPr>
            </w:r>
            <w:r>
              <w:rPr>
                <w:noProof/>
                <w:webHidden/>
              </w:rPr>
              <w:fldChar w:fldCharType="separate"/>
            </w:r>
            <w:r>
              <w:rPr>
                <w:noProof/>
                <w:webHidden/>
              </w:rPr>
              <w:t>24</w:t>
            </w:r>
            <w:r>
              <w:rPr>
                <w:noProof/>
                <w:webHidden/>
              </w:rPr>
              <w:fldChar w:fldCharType="end"/>
            </w:r>
          </w:hyperlink>
        </w:p>
        <w:p w14:paraId="40011760" w14:textId="6B19D451"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48" w:history="1">
            <w:r w:rsidRPr="00CF4819">
              <w:rPr>
                <w:rStyle w:val="Hyperlink"/>
                <w:noProof/>
              </w:rPr>
              <w:t>5.6 Profitability Index (PI)</w:t>
            </w:r>
            <w:r>
              <w:rPr>
                <w:noProof/>
                <w:webHidden/>
              </w:rPr>
              <w:tab/>
            </w:r>
            <w:r>
              <w:rPr>
                <w:noProof/>
                <w:webHidden/>
              </w:rPr>
              <w:fldChar w:fldCharType="begin"/>
            </w:r>
            <w:r>
              <w:rPr>
                <w:noProof/>
                <w:webHidden/>
              </w:rPr>
              <w:instrText xml:space="preserve"> PAGEREF _Toc227747748 \h </w:instrText>
            </w:r>
            <w:r>
              <w:rPr>
                <w:noProof/>
                <w:webHidden/>
              </w:rPr>
            </w:r>
            <w:r>
              <w:rPr>
                <w:noProof/>
                <w:webHidden/>
              </w:rPr>
              <w:fldChar w:fldCharType="separate"/>
            </w:r>
            <w:r>
              <w:rPr>
                <w:noProof/>
                <w:webHidden/>
              </w:rPr>
              <w:t>24</w:t>
            </w:r>
            <w:r>
              <w:rPr>
                <w:noProof/>
                <w:webHidden/>
              </w:rPr>
              <w:fldChar w:fldCharType="end"/>
            </w:r>
          </w:hyperlink>
        </w:p>
        <w:p w14:paraId="04EA9206" w14:textId="7E815411"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49" w:history="1">
            <w:r w:rsidRPr="00CF4819">
              <w:rPr>
                <w:rStyle w:val="Hyperlink"/>
                <w:noProof/>
              </w:rPr>
              <w:t>5.7 Project Recommendation</w:t>
            </w:r>
            <w:r>
              <w:rPr>
                <w:noProof/>
                <w:webHidden/>
              </w:rPr>
              <w:tab/>
            </w:r>
            <w:r>
              <w:rPr>
                <w:noProof/>
                <w:webHidden/>
              </w:rPr>
              <w:fldChar w:fldCharType="begin"/>
            </w:r>
            <w:r>
              <w:rPr>
                <w:noProof/>
                <w:webHidden/>
              </w:rPr>
              <w:instrText xml:space="preserve"> PAGEREF _Toc227747749 \h </w:instrText>
            </w:r>
            <w:r>
              <w:rPr>
                <w:noProof/>
                <w:webHidden/>
              </w:rPr>
            </w:r>
            <w:r>
              <w:rPr>
                <w:noProof/>
                <w:webHidden/>
              </w:rPr>
              <w:fldChar w:fldCharType="separate"/>
            </w:r>
            <w:r>
              <w:rPr>
                <w:noProof/>
                <w:webHidden/>
              </w:rPr>
              <w:t>25</w:t>
            </w:r>
            <w:r>
              <w:rPr>
                <w:noProof/>
                <w:webHidden/>
              </w:rPr>
              <w:fldChar w:fldCharType="end"/>
            </w:r>
          </w:hyperlink>
        </w:p>
        <w:p w14:paraId="35F0A2FB" w14:textId="37775DD0"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50" w:history="1">
            <w:r w:rsidRPr="00CF4819">
              <w:rPr>
                <w:rStyle w:val="Hyperlink"/>
                <w:noProof/>
              </w:rPr>
              <w:t>5.8 Capital Rationing Decision</w:t>
            </w:r>
            <w:r>
              <w:rPr>
                <w:noProof/>
                <w:webHidden/>
              </w:rPr>
              <w:tab/>
            </w:r>
            <w:r>
              <w:rPr>
                <w:noProof/>
                <w:webHidden/>
              </w:rPr>
              <w:fldChar w:fldCharType="begin"/>
            </w:r>
            <w:r>
              <w:rPr>
                <w:noProof/>
                <w:webHidden/>
              </w:rPr>
              <w:instrText xml:space="preserve"> PAGEREF _Toc227747750 \h </w:instrText>
            </w:r>
            <w:r>
              <w:rPr>
                <w:noProof/>
                <w:webHidden/>
              </w:rPr>
            </w:r>
            <w:r>
              <w:rPr>
                <w:noProof/>
                <w:webHidden/>
              </w:rPr>
              <w:fldChar w:fldCharType="separate"/>
            </w:r>
            <w:r>
              <w:rPr>
                <w:noProof/>
                <w:webHidden/>
              </w:rPr>
              <w:t>25</w:t>
            </w:r>
            <w:r>
              <w:rPr>
                <w:noProof/>
                <w:webHidden/>
              </w:rPr>
              <w:fldChar w:fldCharType="end"/>
            </w:r>
          </w:hyperlink>
        </w:p>
        <w:p w14:paraId="6BA956DD" w14:textId="11CEBBE1" w:rsidR="007F2FB4" w:rsidRDefault="007F2FB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7747751" w:history="1">
            <w:r w:rsidRPr="00CF4819">
              <w:rPr>
                <w:rStyle w:val="Hyperlink"/>
                <w:noProof/>
              </w:rPr>
              <w:t>6. Conclusion</w:t>
            </w:r>
            <w:r>
              <w:rPr>
                <w:noProof/>
                <w:webHidden/>
              </w:rPr>
              <w:tab/>
            </w:r>
            <w:r>
              <w:rPr>
                <w:noProof/>
                <w:webHidden/>
              </w:rPr>
              <w:fldChar w:fldCharType="begin"/>
            </w:r>
            <w:r>
              <w:rPr>
                <w:noProof/>
                <w:webHidden/>
              </w:rPr>
              <w:instrText xml:space="preserve"> PAGEREF _Toc227747751 \h </w:instrText>
            </w:r>
            <w:r>
              <w:rPr>
                <w:noProof/>
                <w:webHidden/>
              </w:rPr>
            </w:r>
            <w:r>
              <w:rPr>
                <w:noProof/>
                <w:webHidden/>
              </w:rPr>
              <w:fldChar w:fldCharType="separate"/>
            </w:r>
            <w:r>
              <w:rPr>
                <w:noProof/>
                <w:webHidden/>
              </w:rPr>
              <w:t>26</w:t>
            </w:r>
            <w:r>
              <w:rPr>
                <w:noProof/>
                <w:webHidden/>
              </w:rPr>
              <w:fldChar w:fldCharType="end"/>
            </w:r>
          </w:hyperlink>
        </w:p>
        <w:p w14:paraId="5A765AC3" w14:textId="7F0003FA"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52" w:history="1">
            <w:r w:rsidRPr="00CF4819">
              <w:rPr>
                <w:rStyle w:val="Hyperlink"/>
                <w:noProof/>
              </w:rPr>
              <w:t>6.1 Summary of Key Findings</w:t>
            </w:r>
            <w:r>
              <w:rPr>
                <w:noProof/>
                <w:webHidden/>
              </w:rPr>
              <w:tab/>
            </w:r>
            <w:r>
              <w:rPr>
                <w:noProof/>
                <w:webHidden/>
              </w:rPr>
              <w:fldChar w:fldCharType="begin"/>
            </w:r>
            <w:r>
              <w:rPr>
                <w:noProof/>
                <w:webHidden/>
              </w:rPr>
              <w:instrText xml:space="preserve"> PAGEREF _Toc227747752 \h </w:instrText>
            </w:r>
            <w:r>
              <w:rPr>
                <w:noProof/>
                <w:webHidden/>
              </w:rPr>
            </w:r>
            <w:r>
              <w:rPr>
                <w:noProof/>
                <w:webHidden/>
              </w:rPr>
              <w:fldChar w:fldCharType="separate"/>
            </w:r>
            <w:r>
              <w:rPr>
                <w:noProof/>
                <w:webHidden/>
              </w:rPr>
              <w:t>26</w:t>
            </w:r>
            <w:r>
              <w:rPr>
                <w:noProof/>
                <w:webHidden/>
              </w:rPr>
              <w:fldChar w:fldCharType="end"/>
            </w:r>
          </w:hyperlink>
        </w:p>
        <w:p w14:paraId="0984DC0F" w14:textId="6FD35319" w:rsidR="007F2FB4" w:rsidRDefault="007F2FB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7747753" w:history="1">
            <w:r w:rsidRPr="00CF4819">
              <w:rPr>
                <w:rStyle w:val="Hyperlink"/>
                <w:noProof/>
              </w:rPr>
              <w:t>6.2 Final Strategic Recommendations</w:t>
            </w:r>
            <w:r>
              <w:rPr>
                <w:noProof/>
                <w:webHidden/>
              </w:rPr>
              <w:tab/>
            </w:r>
            <w:r>
              <w:rPr>
                <w:noProof/>
                <w:webHidden/>
              </w:rPr>
              <w:fldChar w:fldCharType="begin"/>
            </w:r>
            <w:r>
              <w:rPr>
                <w:noProof/>
                <w:webHidden/>
              </w:rPr>
              <w:instrText xml:space="preserve"> PAGEREF _Toc227747753 \h </w:instrText>
            </w:r>
            <w:r>
              <w:rPr>
                <w:noProof/>
                <w:webHidden/>
              </w:rPr>
            </w:r>
            <w:r>
              <w:rPr>
                <w:noProof/>
                <w:webHidden/>
              </w:rPr>
              <w:fldChar w:fldCharType="separate"/>
            </w:r>
            <w:r>
              <w:rPr>
                <w:noProof/>
                <w:webHidden/>
              </w:rPr>
              <w:t>26</w:t>
            </w:r>
            <w:r>
              <w:rPr>
                <w:noProof/>
                <w:webHidden/>
              </w:rPr>
              <w:fldChar w:fldCharType="end"/>
            </w:r>
          </w:hyperlink>
        </w:p>
        <w:p w14:paraId="48FAF088" w14:textId="27A993A6" w:rsidR="007F2FB4" w:rsidRDefault="007F2FB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7747754" w:history="1">
            <w:r w:rsidRPr="00CF4819">
              <w:rPr>
                <w:rStyle w:val="Hyperlink"/>
                <w:noProof/>
              </w:rPr>
              <w:t>References</w:t>
            </w:r>
            <w:r>
              <w:rPr>
                <w:noProof/>
                <w:webHidden/>
              </w:rPr>
              <w:tab/>
            </w:r>
            <w:r>
              <w:rPr>
                <w:noProof/>
                <w:webHidden/>
              </w:rPr>
              <w:fldChar w:fldCharType="begin"/>
            </w:r>
            <w:r>
              <w:rPr>
                <w:noProof/>
                <w:webHidden/>
              </w:rPr>
              <w:instrText xml:space="preserve"> PAGEREF _Toc227747754 \h </w:instrText>
            </w:r>
            <w:r>
              <w:rPr>
                <w:noProof/>
                <w:webHidden/>
              </w:rPr>
            </w:r>
            <w:r>
              <w:rPr>
                <w:noProof/>
                <w:webHidden/>
              </w:rPr>
              <w:fldChar w:fldCharType="separate"/>
            </w:r>
            <w:r>
              <w:rPr>
                <w:noProof/>
                <w:webHidden/>
              </w:rPr>
              <w:t>27</w:t>
            </w:r>
            <w:r>
              <w:rPr>
                <w:noProof/>
                <w:webHidden/>
              </w:rPr>
              <w:fldChar w:fldCharType="end"/>
            </w:r>
          </w:hyperlink>
        </w:p>
        <w:p w14:paraId="5DEA7D60" w14:textId="12340F75" w:rsidR="007F2FB4" w:rsidRDefault="007F2FB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7747755" w:history="1">
            <w:r w:rsidRPr="00CF4819">
              <w:rPr>
                <w:rStyle w:val="Hyperlink"/>
                <w:noProof/>
              </w:rPr>
              <w:t>Appendices</w:t>
            </w:r>
            <w:r>
              <w:rPr>
                <w:noProof/>
                <w:webHidden/>
              </w:rPr>
              <w:tab/>
            </w:r>
            <w:r>
              <w:rPr>
                <w:noProof/>
                <w:webHidden/>
              </w:rPr>
              <w:fldChar w:fldCharType="begin"/>
            </w:r>
            <w:r>
              <w:rPr>
                <w:noProof/>
                <w:webHidden/>
              </w:rPr>
              <w:instrText xml:space="preserve"> PAGEREF _Toc227747755 \h </w:instrText>
            </w:r>
            <w:r>
              <w:rPr>
                <w:noProof/>
                <w:webHidden/>
              </w:rPr>
            </w:r>
            <w:r>
              <w:rPr>
                <w:noProof/>
                <w:webHidden/>
              </w:rPr>
              <w:fldChar w:fldCharType="separate"/>
            </w:r>
            <w:r>
              <w:rPr>
                <w:noProof/>
                <w:webHidden/>
              </w:rPr>
              <w:t>30</w:t>
            </w:r>
            <w:r>
              <w:rPr>
                <w:noProof/>
                <w:webHidden/>
              </w:rPr>
              <w:fldChar w:fldCharType="end"/>
            </w:r>
          </w:hyperlink>
        </w:p>
        <w:p w14:paraId="07D8C244" w14:textId="5B3C17DD" w:rsidR="007F2FB4" w:rsidRDefault="007F2FB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7747756" w:history="1">
            <w:r w:rsidRPr="00CF4819">
              <w:rPr>
                <w:rStyle w:val="Hyperlink"/>
                <w:noProof/>
                <w:lang w:val="en-IN"/>
              </w:rPr>
              <w:t>AI Acknowledgement</w:t>
            </w:r>
            <w:r>
              <w:rPr>
                <w:noProof/>
                <w:webHidden/>
              </w:rPr>
              <w:tab/>
            </w:r>
            <w:r>
              <w:rPr>
                <w:noProof/>
                <w:webHidden/>
              </w:rPr>
              <w:fldChar w:fldCharType="begin"/>
            </w:r>
            <w:r>
              <w:rPr>
                <w:noProof/>
                <w:webHidden/>
              </w:rPr>
              <w:instrText xml:space="preserve"> PAGEREF _Toc227747756 \h </w:instrText>
            </w:r>
            <w:r>
              <w:rPr>
                <w:noProof/>
                <w:webHidden/>
              </w:rPr>
            </w:r>
            <w:r>
              <w:rPr>
                <w:noProof/>
                <w:webHidden/>
              </w:rPr>
              <w:fldChar w:fldCharType="separate"/>
            </w:r>
            <w:r>
              <w:rPr>
                <w:noProof/>
                <w:webHidden/>
              </w:rPr>
              <w:t>34</w:t>
            </w:r>
            <w:r>
              <w:rPr>
                <w:noProof/>
                <w:webHidden/>
              </w:rPr>
              <w:fldChar w:fldCharType="end"/>
            </w:r>
          </w:hyperlink>
        </w:p>
        <w:p w14:paraId="278E363D" w14:textId="21A15DE2" w:rsidR="00A70B58" w:rsidRDefault="00F252D5">
          <w:r>
            <w:rPr>
              <w:b/>
              <w:bCs/>
            </w:rPr>
            <w:fldChar w:fldCharType="end"/>
          </w:r>
        </w:p>
      </w:sdtContent>
    </w:sdt>
    <w:p w14:paraId="15C38E5D" w14:textId="77777777" w:rsidR="00A70B58" w:rsidRDefault="00F252D5">
      <w:pPr>
        <w:rPr>
          <w:b/>
          <w:bCs/>
          <w:sz w:val="28"/>
          <w:szCs w:val="28"/>
        </w:rPr>
      </w:pPr>
      <w:r>
        <w:br w:type="page"/>
      </w:r>
    </w:p>
    <w:p w14:paraId="2424FC5B" w14:textId="08F5F21F" w:rsidR="004D7E00" w:rsidRPr="003E35CC" w:rsidRDefault="00C14FD1" w:rsidP="003E35CC">
      <w:pPr>
        <w:spacing w:before="0" w:after="0" w:line="240" w:lineRule="auto"/>
        <w:jc w:val="center"/>
        <w:rPr>
          <w:b/>
          <w:bCs/>
          <w:sz w:val="28"/>
          <w:szCs w:val="28"/>
        </w:rPr>
      </w:pPr>
      <w:r w:rsidRPr="003E35CC">
        <w:rPr>
          <w:b/>
          <w:bCs/>
          <w:sz w:val="28"/>
          <w:szCs w:val="28"/>
        </w:rPr>
        <w:lastRenderedPageBreak/>
        <w:t>List of Tables</w:t>
      </w:r>
    </w:p>
    <w:p w14:paraId="06F80155" w14:textId="40964163" w:rsidR="007F2FB4" w:rsidRDefault="004D7E00">
      <w:pPr>
        <w:pStyle w:val="TableofFigures"/>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\h \z \t "Heading 4" \c </w:instrText>
      </w:r>
      <w:r>
        <w:fldChar w:fldCharType="separate"/>
      </w:r>
      <w:hyperlink w:anchor="_Toc227747702" w:history="1">
        <w:r w:rsidR="007F2FB4" w:rsidRPr="007927A2">
          <w:rPr>
            <w:rStyle w:val="Hyperlink"/>
            <w:noProof/>
          </w:rPr>
          <w:t>Table 1: Raw financial data</w:t>
        </w:r>
        <w:r w:rsidR="007F2FB4">
          <w:rPr>
            <w:noProof/>
            <w:webHidden/>
          </w:rPr>
          <w:tab/>
        </w:r>
        <w:r w:rsidR="007F2FB4">
          <w:rPr>
            <w:noProof/>
            <w:webHidden/>
          </w:rPr>
          <w:fldChar w:fldCharType="begin"/>
        </w:r>
        <w:r w:rsidR="007F2FB4">
          <w:rPr>
            <w:noProof/>
            <w:webHidden/>
          </w:rPr>
          <w:instrText xml:space="preserve"> PAGEREF _Toc227747702 \h </w:instrText>
        </w:r>
        <w:r w:rsidR="007F2FB4">
          <w:rPr>
            <w:noProof/>
            <w:webHidden/>
          </w:rPr>
        </w:r>
        <w:r w:rsidR="007F2FB4">
          <w:rPr>
            <w:noProof/>
            <w:webHidden/>
          </w:rPr>
          <w:fldChar w:fldCharType="separate"/>
        </w:r>
        <w:r w:rsidR="007F2FB4">
          <w:rPr>
            <w:noProof/>
            <w:webHidden/>
          </w:rPr>
          <w:t>6</w:t>
        </w:r>
        <w:r w:rsidR="007F2FB4">
          <w:rPr>
            <w:noProof/>
            <w:webHidden/>
          </w:rPr>
          <w:fldChar w:fldCharType="end"/>
        </w:r>
      </w:hyperlink>
    </w:p>
    <w:p w14:paraId="7357BD51" w14:textId="34695E27"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03" w:history="1">
        <w:r w:rsidRPr="007927A2">
          <w:rPr>
            <w:rStyle w:val="Hyperlink"/>
            <w:noProof/>
          </w:rPr>
          <w:t>Table 2: PROFITABILITY RATIOS</w:t>
        </w:r>
        <w:r>
          <w:rPr>
            <w:noProof/>
            <w:webHidden/>
          </w:rPr>
          <w:tab/>
        </w:r>
        <w:r>
          <w:rPr>
            <w:noProof/>
            <w:webHidden/>
          </w:rPr>
          <w:fldChar w:fldCharType="begin"/>
        </w:r>
        <w:r>
          <w:rPr>
            <w:noProof/>
            <w:webHidden/>
          </w:rPr>
          <w:instrText xml:space="preserve"> PAGEREF _Toc227747703 \h </w:instrText>
        </w:r>
        <w:r>
          <w:rPr>
            <w:noProof/>
            <w:webHidden/>
          </w:rPr>
        </w:r>
        <w:r>
          <w:rPr>
            <w:noProof/>
            <w:webHidden/>
          </w:rPr>
          <w:fldChar w:fldCharType="separate"/>
        </w:r>
        <w:r>
          <w:rPr>
            <w:noProof/>
            <w:webHidden/>
          </w:rPr>
          <w:t>7</w:t>
        </w:r>
        <w:r>
          <w:rPr>
            <w:noProof/>
            <w:webHidden/>
          </w:rPr>
          <w:fldChar w:fldCharType="end"/>
        </w:r>
      </w:hyperlink>
    </w:p>
    <w:p w14:paraId="0806C969" w14:textId="4AC37221"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04" w:history="1">
        <w:r w:rsidRPr="007927A2">
          <w:rPr>
            <w:rStyle w:val="Hyperlink"/>
            <w:noProof/>
          </w:rPr>
          <w:t>Table 3: LIQUIDITY RATIOS</w:t>
        </w:r>
        <w:r>
          <w:rPr>
            <w:noProof/>
            <w:webHidden/>
          </w:rPr>
          <w:tab/>
        </w:r>
        <w:r>
          <w:rPr>
            <w:noProof/>
            <w:webHidden/>
          </w:rPr>
          <w:fldChar w:fldCharType="begin"/>
        </w:r>
        <w:r>
          <w:rPr>
            <w:noProof/>
            <w:webHidden/>
          </w:rPr>
          <w:instrText xml:space="preserve"> PAGEREF _Toc227747704 \h </w:instrText>
        </w:r>
        <w:r>
          <w:rPr>
            <w:noProof/>
            <w:webHidden/>
          </w:rPr>
        </w:r>
        <w:r>
          <w:rPr>
            <w:noProof/>
            <w:webHidden/>
          </w:rPr>
          <w:fldChar w:fldCharType="separate"/>
        </w:r>
        <w:r>
          <w:rPr>
            <w:noProof/>
            <w:webHidden/>
          </w:rPr>
          <w:t>8</w:t>
        </w:r>
        <w:r>
          <w:rPr>
            <w:noProof/>
            <w:webHidden/>
          </w:rPr>
          <w:fldChar w:fldCharType="end"/>
        </w:r>
      </w:hyperlink>
    </w:p>
    <w:p w14:paraId="076973BA" w14:textId="23F05A55"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05" w:history="1">
        <w:r w:rsidRPr="007927A2">
          <w:rPr>
            <w:rStyle w:val="Hyperlink"/>
            <w:noProof/>
          </w:rPr>
          <w:t>Table 4: EFFICIENCY RATIOS</w:t>
        </w:r>
        <w:r>
          <w:rPr>
            <w:noProof/>
            <w:webHidden/>
          </w:rPr>
          <w:tab/>
        </w:r>
        <w:r>
          <w:rPr>
            <w:noProof/>
            <w:webHidden/>
          </w:rPr>
          <w:fldChar w:fldCharType="begin"/>
        </w:r>
        <w:r>
          <w:rPr>
            <w:noProof/>
            <w:webHidden/>
          </w:rPr>
          <w:instrText xml:space="preserve"> PAGEREF _Toc227747705 \h </w:instrText>
        </w:r>
        <w:r>
          <w:rPr>
            <w:noProof/>
            <w:webHidden/>
          </w:rPr>
        </w:r>
        <w:r>
          <w:rPr>
            <w:noProof/>
            <w:webHidden/>
          </w:rPr>
          <w:fldChar w:fldCharType="separate"/>
        </w:r>
        <w:r>
          <w:rPr>
            <w:noProof/>
            <w:webHidden/>
          </w:rPr>
          <w:t>8</w:t>
        </w:r>
        <w:r>
          <w:rPr>
            <w:noProof/>
            <w:webHidden/>
          </w:rPr>
          <w:fldChar w:fldCharType="end"/>
        </w:r>
      </w:hyperlink>
    </w:p>
    <w:p w14:paraId="73894AFC" w14:textId="0D9906C6"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06" w:history="1">
        <w:r w:rsidRPr="007927A2">
          <w:rPr>
            <w:rStyle w:val="Hyperlink"/>
            <w:noProof/>
          </w:rPr>
          <w:t>Table 5: GEARING / LEVERAGE RATIOS</w:t>
        </w:r>
        <w:r>
          <w:rPr>
            <w:noProof/>
            <w:webHidden/>
          </w:rPr>
          <w:tab/>
        </w:r>
        <w:r>
          <w:rPr>
            <w:noProof/>
            <w:webHidden/>
          </w:rPr>
          <w:fldChar w:fldCharType="begin"/>
        </w:r>
        <w:r>
          <w:rPr>
            <w:noProof/>
            <w:webHidden/>
          </w:rPr>
          <w:instrText xml:space="preserve"> PAGEREF _Toc227747706 \h </w:instrText>
        </w:r>
        <w:r>
          <w:rPr>
            <w:noProof/>
            <w:webHidden/>
          </w:rPr>
        </w:r>
        <w:r>
          <w:rPr>
            <w:noProof/>
            <w:webHidden/>
          </w:rPr>
          <w:fldChar w:fldCharType="separate"/>
        </w:r>
        <w:r>
          <w:rPr>
            <w:noProof/>
            <w:webHidden/>
          </w:rPr>
          <w:t>9</w:t>
        </w:r>
        <w:r>
          <w:rPr>
            <w:noProof/>
            <w:webHidden/>
          </w:rPr>
          <w:fldChar w:fldCharType="end"/>
        </w:r>
      </w:hyperlink>
    </w:p>
    <w:p w14:paraId="750E8A06" w14:textId="6300CE08"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07" w:history="1">
        <w:r w:rsidRPr="007927A2">
          <w:rPr>
            <w:rStyle w:val="Hyperlink"/>
            <w:noProof/>
          </w:rPr>
          <w:t>Table 6: INVESTMENT / MARKET RATIOS</w:t>
        </w:r>
        <w:r>
          <w:rPr>
            <w:noProof/>
            <w:webHidden/>
          </w:rPr>
          <w:tab/>
        </w:r>
        <w:r>
          <w:rPr>
            <w:noProof/>
            <w:webHidden/>
          </w:rPr>
          <w:fldChar w:fldCharType="begin"/>
        </w:r>
        <w:r>
          <w:rPr>
            <w:noProof/>
            <w:webHidden/>
          </w:rPr>
          <w:instrText xml:space="preserve"> PAGEREF _Toc227747707 \h </w:instrText>
        </w:r>
        <w:r>
          <w:rPr>
            <w:noProof/>
            <w:webHidden/>
          </w:rPr>
        </w:r>
        <w:r>
          <w:rPr>
            <w:noProof/>
            <w:webHidden/>
          </w:rPr>
          <w:fldChar w:fldCharType="separate"/>
        </w:r>
        <w:r>
          <w:rPr>
            <w:noProof/>
            <w:webHidden/>
          </w:rPr>
          <w:t>10</w:t>
        </w:r>
        <w:r>
          <w:rPr>
            <w:noProof/>
            <w:webHidden/>
          </w:rPr>
          <w:fldChar w:fldCharType="end"/>
        </w:r>
      </w:hyperlink>
    </w:p>
    <w:p w14:paraId="49D1F859" w14:textId="0C4D5958"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08" w:history="1">
        <w:r w:rsidRPr="007927A2">
          <w:rPr>
            <w:rStyle w:val="Hyperlink"/>
            <w:noProof/>
          </w:rPr>
          <w:t>Table 7: Revenue Trend data</w:t>
        </w:r>
        <w:r>
          <w:rPr>
            <w:noProof/>
            <w:webHidden/>
          </w:rPr>
          <w:tab/>
        </w:r>
        <w:r>
          <w:rPr>
            <w:noProof/>
            <w:webHidden/>
          </w:rPr>
          <w:fldChar w:fldCharType="begin"/>
        </w:r>
        <w:r>
          <w:rPr>
            <w:noProof/>
            <w:webHidden/>
          </w:rPr>
          <w:instrText xml:space="preserve"> PAGEREF _Toc227747708 \h </w:instrText>
        </w:r>
        <w:r>
          <w:rPr>
            <w:noProof/>
            <w:webHidden/>
          </w:rPr>
        </w:r>
        <w:r>
          <w:rPr>
            <w:noProof/>
            <w:webHidden/>
          </w:rPr>
          <w:fldChar w:fldCharType="separate"/>
        </w:r>
        <w:r>
          <w:rPr>
            <w:noProof/>
            <w:webHidden/>
          </w:rPr>
          <w:t>10</w:t>
        </w:r>
        <w:r>
          <w:rPr>
            <w:noProof/>
            <w:webHidden/>
          </w:rPr>
          <w:fldChar w:fldCharType="end"/>
        </w:r>
      </w:hyperlink>
    </w:p>
    <w:p w14:paraId="17314507" w14:textId="7736CD1B"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09" w:history="1">
        <w:r w:rsidRPr="007927A2">
          <w:rPr>
            <w:rStyle w:val="Hyperlink"/>
            <w:noProof/>
          </w:rPr>
          <w:t>Table 8: Net income trend</w:t>
        </w:r>
        <w:r>
          <w:rPr>
            <w:noProof/>
            <w:webHidden/>
          </w:rPr>
          <w:tab/>
        </w:r>
        <w:r>
          <w:rPr>
            <w:noProof/>
            <w:webHidden/>
          </w:rPr>
          <w:fldChar w:fldCharType="begin"/>
        </w:r>
        <w:r>
          <w:rPr>
            <w:noProof/>
            <w:webHidden/>
          </w:rPr>
          <w:instrText xml:space="preserve"> PAGEREF _Toc227747709 \h </w:instrText>
        </w:r>
        <w:r>
          <w:rPr>
            <w:noProof/>
            <w:webHidden/>
          </w:rPr>
        </w:r>
        <w:r>
          <w:rPr>
            <w:noProof/>
            <w:webHidden/>
          </w:rPr>
          <w:fldChar w:fldCharType="separate"/>
        </w:r>
        <w:r>
          <w:rPr>
            <w:noProof/>
            <w:webHidden/>
          </w:rPr>
          <w:t>12</w:t>
        </w:r>
        <w:r>
          <w:rPr>
            <w:noProof/>
            <w:webHidden/>
          </w:rPr>
          <w:fldChar w:fldCharType="end"/>
        </w:r>
      </w:hyperlink>
    </w:p>
    <w:p w14:paraId="5831D716" w14:textId="7AB9F202"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10" w:history="1">
        <w:r w:rsidRPr="007927A2">
          <w:rPr>
            <w:rStyle w:val="Hyperlink"/>
            <w:noProof/>
          </w:rPr>
          <w:t>Table 9: Profit margin analysis</w:t>
        </w:r>
        <w:r>
          <w:rPr>
            <w:noProof/>
            <w:webHidden/>
          </w:rPr>
          <w:tab/>
        </w:r>
        <w:r>
          <w:rPr>
            <w:noProof/>
            <w:webHidden/>
          </w:rPr>
          <w:fldChar w:fldCharType="begin"/>
        </w:r>
        <w:r>
          <w:rPr>
            <w:noProof/>
            <w:webHidden/>
          </w:rPr>
          <w:instrText xml:space="preserve"> PAGEREF _Toc227747710 \h </w:instrText>
        </w:r>
        <w:r>
          <w:rPr>
            <w:noProof/>
            <w:webHidden/>
          </w:rPr>
        </w:r>
        <w:r>
          <w:rPr>
            <w:noProof/>
            <w:webHidden/>
          </w:rPr>
          <w:fldChar w:fldCharType="separate"/>
        </w:r>
        <w:r>
          <w:rPr>
            <w:noProof/>
            <w:webHidden/>
          </w:rPr>
          <w:t>13</w:t>
        </w:r>
        <w:r>
          <w:rPr>
            <w:noProof/>
            <w:webHidden/>
          </w:rPr>
          <w:fldChar w:fldCharType="end"/>
        </w:r>
      </w:hyperlink>
    </w:p>
    <w:p w14:paraId="0B155404" w14:textId="193B42B1"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11" w:history="1">
        <w:r w:rsidRPr="007927A2">
          <w:rPr>
            <w:rStyle w:val="Hyperlink"/>
            <w:noProof/>
          </w:rPr>
          <w:t>Table 10: Raw inputs data</w:t>
        </w:r>
        <w:r>
          <w:rPr>
            <w:noProof/>
            <w:webHidden/>
          </w:rPr>
          <w:tab/>
        </w:r>
        <w:r>
          <w:rPr>
            <w:noProof/>
            <w:webHidden/>
          </w:rPr>
          <w:fldChar w:fldCharType="begin"/>
        </w:r>
        <w:r>
          <w:rPr>
            <w:noProof/>
            <w:webHidden/>
          </w:rPr>
          <w:instrText xml:space="preserve"> PAGEREF _Toc227747711 \h </w:instrText>
        </w:r>
        <w:r>
          <w:rPr>
            <w:noProof/>
            <w:webHidden/>
          </w:rPr>
        </w:r>
        <w:r>
          <w:rPr>
            <w:noProof/>
            <w:webHidden/>
          </w:rPr>
          <w:fldChar w:fldCharType="separate"/>
        </w:r>
        <w:r>
          <w:rPr>
            <w:noProof/>
            <w:webHidden/>
          </w:rPr>
          <w:t>15</w:t>
        </w:r>
        <w:r>
          <w:rPr>
            <w:noProof/>
            <w:webHidden/>
          </w:rPr>
          <w:fldChar w:fldCharType="end"/>
        </w:r>
      </w:hyperlink>
    </w:p>
    <w:p w14:paraId="4C44DBF1" w14:textId="1A0CB4DA"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12" w:history="1">
        <w:r w:rsidRPr="007927A2">
          <w:rPr>
            <w:rStyle w:val="Hyperlink"/>
            <w:noProof/>
          </w:rPr>
          <w:t>Table 11: CCC trend analysis table</w:t>
        </w:r>
        <w:r>
          <w:rPr>
            <w:noProof/>
            <w:webHidden/>
          </w:rPr>
          <w:tab/>
        </w:r>
        <w:r>
          <w:rPr>
            <w:noProof/>
            <w:webHidden/>
          </w:rPr>
          <w:fldChar w:fldCharType="begin"/>
        </w:r>
        <w:r>
          <w:rPr>
            <w:noProof/>
            <w:webHidden/>
          </w:rPr>
          <w:instrText xml:space="preserve"> PAGEREF _Toc227747712 \h </w:instrText>
        </w:r>
        <w:r>
          <w:rPr>
            <w:noProof/>
            <w:webHidden/>
          </w:rPr>
        </w:r>
        <w:r>
          <w:rPr>
            <w:noProof/>
            <w:webHidden/>
          </w:rPr>
          <w:fldChar w:fldCharType="separate"/>
        </w:r>
        <w:r>
          <w:rPr>
            <w:noProof/>
            <w:webHidden/>
          </w:rPr>
          <w:t>16</w:t>
        </w:r>
        <w:r>
          <w:rPr>
            <w:noProof/>
            <w:webHidden/>
          </w:rPr>
          <w:fldChar w:fldCharType="end"/>
        </w:r>
      </w:hyperlink>
    </w:p>
    <w:p w14:paraId="08B69920" w14:textId="5B024929"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13" w:history="1">
        <w:r w:rsidRPr="007927A2">
          <w:rPr>
            <w:rStyle w:val="Hyperlink"/>
            <w:noProof/>
          </w:rPr>
          <w:t>Table 12: Assumption investment project data</w:t>
        </w:r>
        <w:r>
          <w:rPr>
            <w:noProof/>
            <w:webHidden/>
          </w:rPr>
          <w:tab/>
        </w:r>
        <w:r>
          <w:rPr>
            <w:noProof/>
            <w:webHidden/>
          </w:rPr>
          <w:fldChar w:fldCharType="begin"/>
        </w:r>
        <w:r>
          <w:rPr>
            <w:noProof/>
            <w:webHidden/>
          </w:rPr>
          <w:instrText xml:space="preserve"> PAGEREF _Toc227747713 \h </w:instrText>
        </w:r>
        <w:r>
          <w:rPr>
            <w:noProof/>
            <w:webHidden/>
          </w:rPr>
        </w:r>
        <w:r>
          <w:rPr>
            <w:noProof/>
            <w:webHidden/>
          </w:rPr>
          <w:fldChar w:fldCharType="separate"/>
        </w:r>
        <w:r>
          <w:rPr>
            <w:noProof/>
            <w:webHidden/>
          </w:rPr>
          <w:t>21</w:t>
        </w:r>
        <w:r>
          <w:rPr>
            <w:noProof/>
            <w:webHidden/>
          </w:rPr>
          <w:fldChar w:fldCharType="end"/>
        </w:r>
      </w:hyperlink>
    </w:p>
    <w:p w14:paraId="601D1BAB" w14:textId="5E17991B"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14" w:history="1">
        <w:r w:rsidRPr="007927A2">
          <w:rPr>
            <w:rStyle w:val="Hyperlink"/>
            <w:noProof/>
          </w:rPr>
          <w:t>Table 13: Cash flow inputs</w:t>
        </w:r>
        <w:r>
          <w:rPr>
            <w:noProof/>
            <w:webHidden/>
          </w:rPr>
          <w:tab/>
        </w:r>
        <w:r>
          <w:rPr>
            <w:noProof/>
            <w:webHidden/>
          </w:rPr>
          <w:fldChar w:fldCharType="begin"/>
        </w:r>
        <w:r>
          <w:rPr>
            <w:noProof/>
            <w:webHidden/>
          </w:rPr>
          <w:instrText xml:space="preserve"> PAGEREF _Toc227747714 \h </w:instrText>
        </w:r>
        <w:r>
          <w:rPr>
            <w:noProof/>
            <w:webHidden/>
          </w:rPr>
        </w:r>
        <w:r>
          <w:rPr>
            <w:noProof/>
            <w:webHidden/>
          </w:rPr>
          <w:fldChar w:fldCharType="separate"/>
        </w:r>
        <w:r>
          <w:rPr>
            <w:noProof/>
            <w:webHidden/>
          </w:rPr>
          <w:t>21</w:t>
        </w:r>
        <w:r>
          <w:rPr>
            <w:noProof/>
            <w:webHidden/>
          </w:rPr>
          <w:fldChar w:fldCharType="end"/>
        </w:r>
      </w:hyperlink>
    </w:p>
    <w:p w14:paraId="57BB4E0E" w14:textId="6835BEC9"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15" w:history="1">
        <w:r w:rsidRPr="007927A2">
          <w:rPr>
            <w:rStyle w:val="Hyperlink"/>
            <w:noProof/>
          </w:rPr>
          <w:t>Table 14: Payback Period (PBP)</w:t>
        </w:r>
        <w:r>
          <w:rPr>
            <w:noProof/>
            <w:webHidden/>
          </w:rPr>
          <w:tab/>
        </w:r>
        <w:r>
          <w:rPr>
            <w:noProof/>
            <w:webHidden/>
          </w:rPr>
          <w:fldChar w:fldCharType="begin"/>
        </w:r>
        <w:r>
          <w:rPr>
            <w:noProof/>
            <w:webHidden/>
          </w:rPr>
          <w:instrText xml:space="preserve"> PAGEREF _Toc227747715 \h </w:instrText>
        </w:r>
        <w:r>
          <w:rPr>
            <w:noProof/>
            <w:webHidden/>
          </w:rPr>
        </w:r>
        <w:r>
          <w:rPr>
            <w:noProof/>
            <w:webHidden/>
          </w:rPr>
          <w:fldChar w:fldCharType="separate"/>
        </w:r>
        <w:r>
          <w:rPr>
            <w:noProof/>
            <w:webHidden/>
          </w:rPr>
          <w:t>22</w:t>
        </w:r>
        <w:r>
          <w:rPr>
            <w:noProof/>
            <w:webHidden/>
          </w:rPr>
          <w:fldChar w:fldCharType="end"/>
        </w:r>
      </w:hyperlink>
    </w:p>
    <w:p w14:paraId="47AE4E3F" w14:textId="1DFD997B"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16" w:history="1">
        <w:r w:rsidRPr="007927A2">
          <w:rPr>
            <w:rStyle w:val="Hyperlink"/>
            <w:noProof/>
          </w:rPr>
          <w:t>Table 15: Accounting Rate of Return</w:t>
        </w:r>
        <w:r>
          <w:rPr>
            <w:noProof/>
            <w:webHidden/>
          </w:rPr>
          <w:tab/>
        </w:r>
        <w:r>
          <w:rPr>
            <w:noProof/>
            <w:webHidden/>
          </w:rPr>
          <w:fldChar w:fldCharType="begin"/>
        </w:r>
        <w:r>
          <w:rPr>
            <w:noProof/>
            <w:webHidden/>
          </w:rPr>
          <w:instrText xml:space="preserve"> PAGEREF _Toc227747716 \h </w:instrText>
        </w:r>
        <w:r>
          <w:rPr>
            <w:noProof/>
            <w:webHidden/>
          </w:rPr>
        </w:r>
        <w:r>
          <w:rPr>
            <w:noProof/>
            <w:webHidden/>
          </w:rPr>
          <w:fldChar w:fldCharType="separate"/>
        </w:r>
        <w:r>
          <w:rPr>
            <w:noProof/>
            <w:webHidden/>
          </w:rPr>
          <w:t>22</w:t>
        </w:r>
        <w:r>
          <w:rPr>
            <w:noProof/>
            <w:webHidden/>
          </w:rPr>
          <w:fldChar w:fldCharType="end"/>
        </w:r>
      </w:hyperlink>
    </w:p>
    <w:p w14:paraId="04FC9497" w14:textId="05128872"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17" w:history="1">
        <w:r w:rsidRPr="007927A2">
          <w:rPr>
            <w:rStyle w:val="Hyperlink"/>
            <w:noProof/>
          </w:rPr>
          <w:t>Table 16: Net Present Value</w:t>
        </w:r>
        <w:r>
          <w:rPr>
            <w:noProof/>
            <w:webHidden/>
          </w:rPr>
          <w:tab/>
        </w:r>
        <w:r>
          <w:rPr>
            <w:noProof/>
            <w:webHidden/>
          </w:rPr>
          <w:fldChar w:fldCharType="begin"/>
        </w:r>
        <w:r>
          <w:rPr>
            <w:noProof/>
            <w:webHidden/>
          </w:rPr>
          <w:instrText xml:space="preserve"> PAGEREF _Toc227747717 \h </w:instrText>
        </w:r>
        <w:r>
          <w:rPr>
            <w:noProof/>
            <w:webHidden/>
          </w:rPr>
        </w:r>
        <w:r>
          <w:rPr>
            <w:noProof/>
            <w:webHidden/>
          </w:rPr>
          <w:fldChar w:fldCharType="separate"/>
        </w:r>
        <w:r>
          <w:rPr>
            <w:noProof/>
            <w:webHidden/>
          </w:rPr>
          <w:t>23</w:t>
        </w:r>
        <w:r>
          <w:rPr>
            <w:noProof/>
            <w:webHidden/>
          </w:rPr>
          <w:fldChar w:fldCharType="end"/>
        </w:r>
      </w:hyperlink>
    </w:p>
    <w:p w14:paraId="68DD2631" w14:textId="01A877E3"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18" w:history="1">
        <w:r w:rsidRPr="007927A2">
          <w:rPr>
            <w:rStyle w:val="Hyperlink"/>
            <w:noProof/>
          </w:rPr>
          <w:t>Table 17: Internal Rate of Return</w:t>
        </w:r>
        <w:r>
          <w:rPr>
            <w:noProof/>
            <w:webHidden/>
          </w:rPr>
          <w:tab/>
        </w:r>
        <w:r>
          <w:rPr>
            <w:noProof/>
            <w:webHidden/>
          </w:rPr>
          <w:fldChar w:fldCharType="begin"/>
        </w:r>
        <w:r>
          <w:rPr>
            <w:noProof/>
            <w:webHidden/>
          </w:rPr>
          <w:instrText xml:space="preserve"> PAGEREF _Toc227747718 \h </w:instrText>
        </w:r>
        <w:r>
          <w:rPr>
            <w:noProof/>
            <w:webHidden/>
          </w:rPr>
        </w:r>
        <w:r>
          <w:rPr>
            <w:noProof/>
            <w:webHidden/>
          </w:rPr>
          <w:fldChar w:fldCharType="separate"/>
        </w:r>
        <w:r>
          <w:rPr>
            <w:noProof/>
            <w:webHidden/>
          </w:rPr>
          <w:t>24</w:t>
        </w:r>
        <w:r>
          <w:rPr>
            <w:noProof/>
            <w:webHidden/>
          </w:rPr>
          <w:fldChar w:fldCharType="end"/>
        </w:r>
      </w:hyperlink>
    </w:p>
    <w:p w14:paraId="070F0EA1" w14:textId="5D3DBE36"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19" w:history="1">
        <w:r w:rsidRPr="007927A2">
          <w:rPr>
            <w:rStyle w:val="Hyperlink"/>
            <w:noProof/>
          </w:rPr>
          <w:t>Table 18: Profitability Index</w:t>
        </w:r>
        <w:r>
          <w:rPr>
            <w:noProof/>
            <w:webHidden/>
          </w:rPr>
          <w:tab/>
        </w:r>
        <w:r>
          <w:rPr>
            <w:noProof/>
            <w:webHidden/>
          </w:rPr>
          <w:fldChar w:fldCharType="begin"/>
        </w:r>
        <w:r>
          <w:rPr>
            <w:noProof/>
            <w:webHidden/>
          </w:rPr>
          <w:instrText xml:space="preserve"> PAGEREF _Toc227747719 \h </w:instrText>
        </w:r>
        <w:r>
          <w:rPr>
            <w:noProof/>
            <w:webHidden/>
          </w:rPr>
        </w:r>
        <w:r>
          <w:rPr>
            <w:noProof/>
            <w:webHidden/>
          </w:rPr>
          <w:fldChar w:fldCharType="separate"/>
        </w:r>
        <w:r>
          <w:rPr>
            <w:noProof/>
            <w:webHidden/>
          </w:rPr>
          <w:t>24</w:t>
        </w:r>
        <w:r>
          <w:rPr>
            <w:noProof/>
            <w:webHidden/>
          </w:rPr>
          <w:fldChar w:fldCharType="end"/>
        </w:r>
      </w:hyperlink>
    </w:p>
    <w:p w14:paraId="67B0EE62" w14:textId="1A4E7488" w:rsidR="007F2FB4" w:rsidRDefault="007F2FB4">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27747720" w:history="1">
        <w:r w:rsidRPr="007927A2">
          <w:rPr>
            <w:rStyle w:val="Hyperlink"/>
            <w:noProof/>
          </w:rPr>
          <w:t>Table 19: Appraisal summary</w:t>
        </w:r>
        <w:r>
          <w:rPr>
            <w:noProof/>
            <w:webHidden/>
          </w:rPr>
          <w:tab/>
        </w:r>
        <w:r>
          <w:rPr>
            <w:noProof/>
            <w:webHidden/>
          </w:rPr>
          <w:fldChar w:fldCharType="begin"/>
        </w:r>
        <w:r>
          <w:rPr>
            <w:noProof/>
            <w:webHidden/>
          </w:rPr>
          <w:instrText xml:space="preserve"> PAGEREF _Toc227747720 \h </w:instrText>
        </w:r>
        <w:r>
          <w:rPr>
            <w:noProof/>
            <w:webHidden/>
          </w:rPr>
        </w:r>
        <w:r>
          <w:rPr>
            <w:noProof/>
            <w:webHidden/>
          </w:rPr>
          <w:fldChar w:fldCharType="separate"/>
        </w:r>
        <w:r>
          <w:rPr>
            <w:noProof/>
            <w:webHidden/>
          </w:rPr>
          <w:t>25</w:t>
        </w:r>
        <w:r>
          <w:rPr>
            <w:noProof/>
            <w:webHidden/>
          </w:rPr>
          <w:fldChar w:fldCharType="end"/>
        </w:r>
      </w:hyperlink>
    </w:p>
    <w:p w14:paraId="3D1013FC" w14:textId="09B612C7" w:rsidR="00C14FD1" w:rsidRDefault="004D7E00">
      <w:pPr>
        <w:spacing w:before="0" w:after="0" w:line="240" w:lineRule="auto"/>
        <w:jc w:val="left"/>
        <w:rPr>
          <w:b/>
          <w:bCs/>
          <w:sz w:val="28"/>
          <w:szCs w:val="28"/>
        </w:rPr>
      </w:pPr>
      <w:r>
        <w:lastRenderedPageBreak/>
        <w:fldChar w:fldCharType="end"/>
      </w:r>
    </w:p>
    <w:p w14:paraId="0A395536" w14:textId="5DB9D43D" w:rsidR="00A70B58" w:rsidRDefault="00F252D5">
      <w:pPr>
        <w:pStyle w:val="Heading1"/>
        <w:keepNext w:val="0"/>
        <w:keepLines w:val="0"/>
      </w:pPr>
      <w:bookmarkStart w:id="1" w:name="_Toc227747721"/>
      <w:r>
        <w:t>1. Introduction</w:t>
      </w:r>
      <w:bookmarkEnd w:id="1"/>
    </w:p>
    <w:p w14:paraId="5486C0C6" w14:textId="77777777" w:rsidR="00A70B58" w:rsidRDefault="00F252D5">
      <w:pPr>
        <w:pStyle w:val="Heading2"/>
      </w:pPr>
      <w:bookmarkStart w:id="2" w:name="_lq494c901g0t" w:colFirst="0" w:colLast="0"/>
      <w:bookmarkStart w:id="3" w:name="_Toc227747722"/>
      <w:bookmarkEnd w:id="2"/>
      <w:r>
        <w:t>1.1 Company Overview</w:t>
      </w:r>
      <w:bookmarkEnd w:id="3"/>
      <w:r>
        <w:t xml:space="preserve"> </w:t>
      </w:r>
    </w:p>
    <w:p w14:paraId="509E42B2" w14:textId="77777777" w:rsidR="00A70B58" w:rsidRDefault="00F252D5">
      <w:r>
        <w:rPr>
          <w:sz w:val="23"/>
          <w:szCs w:val="23"/>
        </w:rPr>
        <w:t xml:space="preserve">Toyota Motor Corporation is a worldwide </w:t>
      </w:r>
      <w:proofErr w:type="spellStart"/>
      <w:r>
        <w:rPr>
          <w:sz w:val="23"/>
          <w:szCs w:val="23"/>
        </w:rPr>
        <w:t>recognised</w:t>
      </w:r>
      <w:proofErr w:type="spellEnd"/>
      <w:r>
        <w:rPr>
          <w:sz w:val="23"/>
          <w:szCs w:val="23"/>
        </w:rPr>
        <w:t xml:space="preserve"> automaker that was established in Japan, and it has a high focus on quality, efficiency and innovativeness. With operations in over 170 countries, Toyota has attained an overbearing role in the passenger, commercial, and hybrid technologies (</w:t>
      </w:r>
      <w:r>
        <w:t>Toyota, 2026</w:t>
      </w:r>
      <w:r>
        <w:rPr>
          <w:sz w:val="23"/>
          <w:szCs w:val="23"/>
        </w:rPr>
        <w:t xml:space="preserve">). Over the last few years, the </w:t>
      </w:r>
      <w:proofErr w:type="spellStart"/>
      <w:r>
        <w:rPr>
          <w:sz w:val="23"/>
          <w:szCs w:val="23"/>
        </w:rPr>
        <w:t>organisation</w:t>
      </w:r>
      <w:proofErr w:type="spellEnd"/>
      <w:r>
        <w:rPr>
          <w:sz w:val="23"/>
          <w:szCs w:val="23"/>
        </w:rPr>
        <w:t xml:space="preserve"> has positioned itself as a mobility provider as opposed to a pure automobile manufacturer, especially in terms of electrification, hydrogen-fuel technologies, and sustainable transportation solutions to address the changing worldwide need for low-emission vehicles.</w:t>
      </w:r>
    </w:p>
    <w:p w14:paraId="62718D8A" w14:textId="77777777" w:rsidR="00A70B58" w:rsidRDefault="00F252D5">
      <w:pPr>
        <w:pStyle w:val="Heading2"/>
        <w:keepNext w:val="0"/>
        <w:keepLines w:val="0"/>
      </w:pPr>
      <w:bookmarkStart w:id="4" w:name="_exs7wubs00d7" w:colFirst="0" w:colLast="0"/>
      <w:bookmarkStart w:id="5" w:name="_Toc227747723"/>
      <w:bookmarkEnd w:id="4"/>
      <w:r>
        <w:t>1.2 Purpose and Scope of the Report</w:t>
      </w:r>
      <w:bookmarkEnd w:id="5"/>
      <w:r>
        <w:t xml:space="preserve"> </w:t>
      </w:r>
    </w:p>
    <w:p w14:paraId="394FD008" w14:textId="77777777" w:rsidR="00A70B58" w:rsidRDefault="00F252D5">
      <w:r>
        <w:t xml:space="preserve">The report is based on the role of the Chief Financial Officer (CFO) of Toyota Motor Corporation, to assess the financial performance of the company in the last five years through confirmed financial information available in its annual reports. Some of the areas of analysis include the assessment of financial health using ratio analysis, efficiency of working capital management and strategic financial restructuring aimed at handling the weaknesses identified. Moreover, the report critically evaluates future investment opportunities with the help of capital budgeting methodologies like NPV, IRR, ARR, and Payback Period. </w:t>
      </w:r>
    </w:p>
    <w:p w14:paraId="45ECA822" w14:textId="77777777" w:rsidR="00A70B58" w:rsidRDefault="00F252D5">
      <w:pPr>
        <w:pStyle w:val="Heading1"/>
      </w:pPr>
      <w:bookmarkStart w:id="6" w:name="_656ubum7ly7c" w:colFirst="0" w:colLast="0"/>
      <w:bookmarkStart w:id="7" w:name="_Toc227747724"/>
      <w:bookmarkEnd w:id="6"/>
      <w:r>
        <w:lastRenderedPageBreak/>
        <w:t>2. Financial Health Check</w:t>
      </w:r>
      <w:bookmarkEnd w:id="7"/>
    </w:p>
    <w:p w14:paraId="22FB0967" w14:textId="77777777" w:rsidR="00A70B58" w:rsidRDefault="00F252D5">
      <w:pPr>
        <w:pStyle w:val="Heading2"/>
      </w:pPr>
      <w:bookmarkStart w:id="8" w:name="_9vwfhg398h0m" w:colFirst="0" w:colLast="0"/>
      <w:bookmarkStart w:id="9" w:name="_Toc227747725"/>
      <w:bookmarkEnd w:id="8"/>
      <w:r>
        <w:t>2.1 Overview of Financial Performance</w:t>
      </w:r>
      <w:bookmarkEnd w:id="9"/>
      <w:r>
        <w:t xml:space="preserve"> </w:t>
      </w:r>
    </w:p>
    <w:p w14:paraId="13A48139" w14:textId="77777777" w:rsidR="00A70B58" w:rsidRDefault="00F252D5">
      <w:pPr>
        <w:jc w:val="center"/>
      </w:pPr>
      <w:r>
        <w:rPr>
          <w:noProof/>
        </w:rPr>
        <w:drawing>
          <wp:inline distT="114300" distB="114300" distL="114300" distR="114300" wp14:anchorId="2F18FE12" wp14:editId="6CD7B7ED">
            <wp:extent cx="5943600" cy="2882900"/>
            <wp:effectExtent l="25400" t="25400" r="25400" b="25400"/>
            <wp:docPr id="12" name="image10.png"/>
            <wp:cNvGraphicFramePr/>
            <a:graphic xmlns:a="http://schemas.openxmlformats.org/drawingml/2006/main">
              <a:graphicData uri="http://schemas.openxmlformats.org/drawingml/2006/picture">
                <pic:pic xmlns:pic="http://schemas.openxmlformats.org/drawingml/2006/picture">
                  <pic:nvPicPr>
                    <pic:cNvPr id="12" name="image10.png"/>
                    <pic:cNvPicPr preferRelativeResize="0"/>
                  </pic:nvPicPr>
                  <pic:blipFill>
                    <a:blip r:embed="rId8"/>
                    <a:srcRect/>
                    <a:stretch>
                      <a:fillRect/>
                    </a:stretch>
                  </pic:blipFill>
                  <pic:spPr>
                    <a:xfrm>
                      <a:off x="0" y="0"/>
                      <a:ext cx="5943600" cy="2882900"/>
                    </a:xfrm>
                    <a:prstGeom prst="rect">
                      <a:avLst/>
                    </a:prstGeom>
                    <a:ln w="25400">
                      <a:solidFill>
                        <a:srgbClr val="000000"/>
                      </a:solidFill>
                      <a:prstDash val="solid"/>
                    </a:ln>
                  </pic:spPr>
                </pic:pic>
              </a:graphicData>
            </a:graphic>
          </wp:inline>
        </w:drawing>
      </w:r>
    </w:p>
    <w:p w14:paraId="28FE2227" w14:textId="77777777" w:rsidR="00A70B58" w:rsidRPr="00C14FD1" w:rsidRDefault="00F252D5" w:rsidP="00C14FD1">
      <w:pPr>
        <w:pStyle w:val="Heading4"/>
      </w:pPr>
      <w:bookmarkStart w:id="10" w:name="_Toc227747702"/>
      <w:r w:rsidRPr="00C14FD1">
        <w:t>Table 1: Raw financial data</w:t>
      </w:r>
      <w:bookmarkEnd w:id="10"/>
      <w:r w:rsidRPr="00C14FD1">
        <w:t xml:space="preserve"> </w:t>
      </w:r>
    </w:p>
    <w:p w14:paraId="3870FFB8" w14:textId="77777777" w:rsidR="00A70B58" w:rsidRDefault="00F252D5">
      <w:pPr>
        <w:jc w:val="center"/>
      </w:pPr>
      <w:r>
        <w:t>(Source: Created in Excel)</w:t>
      </w:r>
    </w:p>
    <w:p w14:paraId="620F0F9B" w14:textId="49B319A2" w:rsidR="00A70B58" w:rsidRPr="005931F0" w:rsidRDefault="00F252D5">
      <w:pPr>
        <w:rPr>
          <w:color w:val="000000" w:themeColor="text1"/>
          <w:lang w:val="en-IN"/>
        </w:rPr>
      </w:pPr>
      <w:r>
        <w:rPr>
          <w:lang w:val="en-IN"/>
        </w:rPr>
        <w:t xml:space="preserve">Table 1 shows </w:t>
      </w:r>
      <w:r>
        <w:t xml:space="preserve">Toyota Motor Corporation has a high-rising revenue trend over the five years, where revenues are projected to grow with an upward trend, </w:t>
      </w:r>
      <w:proofErr w:type="spellStart"/>
      <w:r>
        <w:t>totalling</w:t>
      </w:r>
      <w:proofErr w:type="spellEnd"/>
      <w:r>
        <w:t xml:space="preserve"> between ¥27,265 billion in FY2021 and ¥ 48,036 billion in FY2025. This seems to indicate steady growth due to world demand, pricing, and recovery over and above pandemic disturbances. The steep increase is between FY2023 and FY2024, which reflects the better market conditions and operational performance. Net profit indicates variability and not a constant trend in terms of profitability (</w:t>
      </w:r>
      <w:r>
        <w:rPr>
          <w:highlight w:val="white"/>
        </w:rPr>
        <w:t>Joffe, 2025)</w:t>
      </w:r>
      <w:r>
        <w:t xml:space="preserve">. It increased from ¥2,245 billion in FY2021 to ¥2,850 billion in FY2022, declined to ¥2,451 billion in FY2023, and then sharply rose to ¥4,944 billion in FY2024 before slightly decreasing to ¥4,765 billion in FY2025. </w:t>
      </w:r>
      <w:r w:rsidR="00042E00" w:rsidRPr="005931F0">
        <w:rPr>
          <w:color w:val="000000" w:themeColor="text1"/>
          <w:lang w:val="en-IN"/>
        </w:rPr>
        <w:t>This was facilitated by improved global demand for vehicles and favourable exchange rates, especially the fall in the Japanese Yen exchange rate, making exports more competitive (Toyota Annual Report, 2024).</w:t>
      </w:r>
    </w:p>
    <w:p w14:paraId="76D69E5F" w14:textId="77777777" w:rsidR="00A70B58" w:rsidRDefault="00F252D5">
      <w:pPr>
        <w:pStyle w:val="Heading2"/>
      </w:pPr>
      <w:bookmarkStart w:id="11" w:name="_k90815aolvin" w:colFirst="0" w:colLast="0"/>
      <w:bookmarkStart w:id="12" w:name="_Toc227747726"/>
      <w:bookmarkEnd w:id="11"/>
      <w:r>
        <w:lastRenderedPageBreak/>
        <w:t>2.2 Profitability Analysis</w:t>
      </w:r>
      <w:bookmarkEnd w:id="12"/>
    </w:p>
    <w:p w14:paraId="2286A663" w14:textId="77777777" w:rsidR="00A70B58" w:rsidRDefault="00F252D5">
      <w:pPr>
        <w:jc w:val="center"/>
      </w:pPr>
      <w:r>
        <w:rPr>
          <w:noProof/>
        </w:rPr>
        <w:drawing>
          <wp:inline distT="114300" distB="114300" distL="114300" distR="114300" wp14:anchorId="2AB7F290" wp14:editId="6DE154B4">
            <wp:extent cx="5943600" cy="1422400"/>
            <wp:effectExtent l="25400" t="25400" r="25400" b="25400"/>
            <wp:docPr id="11" name="image15.png"/>
            <wp:cNvGraphicFramePr/>
            <a:graphic xmlns:a="http://schemas.openxmlformats.org/drawingml/2006/main">
              <a:graphicData uri="http://schemas.openxmlformats.org/drawingml/2006/picture">
                <pic:pic xmlns:pic="http://schemas.openxmlformats.org/drawingml/2006/picture">
                  <pic:nvPicPr>
                    <pic:cNvPr id="11" name="image15.png"/>
                    <pic:cNvPicPr preferRelativeResize="0"/>
                  </pic:nvPicPr>
                  <pic:blipFill>
                    <a:blip r:embed="rId9"/>
                    <a:srcRect/>
                    <a:stretch>
                      <a:fillRect/>
                    </a:stretch>
                  </pic:blipFill>
                  <pic:spPr>
                    <a:xfrm>
                      <a:off x="0" y="0"/>
                      <a:ext cx="5943600" cy="1422400"/>
                    </a:xfrm>
                    <a:prstGeom prst="rect">
                      <a:avLst/>
                    </a:prstGeom>
                    <a:ln w="25400">
                      <a:solidFill>
                        <a:srgbClr val="000000"/>
                      </a:solidFill>
                      <a:prstDash val="solid"/>
                    </a:ln>
                  </pic:spPr>
                </pic:pic>
              </a:graphicData>
            </a:graphic>
          </wp:inline>
        </w:drawing>
      </w:r>
    </w:p>
    <w:p w14:paraId="22A9F1D1" w14:textId="1AB7764F" w:rsidR="00A70B58" w:rsidRDefault="006E08F4" w:rsidP="00C14FD1">
      <w:pPr>
        <w:pStyle w:val="Heading4"/>
      </w:pPr>
      <w:bookmarkStart w:id="13" w:name="_Toc227747703"/>
      <w:r>
        <w:t>Table 2: PROFITABILITY RATIOS</w:t>
      </w:r>
      <w:bookmarkEnd w:id="13"/>
    </w:p>
    <w:p w14:paraId="6CAEAE33" w14:textId="77777777" w:rsidR="00A70B58" w:rsidRDefault="00F252D5">
      <w:pPr>
        <w:jc w:val="center"/>
        <w:rPr>
          <w:b/>
          <w:bCs/>
        </w:rPr>
      </w:pPr>
      <w:r>
        <w:t>(Source: Created in Excel)</w:t>
      </w:r>
    </w:p>
    <w:p w14:paraId="045DBB1D" w14:textId="64DB202C" w:rsidR="00A70B58" w:rsidRDefault="006E08F4">
      <w:r w:rsidRPr="006E08F4">
        <w:t>Table 2 shows</w:t>
      </w:r>
      <w:r>
        <w:rPr>
          <w:b/>
          <w:bCs/>
        </w:rPr>
        <w:t xml:space="preserve"> </w:t>
      </w:r>
      <w:r>
        <w:t>Gross Profit Margin increased from 17.8% in FY2021 to 19.0% in FY2022, before declining to 16.9% in FY2023. The implication of this dip is an increase in costs of production or in supply chain penalties at the time (</w:t>
      </w:r>
      <w:r>
        <w:rPr>
          <w:color w:val="222222"/>
          <w:highlight w:val="white"/>
        </w:rPr>
        <w:t xml:space="preserve">Huang </w:t>
      </w:r>
      <w:r>
        <w:rPr>
          <w:i/>
          <w:iCs/>
          <w:color w:val="222222"/>
          <w:highlight w:val="white"/>
        </w:rPr>
        <w:t>et al.</w:t>
      </w:r>
      <w:r>
        <w:rPr>
          <w:color w:val="222222"/>
          <w:highlight w:val="white"/>
        </w:rPr>
        <w:t xml:space="preserve"> 2024)</w:t>
      </w:r>
      <w:r>
        <w:t xml:space="preserve">. Nevertheless, the margin improved greatly to 20.4% in FY2024 and was high at 19.6% in FY2025, which suggests that cost control and pricing strategies have been improving over the past few years. The same trend is observed with Operating Profit Margin, which increased in FY 2021 to FY 2022 and decreased to 7.3% in 2023. The sharp increase is noted to be in FY2024 at 11.9, and then a slight decline to 10.0 in FY2025 is observed.  Net Profit Margin is more volatile, with an increase in 2021 (8.2% in FY2021) and 2022 (9.1% in FY2022), but decreasing in 2023 (6.6% in FY2023). The figure reaches its maximum in FY2024 (11.0%), and it </w:t>
      </w:r>
      <w:proofErr w:type="spellStart"/>
      <w:r>
        <w:t>stabilises</w:t>
      </w:r>
      <w:proofErr w:type="spellEnd"/>
      <w:r>
        <w:t xml:space="preserve"> at 9.9% in FY2025, indicating the bottom-line performance will be enhanced, despite the pressure on external costs (</w:t>
      </w:r>
      <w:r>
        <w:rPr>
          <w:color w:val="222222"/>
          <w:highlight w:val="white"/>
        </w:rPr>
        <w:t>Mrak, 2025)</w:t>
      </w:r>
      <w:r>
        <w:t>.</w:t>
      </w:r>
      <w:r w:rsidR="00AF2726">
        <w:t xml:space="preserve"> </w:t>
      </w:r>
      <w:r w:rsidR="00AF2726" w:rsidRPr="005931F0">
        <w:rPr>
          <w:color w:val="000000" w:themeColor="text1"/>
        </w:rPr>
        <w:t>The decrease in profit margins during the fiscal year 2023 could be attributed to global chip shortages and rising material prices, causing inefficiencies in the production process.</w:t>
      </w:r>
    </w:p>
    <w:p w14:paraId="1AE00042" w14:textId="77777777" w:rsidR="00A70B58" w:rsidRDefault="00F252D5">
      <w:pPr>
        <w:pStyle w:val="Heading2"/>
      </w:pPr>
      <w:bookmarkStart w:id="14" w:name="_or0xlo6hh29" w:colFirst="0" w:colLast="0"/>
      <w:bookmarkStart w:id="15" w:name="_Toc227747727"/>
      <w:bookmarkEnd w:id="14"/>
      <w:r>
        <w:t>2.3 Liquidity Analysis</w:t>
      </w:r>
      <w:bookmarkEnd w:id="15"/>
    </w:p>
    <w:p w14:paraId="1E76AAB6" w14:textId="77777777" w:rsidR="00A70B58" w:rsidRDefault="00F252D5">
      <w:r>
        <w:rPr>
          <w:noProof/>
        </w:rPr>
        <w:drawing>
          <wp:inline distT="114300" distB="114300" distL="114300" distR="114300" wp14:anchorId="787B67C9" wp14:editId="31498787">
            <wp:extent cx="5943600" cy="1028700"/>
            <wp:effectExtent l="25400" t="25400" r="25400" b="25400"/>
            <wp:docPr id="21" name="image9.png"/>
            <wp:cNvGraphicFramePr/>
            <a:graphic xmlns:a="http://schemas.openxmlformats.org/drawingml/2006/main">
              <a:graphicData uri="http://schemas.openxmlformats.org/drawingml/2006/picture">
                <pic:pic xmlns:pic="http://schemas.openxmlformats.org/drawingml/2006/picture">
                  <pic:nvPicPr>
                    <pic:cNvPr id="21" name="image9.png"/>
                    <pic:cNvPicPr preferRelativeResize="0"/>
                  </pic:nvPicPr>
                  <pic:blipFill>
                    <a:blip r:embed="rId10"/>
                    <a:srcRect/>
                    <a:stretch>
                      <a:fillRect/>
                    </a:stretch>
                  </pic:blipFill>
                  <pic:spPr>
                    <a:xfrm>
                      <a:off x="0" y="0"/>
                      <a:ext cx="5943600" cy="1028700"/>
                    </a:xfrm>
                    <a:prstGeom prst="rect">
                      <a:avLst/>
                    </a:prstGeom>
                    <a:ln w="25400">
                      <a:solidFill>
                        <a:srgbClr val="000000"/>
                      </a:solidFill>
                      <a:prstDash val="solid"/>
                    </a:ln>
                  </pic:spPr>
                </pic:pic>
              </a:graphicData>
            </a:graphic>
          </wp:inline>
        </w:drawing>
      </w:r>
    </w:p>
    <w:p w14:paraId="497FCD93" w14:textId="4EF51684" w:rsidR="00A70B58" w:rsidRDefault="006E08F4" w:rsidP="00C14FD1">
      <w:pPr>
        <w:pStyle w:val="Heading4"/>
      </w:pPr>
      <w:bookmarkStart w:id="16" w:name="_Toc227747704"/>
      <w:r>
        <w:lastRenderedPageBreak/>
        <w:t>Table 3: LIQUIDITY RATIOS</w:t>
      </w:r>
      <w:bookmarkEnd w:id="16"/>
    </w:p>
    <w:p w14:paraId="46FE68DA" w14:textId="77777777" w:rsidR="00A70B58" w:rsidRDefault="00F252D5">
      <w:pPr>
        <w:jc w:val="center"/>
        <w:rPr>
          <w:b/>
          <w:bCs/>
        </w:rPr>
      </w:pPr>
      <w:r>
        <w:t>(Source: Created in Excel)</w:t>
      </w:r>
    </w:p>
    <w:p w14:paraId="290954FA" w14:textId="7F48A16D" w:rsidR="00A70B58" w:rsidRDefault="006E08F4">
      <w:r w:rsidRPr="006E08F4">
        <w:t xml:space="preserve">Table </w:t>
      </w:r>
      <w:r>
        <w:t>3</w:t>
      </w:r>
      <w:r w:rsidRPr="006E08F4">
        <w:t xml:space="preserve"> shows</w:t>
      </w:r>
      <w:r>
        <w:rPr>
          <w:b/>
          <w:bCs/>
        </w:rPr>
        <w:t xml:space="preserve"> </w:t>
      </w:r>
      <w:r>
        <w:t>the Current Ratio has been fairly steady, being 1.1x between FY2021 and FY2023, with a slight decline to 1.2x in FY2024 and FY2025 (</w:t>
      </w:r>
      <w:r>
        <w:rPr>
          <w:color w:val="222222"/>
          <w:highlight w:val="white"/>
        </w:rPr>
        <w:t>Soni, 2024)</w:t>
      </w:r>
      <w:r>
        <w:t>. This means that Toyota has adequate current assets to pay its current liabilities, indicating a stable short-term financial position. The ratio is, however, slightly higher than 1, meaning that excess liquidity is limited, and they have to rely on sound working capital management. This continues the same trend in the Quick Ratio that excludes the inventories, so 0.9x of FY2021 to FY2023 and 1.x of FY2024 and FY2025. This growth signifies improved accessibility of liquid assets like receivables and cash, and assists the company in covering immediate liabilities without so much reliance on inventory sales.</w:t>
      </w:r>
    </w:p>
    <w:p w14:paraId="660DD63B" w14:textId="77777777" w:rsidR="00A70B58" w:rsidRDefault="00F252D5">
      <w:pPr>
        <w:pStyle w:val="Heading2"/>
        <w:keepNext w:val="0"/>
        <w:keepLines w:val="0"/>
        <w:spacing w:after="80"/>
      </w:pPr>
      <w:bookmarkStart w:id="17" w:name="_mnxlgt67efom" w:colFirst="0" w:colLast="0"/>
      <w:bookmarkStart w:id="18" w:name="_Toc227747728"/>
      <w:bookmarkEnd w:id="17"/>
      <w:r>
        <w:t>2.4 Efficiency Analysis</w:t>
      </w:r>
      <w:bookmarkEnd w:id="18"/>
    </w:p>
    <w:p w14:paraId="3BE0865A" w14:textId="77777777" w:rsidR="00A70B58" w:rsidRDefault="00F252D5">
      <w:pPr>
        <w:jc w:val="center"/>
      </w:pPr>
      <w:r>
        <w:rPr>
          <w:noProof/>
        </w:rPr>
        <w:drawing>
          <wp:inline distT="114300" distB="114300" distL="114300" distR="114300" wp14:anchorId="6CE1031B" wp14:editId="0F412470">
            <wp:extent cx="5943600" cy="1447800"/>
            <wp:effectExtent l="25400" t="25400" r="25400" b="25400"/>
            <wp:docPr id="23" name="image14.png"/>
            <wp:cNvGraphicFramePr/>
            <a:graphic xmlns:a="http://schemas.openxmlformats.org/drawingml/2006/main">
              <a:graphicData uri="http://schemas.openxmlformats.org/drawingml/2006/picture">
                <pic:pic xmlns:pic="http://schemas.openxmlformats.org/drawingml/2006/picture">
                  <pic:nvPicPr>
                    <pic:cNvPr id="23" name="image14.png"/>
                    <pic:cNvPicPr preferRelativeResize="0"/>
                  </pic:nvPicPr>
                  <pic:blipFill>
                    <a:blip r:embed="rId11"/>
                    <a:srcRect/>
                    <a:stretch>
                      <a:fillRect/>
                    </a:stretch>
                  </pic:blipFill>
                  <pic:spPr>
                    <a:xfrm>
                      <a:off x="0" y="0"/>
                      <a:ext cx="5943600" cy="1447800"/>
                    </a:xfrm>
                    <a:prstGeom prst="rect">
                      <a:avLst/>
                    </a:prstGeom>
                    <a:ln w="25400">
                      <a:solidFill>
                        <a:srgbClr val="000000"/>
                      </a:solidFill>
                      <a:prstDash val="solid"/>
                    </a:ln>
                  </pic:spPr>
                </pic:pic>
              </a:graphicData>
            </a:graphic>
          </wp:inline>
        </w:drawing>
      </w:r>
    </w:p>
    <w:p w14:paraId="2F8EFA45" w14:textId="04BE4AA4" w:rsidR="00A70B58" w:rsidRDefault="00D77FDF" w:rsidP="00C14FD1">
      <w:pPr>
        <w:pStyle w:val="Heading4"/>
      </w:pPr>
      <w:bookmarkStart w:id="19" w:name="_Toc227747705"/>
      <w:r>
        <w:t>Table 4: EFFICIENCY RATIOS</w:t>
      </w:r>
      <w:bookmarkEnd w:id="19"/>
    </w:p>
    <w:p w14:paraId="1B23FF29" w14:textId="77777777" w:rsidR="00A70B58" w:rsidRDefault="00F252D5">
      <w:pPr>
        <w:jc w:val="center"/>
        <w:rPr>
          <w:b/>
          <w:bCs/>
        </w:rPr>
      </w:pPr>
      <w:r>
        <w:t>(Source: Created in Excel)</w:t>
      </w:r>
    </w:p>
    <w:p w14:paraId="4F00966B" w14:textId="25B80C87" w:rsidR="00A70B58" w:rsidRDefault="00D77FDF">
      <w:r w:rsidRPr="006E08F4">
        <w:t xml:space="preserve">Table </w:t>
      </w:r>
      <w:r>
        <w:t>4</w:t>
      </w:r>
      <w:r w:rsidRPr="006E08F4">
        <w:t xml:space="preserve"> shows</w:t>
      </w:r>
      <w:r>
        <w:rPr>
          <w:b/>
          <w:bCs/>
        </w:rPr>
        <w:t xml:space="preserve"> </w:t>
      </w:r>
      <w:r>
        <w:t xml:space="preserve">the Inventory Turnover oscillates slightly with a fall of 7.8 times to 6.7 times between FY2021 and FY2022, respectively, followed by a gradual rise to 8.4 times in FY2025 and FY2026, respectively. This pattern suggests that in FY2022, there was reduced inventory movement in Toyota, possibly because of the disruptions in the supply chain, yet the inventory management substantially improved in the following years. This is also supported by Days Inventory Outstanding (DIO), which grew by 47.1 days in FY2021 to 54.8 days in FY2022 and subsequently decreased to 43.3 days in FY2025. The decrease in DIO is an indication of increased </w:t>
      </w:r>
      <w:r>
        <w:lastRenderedPageBreak/>
        <w:t>efficiency in the operations and turnover of inventory in the previous years (</w:t>
      </w:r>
      <w:r>
        <w:rPr>
          <w:color w:val="222222"/>
          <w:highlight w:val="white"/>
        </w:rPr>
        <w:t>Asim and Siddiqui, 2024)</w:t>
      </w:r>
      <w:r>
        <w:t>. In line with this, Days Sales Outstanding (DSO) for FY2021 was at 43.9 days, whereas FY2025 was at 31.2 days, meaning that Toyota is now more effective in turning sales into cash. Asset Turnover is fairly steady, as it is better than it was in FY2021 (0.4 times) and the period between FY2022 and onward (0.5 times) (</w:t>
      </w:r>
      <w:r>
        <w:rPr>
          <w:color w:val="222222"/>
          <w:highlight w:val="white"/>
        </w:rPr>
        <w:t>Kannan, 2025)</w:t>
      </w:r>
      <w:r>
        <w:t xml:space="preserve">. </w:t>
      </w:r>
    </w:p>
    <w:p w14:paraId="64976E7F" w14:textId="77777777" w:rsidR="00A70B58" w:rsidRDefault="00F252D5">
      <w:pPr>
        <w:pStyle w:val="Heading2"/>
        <w:keepNext w:val="0"/>
        <w:keepLines w:val="0"/>
        <w:spacing w:after="80"/>
      </w:pPr>
      <w:bookmarkStart w:id="20" w:name="_dal3cbmiromn" w:colFirst="0" w:colLast="0"/>
      <w:bookmarkStart w:id="21" w:name="_Toc227747729"/>
      <w:bookmarkEnd w:id="20"/>
      <w:r>
        <w:t>2.5 Gearing / Leverage Analysis</w:t>
      </w:r>
      <w:bookmarkEnd w:id="21"/>
    </w:p>
    <w:p w14:paraId="2076DFFF" w14:textId="77777777" w:rsidR="00A70B58" w:rsidRDefault="00F252D5">
      <w:pPr>
        <w:jc w:val="center"/>
      </w:pPr>
      <w:r>
        <w:rPr>
          <w:noProof/>
        </w:rPr>
        <w:drawing>
          <wp:inline distT="114300" distB="114300" distL="114300" distR="114300" wp14:anchorId="511F9974" wp14:editId="444EDCE5">
            <wp:extent cx="5943600" cy="1320800"/>
            <wp:effectExtent l="25400" t="25400" r="25400" b="25400"/>
            <wp:docPr id="31" name="image6.png"/>
            <wp:cNvGraphicFramePr/>
            <a:graphic xmlns:a="http://schemas.openxmlformats.org/drawingml/2006/main">
              <a:graphicData uri="http://schemas.openxmlformats.org/drawingml/2006/picture">
                <pic:pic xmlns:pic="http://schemas.openxmlformats.org/drawingml/2006/picture">
                  <pic:nvPicPr>
                    <pic:cNvPr id="31" name="image6.png"/>
                    <pic:cNvPicPr preferRelativeResize="0"/>
                  </pic:nvPicPr>
                  <pic:blipFill>
                    <a:blip r:embed="rId12"/>
                    <a:srcRect/>
                    <a:stretch>
                      <a:fillRect/>
                    </a:stretch>
                  </pic:blipFill>
                  <pic:spPr>
                    <a:xfrm>
                      <a:off x="0" y="0"/>
                      <a:ext cx="5943600" cy="1320800"/>
                    </a:xfrm>
                    <a:prstGeom prst="rect">
                      <a:avLst/>
                    </a:prstGeom>
                    <a:ln w="25400">
                      <a:solidFill>
                        <a:srgbClr val="000000"/>
                      </a:solidFill>
                      <a:prstDash val="solid"/>
                    </a:ln>
                  </pic:spPr>
                </pic:pic>
              </a:graphicData>
            </a:graphic>
          </wp:inline>
        </w:drawing>
      </w:r>
    </w:p>
    <w:p w14:paraId="0B7BF5A8" w14:textId="07525375" w:rsidR="00A70B58" w:rsidRPr="00FB7EB2" w:rsidRDefault="00FB7EB2" w:rsidP="00C14FD1">
      <w:pPr>
        <w:pStyle w:val="Heading4"/>
      </w:pPr>
      <w:bookmarkStart w:id="22" w:name="_Toc227747706"/>
      <w:r w:rsidRPr="00FB7EB2">
        <w:t>Table 5: GEARING / LEVERAGE RATIOS</w:t>
      </w:r>
      <w:bookmarkEnd w:id="22"/>
    </w:p>
    <w:p w14:paraId="2D8BF477" w14:textId="77777777" w:rsidR="00A70B58" w:rsidRDefault="00F252D5">
      <w:pPr>
        <w:jc w:val="center"/>
        <w:rPr>
          <w:b/>
          <w:bCs/>
        </w:rPr>
      </w:pPr>
      <w:r>
        <w:t>(Source: Created in Excel)</w:t>
      </w:r>
    </w:p>
    <w:p w14:paraId="6D2E492D" w14:textId="3424437F" w:rsidR="00A70B58" w:rsidRDefault="00FB7EB2">
      <w:pPr>
        <w:spacing w:before="0" w:after="0"/>
      </w:pPr>
      <w:r w:rsidRPr="006E08F4">
        <w:t xml:space="preserve">Table </w:t>
      </w:r>
      <w:r>
        <w:t>5</w:t>
      </w:r>
      <w:r w:rsidRPr="006E08F4">
        <w:t xml:space="preserve"> shows</w:t>
      </w:r>
      <w:r>
        <w:rPr>
          <w:b/>
          <w:bCs/>
        </w:rPr>
        <w:t xml:space="preserve"> </w:t>
      </w:r>
      <w:r>
        <w:t>the Debt-to-Equity ratio is also constantly varying between 1.0x and 1.1x with time, from FY 2021 to FY 2025 (</w:t>
      </w:r>
      <w:r>
        <w:rPr>
          <w:color w:val="222222"/>
          <w:highlight w:val="white"/>
        </w:rPr>
        <w:t xml:space="preserve">Moshier </w:t>
      </w:r>
      <w:r>
        <w:rPr>
          <w:i/>
          <w:iCs/>
          <w:color w:val="222222"/>
          <w:highlight w:val="white"/>
        </w:rPr>
        <w:t>et al.</w:t>
      </w:r>
      <w:r>
        <w:rPr>
          <w:color w:val="222222"/>
          <w:highlight w:val="white"/>
        </w:rPr>
        <w:t xml:space="preserve"> C2023)</w:t>
      </w:r>
      <w:r>
        <w:t>. This implies that Toyota funds its operations with an equal balance of debts and equity, and debt is slightly higher than equity. This type of structure implies a medium degree of financial leverage, which will allow the company to take advantage of both debt financing and financial stability. In the same way, the Debt-to-Assets ratio is constant (0.4x) in all five years.</w:t>
      </w:r>
    </w:p>
    <w:p w14:paraId="23BA3C49" w14:textId="77777777" w:rsidR="00A70B58" w:rsidRDefault="00F252D5">
      <w:pPr>
        <w:pStyle w:val="Heading2"/>
        <w:keepNext w:val="0"/>
        <w:keepLines w:val="0"/>
        <w:spacing w:after="80"/>
      </w:pPr>
      <w:bookmarkStart w:id="23" w:name="_48oo07giqp80" w:colFirst="0" w:colLast="0"/>
      <w:bookmarkStart w:id="24" w:name="_Toc227747730"/>
      <w:bookmarkEnd w:id="23"/>
      <w:r>
        <w:t>2.6 Investment Ratios</w:t>
      </w:r>
      <w:bookmarkEnd w:id="24"/>
    </w:p>
    <w:p w14:paraId="3AA77697" w14:textId="77777777" w:rsidR="00A70B58" w:rsidRDefault="00F252D5">
      <w:r>
        <w:rPr>
          <w:noProof/>
        </w:rPr>
        <w:drawing>
          <wp:inline distT="114300" distB="114300" distL="114300" distR="114300" wp14:anchorId="207D0A4B" wp14:editId="7800B58F">
            <wp:extent cx="5943600" cy="876300"/>
            <wp:effectExtent l="25400" t="25400" r="25400" b="25400"/>
            <wp:docPr id="22" name="image18.png"/>
            <wp:cNvGraphicFramePr/>
            <a:graphic xmlns:a="http://schemas.openxmlformats.org/drawingml/2006/main">
              <a:graphicData uri="http://schemas.openxmlformats.org/drawingml/2006/picture">
                <pic:pic xmlns:pic="http://schemas.openxmlformats.org/drawingml/2006/picture">
                  <pic:nvPicPr>
                    <pic:cNvPr id="22" name="image18.png"/>
                    <pic:cNvPicPr preferRelativeResize="0"/>
                  </pic:nvPicPr>
                  <pic:blipFill>
                    <a:blip r:embed="rId13"/>
                    <a:srcRect/>
                    <a:stretch>
                      <a:fillRect/>
                    </a:stretch>
                  </pic:blipFill>
                  <pic:spPr>
                    <a:xfrm>
                      <a:off x="0" y="0"/>
                      <a:ext cx="5943600" cy="876300"/>
                    </a:xfrm>
                    <a:prstGeom prst="rect">
                      <a:avLst/>
                    </a:prstGeom>
                    <a:ln w="25400">
                      <a:solidFill>
                        <a:srgbClr val="000000"/>
                      </a:solidFill>
                      <a:prstDash val="solid"/>
                    </a:ln>
                  </pic:spPr>
                </pic:pic>
              </a:graphicData>
            </a:graphic>
          </wp:inline>
        </w:drawing>
      </w:r>
    </w:p>
    <w:p w14:paraId="457D4FEE" w14:textId="440A0C88" w:rsidR="00A70B58" w:rsidRDefault="005C5F27" w:rsidP="00C14FD1">
      <w:pPr>
        <w:pStyle w:val="Heading4"/>
      </w:pPr>
      <w:bookmarkStart w:id="25" w:name="_Toc227747707"/>
      <w:r>
        <w:lastRenderedPageBreak/>
        <w:t>Table 6: INVESTMENT / MARKET RATIOS</w:t>
      </w:r>
      <w:bookmarkEnd w:id="25"/>
    </w:p>
    <w:p w14:paraId="73702577" w14:textId="77777777" w:rsidR="00A70B58" w:rsidRDefault="00F252D5">
      <w:pPr>
        <w:jc w:val="center"/>
        <w:rPr>
          <w:b/>
          <w:bCs/>
        </w:rPr>
      </w:pPr>
      <w:r>
        <w:t>(Source: Created in Excel)</w:t>
      </w:r>
    </w:p>
    <w:p w14:paraId="0FC05F5B" w14:textId="3F4FBD2C" w:rsidR="00A70B58" w:rsidRDefault="005C5F27">
      <w:r w:rsidRPr="006E08F4">
        <w:t xml:space="preserve">Table </w:t>
      </w:r>
      <w:r>
        <w:t>6</w:t>
      </w:r>
      <w:r w:rsidRPr="006E08F4">
        <w:t xml:space="preserve"> shows</w:t>
      </w:r>
      <w:r>
        <w:rPr>
          <w:b/>
          <w:bCs/>
        </w:rPr>
        <w:t xml:space="preserve"> </w:t>
      </w:r>
      <w:r>
        <w:t xml:space="preserve">Basic EPS shows an overall upward trend, increasing from ¥160.65 in FY2021 to ¥205.23 in FY2022, before declining to ¥176.37 in FY2023. It is also noted that FY2024 will see a considerable increase in the EPS to ¥356.96, followed by a minor drop to ¥352.93 in FY2025. This fluctuation suggests that there is changeability in profitability with highly successful performance over recent </w:t>
      </w:r>
      <w:proofErr w:type="spellStart"/>
      <w:r>
        <w:t>years,s</w:t>
      </w:r>
      <w:proofErr w:type="spellEnd"/>
      <w:r>
        <w:t xml:space="preserve"> which has increased shareholder returns. Diluted EPS follows a similar pattern, moving from ¥158.93 in FY2021 to ¥205.23 in FY2022, then decreasing to ¥174.44 in FY2023. It peaks at ¥354.86 in FY2024 and </w:t>
      </w:r>
      <w:proofErr w:type="spellStart"/>
      <w:r>
        <w:t>stabilises</w:t>
      </w:r>
      <w:proofErr w:type="spellEnd"/>
      <w:r>
        <w:t xml:space="preserve"> at ¥351.1 in FY2025. The similarity in the basic and diluted EPS indicates there is not much of the dilution effect of convertible securities (</w:t>
      </w:r>
      <w:r>
        <w:rPr>
          <w:color w:val="222222"/>
          <w:highlight w:val="white"/>
        </w:rPr>
        <w:t>van Zyl and Uliana, 2022)</w:t>
      </w:r>
      <w:r>
        <w:t>.</w:t>
      </w:r>
    </w:p>
    <w:p w14:paraId="6216E7D8" w14:textId="77777777" w:rsidR="00A70B58" w:rsidRDefault="00F252D5">
      <w:pPr>
        <w:jc w:val="center"/>
      </w:pPr>
      <w:r>
        <w:rPr>
          <w:noProof/>
        </w:rPr>
        <w:drawing>
          <wp:inline distT="114300" distB="114300" distL="114300" distR="114300" wp14:anchorId="4E4238BE" wp14:editId="5D87AC5C">
            <wp:extent cx="5943600" cy="939800"/>
            <wp:effectExtent l="25400" t="25400" r="25400" b="25400"/>
            <wp:docPr id="15" name="image11.png"/>
            <wp:cNvGraphicFramePr/>
            <a:graphic xmlns:a="http://schemas.openxmlformats.org/drawingml/2006/main">
              <a:graphicData uri="http://schemas.openxmlformats.org/drawingml/2006/picture">
                <pic:pic xmlns:pic="http://schemas.openxmlformats.org/drawingml/2006/picture">
                  <pic:nvPicPr>
                    <pic:cNvPr id="15" name="image11.png"/>
                    <pic:cNvPicPr preferRelativeResize="0"/>
                  </pic:nvPicPr>
                  <pic:blipFill>
                    <a:blip r:embed="rId14"/>
                    <a:srcRect/>
                    <a:stretch>
                      <a:fillRect/>
                    </a:stretch>
                  </pic:blipFill>
                  <pic:spPr>
                    <a:xfrm>
                      <a:off x="0" y="0"/>
                      <a:ext cx="5943600" cy="939800"/>
                    </a:xfrm>
                    <a:prstGeom prst="rect">
                      <a:avLst/>
                    </a:prstGeom>
                    <a:ln w="25400">
                      <a:solidFill>
                        <a:srgbClr val="000000"/>
                      </a:solidFill>
                      <a:prstDash val="solid"/>
                    </a:ln>
                  </pic:spPr>
                </pic:pic>
              </a:graphicData>
            </a:graphic>
          </wp:inline>
        </w:drawing>
      </w:r>
    </w:p>
    <w:p w14:paraId="23C935BE" w14:textId="3AF612FF" w:rsidR="00A70B58" w:rsidRDefault="00E87756" w:rsidP="00C14FD1">
      <w:pPr>
        <w:pStyle w:val="Heading4"/>
      </w:pPr>
      <w:bookmarkStart w:id="26" w:name="_Toc227747708"/>
      <w:r>
        <w:t>Table 7: Revenue Trend data</w:t>
      </w:r>
      <w:bookmarkEnd w:id="26"/>
      <w:r>
        <w:t xml:space="preserve"> </w:t>
      </w:r>
    </w:p>
    <w:p w14:paraId="791F7F8E" w14:textId="77777777" w:rsidR="00A70B58" w:rsidRDefault="00F252D5">
      <w:pPr>
        <w:jc w:val="center"/>
      </w:pPr>
      <w:r>
        <w:t>(Source: Created in Excel)</w:t>
      </w:r>
    </w:p>
    <w:p w14:paraId="486D5A01" w14:textId="39BB1760" w:rsidR="00A70B58" w:rsidRDefault="00E87756">
      <w:r w:rsidRPr="006E08F4">
        <w:t xml:space="preserve">Table </w:t>
      </w:r>
      <w:r>
        <w:t>7</w:t>
      </w:r>
      <w:r w:rsidRPr="006E08F4">
        <w:t xml:space="preserve"> shows</w:t>
      </w:r>
      <w:r>
        <w:rPr>
          <w:b/>
          <w:bCs/>
        </w:rPr>
        <w:t xml:space="preserve"> </w:t>
      </w:r>
      <w:r>
        <w:rPr>
          <w:sz w:val="23"/>
          <w:szCs w:val="23"/>
        </w:rPr>
        <w:t xml:space="preserve">the trend in the revenue performance of the Toyota Motor Corporation is positive and increases within the five years from 27,265 billion to 48,036 billion between FY2021 and FY2025, respectively. This is an indication of long-term expansion as a result of global demand and better performance. The annual growth is also robust between FY2022 and FY2024, with the highest growth being 21.4 per cent in FY2024, signifying the large growth in this period. Nevertheless, it appears to slow down at 6.5 in FY2025, implying that there will be a </w:t>
      </w:r>
      <w:proofErr w:type="spellStart"/>
      <w:r>
        <w:rPr>
          <w:sz w:val="23"/>
          <w:szCs w:val="23"/>
        </w:rPr>
        <w:t>stabilisation</w:t>
      </w:r>
      <w:proofErr w:type="spellEnd"/>
      <w:r>
        <w:rPr>
          <w:sz w:val="23"/>
          <w:szCs w:val="23"/>
        </w:rPr>
        <w:t xml:space="preserve"> phase after a booming growth. </w:t>
      </w:r>
    </w:p>
    <w:p w14:paraId="2622B61A" w14:textId="77777777" w:rsidR="00A70B58" w:rsidRDefault="00F252D5">
      <w:pPr>
        <w:jc w:val="center"/>
      </w:pPr>
      <w:r>
        <w:rPr>
          <w:noProof/>
        </w:rPr>
        <w:lastRenderedPageBreak/>
        <w:drawing>
          <wp:inline distT="114300" distB="114300" distL="114300" distR="114300" wp14:anchorId="38EC2F5F" wp14:editId="57E22335">
            <wp:extent cx="5943600" cy="3835400"/>
            <wp:effectExtent l="25400" t="25400" r="25400" b="25400"/>
            <wp:docPr id="26" name="image13.png"/>
            <wp:cNvGraphicFramePr/>
            <a:graphic xmlns:a="http://schemas.openxmlformats.org/drawingml/2006/main">
              <a:graphicData uri="http://schemas.openxmlformats.org/drawingml/2006/picture">
                <pic:pic xmlns:pic="http://schemas.openxmlformats.org/drawingml/2006/picture">
                  <pic:nvPicPr>
                    <pic:cNvPr id="26" name="image13.png"/>
                    <pic:cNvPicPr preferRelativeResize="0"/>
                  </pic:nvPicPr>
                  <pic:blipFill>
                    <a:blip r:embed="rId15"/>
                    <a:srcRect/>
                    <a:stretch>
                      <a:fillRect/>
                    </a:stretch>
                  </pic:blipFill>
                  <pic:spPr>
                    <a:xfrm>
                      <a:off x="0" y="0"/>
                      <a:ext cx="5943600" cy="3835400"/>
                    </a:xfrm>
                    <a:prstGeom prst="rect">
                      <a:avLst/>
                    </a:prstGeom>
                    <a:ln w="25400">
                      <a:solidFill>
                        <a:srgbClr val="000000"/>
                      </a:solidFill>
                      <a:prstDash val="solid"/>
                    </a:ln>
                  </pic:spPr>
                </pic:pic>
              </a:graphicData>
            </a:graphic>
          </wp:inline>
        </w:drawing>
      </w:r>
    </w:p>
    <w:p w14:paraId="1CB0BFD7" w14:textId="37C2A598" w:rsidR="00A70B58" w:rsidRPr="00C14FD1" w:rsidRDefault="00F252D5" w:rsidP="00C14FD1">
      <w:pPr>
        <w:jc w:val="center"/>
        <w:rPr>
          <w:b/>
        </w:rPr>
      </w:pPr>
      <w:r w:rsidRPr="00C14FD1">
        <w:rPr>
          <w:b/>
        </w:rPr>
        <w:t xml:space="preserve">Figure </w:t>
      </w:r>
      <w:r w:rsidR="003351D8" w:rsidRPr="00C14FD1">
        <w:rPr>
          <w:b/>
        </w:rPr>
        <w:t>1</w:t>
      </w:r>
      <w:r w:rsidRPr="00C14FD1">
        <w:rPr>
          <w:b/>
        </w:rPr>
        <w:t>: Total sales revenue</w:t>
      </w:r>
    </w:p>
    <w:p w14:paraId="43BC5E04" w14:textId="77777777" w:rsidR="00A70B58" w:rsidRDefault="00F252D5">
      <w:pPr>
        <w:jc w:val="center"/>
      </w:pPr>
      <w:r>
        <w:t>(Source: Created in Excel)</w:t>
      </w:r>
    </w:p>
    <w:p w14:paraId="2C6FA129" w14:textId="0705CBE2" w:rsidR="00A70B58" w:rsidRDefault="00F252D5">
      <w:r>
        <w:rPr>
          <w:sz w:val="23"/>
          <w:szCs w:val="23"/>
        </w:rPr>
        <w:t xml:space="preserve">The figure shows a smooth and uniform rise in the overall sales revenues of Toyota Motor Corporation over the five years. The growth of revenue is high (measured in billions of yen), as it increases to 48,036 billion in FY2025 compared to 27,265 billion in FY2021. The rate of increase between FY2021 and FY2023 is gradual, with a steeper rise between FY2023 and FY2024, which indicates the acceleration during this period. Growth will continue through FY2025, though at a </w:t>
      </w:r>
      <w:r w:rsidR="003351D8">
        <w:rPr>
          <w:sz w:val="23"/>
          <w:szCs w:val="23"/>
        </w:rPr>
        <w:t>slower</w:t>
      </w:r>
      <w:r>
        <w:rPr>
          <w:sz w:val="23"/>
          <w:szCs w:val="23"/>
        </w:rPr>
        <w:t xml:space="preserve"> pace. Comprehensively, the number is graphically reassuring of a good revenue trend, indicating a stable demand, better operational performance, and good strategic placement within the international automotive markets.</w:t>
      </w:r>
    </w:p>
    <w:p w14:paraId="51867657" w14:textId="77777777" w:rsidR="00A70B58" w:rsidRDefault="00F252D5">
      <w:pPr>
        <w:pStyle w:val="Heading2"/>
        <w:keepNext w:val="0"/>
        <w:keepLines w:val="0"/>
        <w:spacing w:after="80"/>
        <w:rPr>
          <w:sz w:val="34"/>
          <w:szCs w:val="34"/>
        </w:rPr>
      </w:pPr>
      <w:bookmarkStart w:id="27" w:name="_6o3sq3dwtuwl" w:colFirst="0" w:colLast="0"/>
      <w:bookmarkStart w:id="28" w:name="_Toc227747731"/>
      <w:bookmarkEnd w:id="27"/>
      <w:r>
        <w:rPr>
          <w:sz w:val="34"/>
          <w:szCs w:val="34"/>
        </w:rPr>
        <w:t>2.7 Cash Flow Analysis</w:t>
      </w:r>
      <w:bookmarkEnd w:id="28"/>
      <w:r>
        <w:rPr>
          <w:sz w:val="34"/>
          <w:szCs w:val="34"/>
        </w:rPr>
        <w:t xml:space="preserve"> </w:t>
      </w:r>
    </w:p>
    <w:p w14:paraId="2E76B648" w14:textId="77777777" w:rsidR="00A70B58" w:rsidRDefault="00F252D5">
      <w:pPr>
        <w:jc w:val="center"/>
      </w:pPr>
      <w:r>
        <w:rPr>
          <w:noProof/>
        </w:rPr>
        <w:lastRenderedPageBreak/>
        <w:drawing>
          <wp:inline distT="114300" distB="114300" distL="114300" distR="114300" wp14:anchorId="196D7DF9" wp14:editId="18868B82">
            <wp:extent cx="5943600" cy="1168400"/>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referRelativeResize="0"/>
                  </pic:nvPicPr>
                  <pic:blipFill>
                    <a:blip r:embed="rId16"/>
                    <a:srcRect/>
                    <a:stretch>
                      <a:fillRect/>
                    </a:stretch>
                  </pic:blipFill>
                  <pic:spPr>
                    <a:xfrm>
                      <a:off x="0" y="0"/>
                      <a:ext cx="5943600" cy="1168400"/>
                    </a:xfrm>
                    <a:prstGeom prst="rect">
                      <a:avLst/>
                    </a:prstGeom>
                    <a:ln w="25400">
                      <a:solidFill>
                        <a:srgbClr val="000000"/>
                      </a:solidFill>
                      <a:prstDash val="solid"/>
                    </a:ln>
                  </pic:spPr>
                </pic:pic>
              </a:graphicData>
            </a:graphic>
          </wp:inline>
        </w:drawing>
      </w:r>
    </w:p>
    <w:p w14:paraId="1B3BB75C" w14:textId="3F3D1CE7" w:rsidR="00A70B58" w:rsidRDefault="003351D8" w:rsidP="00C14FD1">
      <w:pPr>
        <w:pStyle w:val="Heading4"/>
      </w:pPr>
      <w:bookmarkStart w:id="29" w:name="_Toc227747709"/>
      <w:r>
        <w:t>Table 8: Net income trend</w:t>
      </w:r>
      <w:bookmarkEnd w:id="29"/>
      <w:r>
        <w:t xml:space="preserve"> </w:t>
      </w:r>
    </w:p>
    <w:p w14:paraId="5CF5F7AC" w14:textId="77777777" w:rsidR="00A70B58" w:rsidRDefault="00F252D5">
      <w:pPr>
        <w:jc w:val="center"/>
        <w:rPr>
          <w:b/>
          <w:bCs/>
        </w:rPr>
      </w:pPr>
      <w:r>
        <w:t>(Source: Created in Excel)</w:t>
      </w:r>
    </w:p>
    <w:p w14:paraId="632B649D" w14:textId="2ABD3F7C" w:rsidR="00A70B58" w:rsidRDefault="003351D8">
      <w:r w:rsidRPr="006E08F4">
        <w:t xml:space="preserve">Table </w:t>
      </w:r>
      <w:r>
        <w:t>8</w:t>
      </w:r>
      <w:r w:rsidRPr="006E08F4">
        <w:t xml:space="preserve"> shows</w:t>
      </w:r>
      <w:r>
        <w:rPr>
          <w:b/>
          <w:bCs/>
        </w:rPr>
        <w:t xml:space="preserve"> </w:t>
      </w:r>
      <w:r>
        <w:rPr>
          <w:sz w:val="23"/>
          <w:szCs w:val="23"/>
        </w:rPr>
        <w:t xml:space="preserve">Toyota Motor Corporation's operating income gives an indication of an overall upward trend, more so, fluctuating. It grew to ¥2,193 billion in FY2021 to 2,993 billion in FY2022 and then slightly decreased to 2,725 billion in FY2023, showing temporary operational strains. There is a marked increase in FY2024, as ¥5,352 billion has been observed as a result of increased efficiency in its costs and better operational performance. </w:t>
      </w:r>
    </w:p>
    <w:p w14:paraId="12BFC0CA" w14:textId="77777777" w:rsidR="00A70B58" w:rsidRDefault="00F252D5">
      <w:pPr>
        <w:jc w:val="center"/>
      </w:pPr>
      <w:r>
        <w:rPr>
          <w:noProof/>
        </w:rPr>
        <w:drawing>
          <wp:inline distT="114300" distB="114300" distL="114300" distR="114300" wp14:anchorId="7CA2A9BA" wp14:editId="07564AEC">
            <wp:extent cx="5943600" cy="4191000"/>
            <wp:effectExtent l="25400" t="25400" r="25400" b="25400"/>
            <wp:docPr id="24" name="image22.png"/>
            <wp:cNvGraphicFramePr/>
            <a:graphic xmlns:a="http://schemas.openxmlformats.org/drawingml/2006/main">
              <a:graphicData uri="http://schemas.openxmlformats.org/drawingml/2006/picture">
                <pic:pic xmlns:pic="http://schemas.openxmlformats.org/drawingml/2006/picture">
                  <pic:nvPicPr>
                    <pic:cNvPr id="24" name="image22.png"/>
                    <pic:cNvPicPr preferRelativeResize="0"/>
                  </pic:nvPicPr>
                  <pic:blipFill>
                    <a:blip r:embed="rId17"/>
                    <a:srcRect/>
                    <a:stretch>
                      <a:fillRect/>
                    </a:stretch>
                  </pic:blipFill>
                  <pic:spPr>
                    <a:xfrm>
                      <a:off x="0" y="0"/>
                      <a:ext cx="5943600" cy="4191000"/>
                    </a:xfrm>
                    <a:prstGeom prst="rect">
                      <a:avLst/>
                    </a:prstGeom>
                    <a:ln w="25400">
                      <a:solidFill>
                        <a:srgbClr val="000000"/>
                      </a:solidFill>
                      <a:prstDash val="solid"/>
                    </a:ln>
                  </pic:spPr>
                </pic:pic>
              </a:graphicData>
            </a:graphic>
          </wp:inline>
        </w:drawing>
      </w:r>
    </w:p>
    <w:p w14:paraId="6153D27B" w14:textId="41577C8E" w:rsidR="00A70B58" w:rsidRPr="00C14FD1" w:rsidRDefault="00F252D5" w:rsidP="00C14FD1">
      <w:pPr>
        <w:jc w:val="center"/>
        <w:rPr>
          <w:b/>
          <w:bCs/>
        </w:rPr>
      </w:pPr>
      <w:r w:rsidRPr="00C14FD1">
        <w:rPr>
          <w:b/>
          <w:bCs/>
        </w:rPr>
        <w:lastRenderedPageBreak/>
        <w:t xml:space="preserve">Figure </w:t>
      </w:r>
      <w:r w:rsidR="00393D36" w:rsidRPr="00C14FD1">
        <w:rPr>
          <w:b/>
          <w:bCs/>
        </w:rPr>
        <w:t>2</w:t>
      </w:r>
      <w:r w:rsidRPr="00C14FD1">
        <w:rPr>
          <w:b/>
          <w:bCs/>
        </w:rPr>
        <w:t>: Net income trend graph</w:t>
      </w:r>
    </w:p>
    <w:p w14:paraId="67BEB55D" w14:textId="77777777" w:rsidR="00A70B58" w:rsidRDefault="00F252D5">
      <w:pPr>
        <w:jc w:val="center"/>
      </w:pPr>
      <w:r>
        <w:t>(Source: Created in Excel)</w:t>
      </w:r>
    </w:p>
    <w:p w14:paraId="1A409438" w14:textId="45C44037" w:rsidR="00A70B58" w:rsidRDefault="00393D36">
      <w:r>
        <w:rPr>
          <w:sz w:val="23"/>
          <w:szCs w:val="23"/>
        </w:rPr>
        <w:t xml:space="preserve">Figure 2 shows The Toyota Motor Corporation net income trend has shown variability, but with a good recovery in subsequent years. In the same way, net income rose in FY2021 and FY2022 (26.9 per cent) to reach ¥2,245 billion and ¥2,850 billion, respectively, and it fell to ¥2,451 billion in FY2023 due to external pressure and cost pressure. The growth is high in FY2024, which is ¥4,944 billion (101.7% growth), which reflects better profitability and operational efficiency. </w:t>
      </w:r>
    </w:p>
    <w:p w14:paraId="3A82DD3E" w14:textId="77777777" w:rsidR="00A70B58" w:rsidRDefault="00F252D5">
      <w:pPr>
        <w:jc w:val="center"/>
      </w:pPr>
      <w:r>
        <w:rPr>
          <w:noProof/>
        </w:rPr>
        <w:drawing>
          <wp:inline distT="114300" distB="114300" distL="114300" distR="114300" wp14:anchorId="1484E713" wp14:editId="49A1853D">
            <wp:extent cx="5943600" cy="1168400"/>
            <wp:effectExtent l="25400" t="25400" r="25400" b="25400"/>
            <wp:docPr id="16" name="image1.png"/>
            <wp:cNvGraphicFramePr/>
            <a:graphic xmlns:a="http://schemas.openxmlformats.org/drawingml/2006/main">
              <a:graphicData uri="http://schemas.openxmlformats.org/drawingml/2006/picture">
                <pic:pic xmlns:pic="http://schemas.openxmlformats.org/drawingml/2006/picture">
                  <pic:nvPicPr>
                    <pic:cNvPr id="16" name="image1.png"/>
                    <pic:cNvPicPr preferRelativeResize="0"/>
                  </pic:nvPicPr>
                  <pic:blipFill>
                    <a:blip r:embed="rId18"/>
                    <a:srcRect/>
                    <a:stretch>
                      <a:fillRect/>
                    </a:stretch>
                  </pic:blipFill>
                  <pic:spPr>
                    <a:xfrm>
                      <a:off x="0" y="0"/>
                      <a:ext cx="5943600" cy="1168400"/>
                    </a:xfrm>
                    <a:prstGeom prst="rect">
                      <a:avLst/>
                    </a:prstGeom>
                    <a:ln w="25400">
                      <a:solidFill>
                        <a:srgbClr val="000000"/>
                      </a:solidFill>
                      <a:prstDash val="solid"/>
                    </a:ln>
                  </pic:spPr>
                </pic:pic>
              </a:graphicData>
            </a:graphic>
          </wp:inline>
        </w:drawing>
      </w:r>
    </w:p>
    <w:p w14:paraId="496E7681" w14:textId="750A57EF" w:rsidR="00A70B58" w:rsidRDefault="00E74C53" w:rsidP="00C14FD1">
      <w:pPr>
        <w:pStyle w:val="Heading4"/>
      </w:pPr>
      <w:bookmarkStart w:id="30" w:name="_Toc227747710"/>
      <w:r>
        <w:t xml:space="preserve">Table </w:t>
      </w:r>
      <w:r w:rsidR="00B262D3">
        <w:t>9</w:t>
      </w:r>
      <w:r>
        <w:t>: Profit margin analysis</w:t>
      </w:r>
      <w:bookmarkEnd w:id="30"/>
      <w:r>
        <w:t xml:space="preserve"> </w:t>
      </w:r>
    </w:p>
    <w:p w14:paraId="2DC50AAE" w14:textId="77777777" w:rsidR="00A70B58" w:rsidRDefault="00F252D5">
      <w:pPr>
        <w:jc w:val="center"/>
      </w:pPr>
      <w:r>
        <w:t>(Source: Created in Excel)</w:t>
      </w:r>
    </w:p>
    <w:p w14:paraId="7B378A8D" w14:textId="659836EB" w:rsidR="00A70B58" w:rsidRDefault="00FD3657">
      <w:r w:rsidRPr="006E08F4">
        <w:t xml:space="preserve">Table </w:t>
      </w:r>
      <w:r>
        <w:t>9</w:t>
      </w:r>
      <w:r w:rsidRPr="006E08F4">
        <w:t xml:space="preserve"> shows</w:t>
      </w:r>
      <w:r>
        <w:rPr>
          <w:b/>
          <w:bCs/>
        </w:rPr>
        <w:t xml:space="preserve"> </w:t>
      </w:r>
      <w:r>
        <w:rPr>
          <w:sz w:val="23"/>
          <w:szCs w:val="23"/>
        </w:rPr>
        <w:t xml:space="preserve">there is a moderate trend in the gross profit margin of the Toyota Motor Corporation over the five years. It has risen to 19.0% in FY2022 compared to 17.8 in FY2021, which means that the cost efficiency was enhanced. Nevertheless, it reduced to 16.9% in FY2023, implying increased production or supply chain expenses. Effective cost control and pricing strategies are reflected in a strong recovery in FY2024, with a peak margin of 20.4. </w:t>
      </w:r>
    </w:p>
    <w:p w14:paraId="1CCB3F28" w14:textId="77777777" w:rsidR="00A70B58" w:rsidRDefault="00F252D5">
      <w:pPr>
        <w:jc w:val="center"/>
      </w:pPr>
      <w:r>
        <w:rPr>
          <w:noProof/>
        </w:rPr>
        <w:lastRenderedPageBreak/>
        <w:drawing>
          <wp:inline distT="114300" distB="114300" distL="114300" distR="114300" wp14:anchorId="54815DFC" wp14:editId="01FF6AD0">
            <wp:extent cx="5943600" cy="4406900"/>
            <wp:effectExtent l="25400" t="25400" r="25400" b="25400"/>
            <wp:docPr id="30" name="image20.png"/>
            <wp:cNvGraphicFramePr/>
            <a:graphic xmlns:a="http://schemas.openxmlformats.org/drawingml/2006/main">
              <a:graphicData uri="http://schemas.openxmlformats.org/drawingml/2006/picture">
                <pic:pic xmlns:pic="http://schemas.openxmlformats.org/drawingml/2006/picture">
                  <pic:nvPicPr>
                    <pic:cNvPr id="30" name="image20.png"/>
                    <pic:cNvPicPr preferRelativeResize="0"/>
                  </pic:nvPicPr>
                  <pic:blipFill>
                    <a:blip r:embed="rId19"/>
                    <a:srcRect/>
                    <a:stretch>
                      <a:fillRect/>
                    </a:stretch>
                  </pic:blipFill>
                  <pic:spPr>
                    <a:xfrm>
                      <a:off x="0" y="0"/>
                      <a:ext cx="5943600" cy="4406900"/>
                    </a:xfrm>
                    <a:prstGeom prst="rect">
                      <a:avLst/>
                    </a:prstGeom>
                    <a:ln w="25400">
                      <a:solidFill>
                        <a:srgbClr val="000000"/>
                      </a:solidFill>
                      <a:prstDash val="solid"/>
                    </a:ln>
                  </pic:spPr>
                </pic:pic>
              </a:graphicData>
            </a:graphic>
          </wp:inline>
        </w:drawing>
      </w:r>
    </w:p>
    <w:p w14:paraId="3C42A5CB" w14:textId="5452203D" w:rsidR="00A70B58" w:rsidRDefault="00F252D5" w:rsidP="00C14FD1">
      <w:pPr>
        <w:jc w:val="center"/>
        <w:rPr>
          <w:b/>
        </w:rPr>
      </w:pPr>
      <w:r>
        <w:rPr>
          <w:b/>
        </w:rPr>
        <w:t xml:space="preserve">Figure </w:t>
      </w:r>
      <w:r w:rsidR="00347B2A">
        <w:rPr>
          <w:b/>
        </w:rPr>
        <w:t>3</w:t>
      </w:r>
      <w:r>
        <w:rPr>
          <w:b/>
        </w:rPr>
        <w:t>: Profit margin graph</w:t>
      </w:r>
    </w:p>
    <w:p w14:paraId="63DF226D" w14:textId="77777777" w:rsidR="00A70B58" w:rsidRDefault="00F252D5">
      <w:pPr>
        <w:jc w:val="center"/>
      </w:pPr>
      <w:r>
        <w:t>(Source: Created in Excel)</w:t>
      </w:r>
    </w:p>
    <w:p w14:paraId="0238ACF5" w14:textId="165B69C1" w:rsidR="00A70B58" w:rsidRDefault="00F11253">
      <w:r>
        <w:rPr>
          <w:sz w:val="23"/>
          <w:szCs w:val="23"/>
        </w:rPr>
        <w:t xml:space="preserve">Figure 3 shows the operating profit margin shows an upward trend which is more volatile. It rose to 8.0 per cent in FY2021 and to 9.5 per cent in FY2022, and then fell to 7.3 percent in FY2023, indicating the higher operating costs or disruption externally. A major increase has been made in FY2024 where the margin has increased to 11.9 with a demonstration of greater efficiency in operations and cost control. It also slightly reduces to 10.0 in FY2025, implying a </w:t>
      </w:r>
      <w:proofErr w:type="spellStart"/>
      <w:r>
        <w:rPr>
          <w:sz w:val="23"/>
          <w:szCs w:val="23"/>
        </w:rPr>
        <w:t>normalisation</w:t>
      </w:r>
      <w:proofErr w:type="spellEnd"/>
      <w:r>
        <w:rPr>
          <w:sz w:val="23"/>
          <w:szCs w:val="23"/>
        </w:rPr>
        <w:t xml:space="preserve"> of peak performance. There is a marked variation in net profit margin throughout the period. It reported 8.2% FY2021 and then decreased to considerable levels of 9.1% in FY2022, which means more general expenses and lower net profitability. </w:t>
      </w:r>
    </w:p>
    <w:p w14:paraId="534FE20F" w14:textId="77777777" w:rsidR="00A70B58" w:rsidRDefault="00F252D5">
      <w:pPr>
        <w:pStyle w:val="Heading1"/>
      </w:pPr>
      <w:bookmarkStart w:id="31" w:name="_qbhsnaax5gm6" w:colFirst="0" w:colLast="0"/>
      <w:bookmarkStart w:id="32" w:name="_Toc227747732"/>
      <w:bookmarkEnd w:id="31"/>
      <w:r>
        <w:lastRenderedPageBreak/>
        <w:t>3. Working Capital Management Analysis</w:t>
      </w:r>
      <w:bookmarkEnd w:id="32"/>
    </w:p>
    <w:p w14:paraId="3AA035FD" w14:textId="77777777" w:rsidR="00A70B58" w:rsidRDefault="00F252D5">
      <w:pPr>
        <w:pStyle w:val="Heading2"/>
      </w:pPr>
      <w:bookmarkStart w:id="33" w:name="_wlqouauxfs1w" w:colFirst="0" w:colLast="0"/>
      <w:bookmarkStart w:id="34" w:name="_Toc227747733"/>
      <w:bookmarkEnd w:id="33"/>
      <w:r>
        <w:t>3.1 Cash Operating Cycle Analysis</w:t>
      </w:r>
      <w:bookmarkEnd w:id="34"/>
    </w:p>
    <w:p w14:paraId="2F4401E7" w14:textId="77777777" w:rsidR="00A70B58" w:rsidRDefault="00F252D5">
      <w:pPr>
        <w:jc w:val="center"/>
      </w:pPr>
      <w:r>
        <w:rPr>
          <w:noProof/>
        </w:rPr>
        <w:drawing>
          <wp:inline distT="114300" distB="114300" distL="114300" distR="114300" wp14:anchorId="3EB14E02" wp14:editId="330A6F28">
            <wp:extent cx="5943600" cy="1676400"/>
            <wp:effectExtent l="25400" t="25400" r="25400" b="25400"/>
            <wp:docPr id="28" name="image19.png"/>
            <wp:cNvGraphicFramePr/>
            <a:graphic xmlns:a="http://schemas.openxmlformats.org/drawingml/2006/main">
              <a:graphicData uri="http://schemas.openxmlformats.org/drawingml/2006/picture">
                <pic:pic xmlns:pic="http://schemas.openxmlformats.org/drawingml/2006/picture">
                  <pic:nvPicPr>
                    <pic:cNvPr id="28" name="image19.png"/>
                    <pic:cNvPicPr preferRelativeResize="0"/>
                  </pic:nvPicPr>
                  <pic:blipFill>
                    <a:blip r:embed="rId20"/>
                    <a:srcRect/>
                    <a:stretch>
                      <a:fillRect/>
                    </a:stretch>
                  </pic:blipFill>
                  <pic:spPr>
                    <a:xfrm>
                      <a:off x="0" y="0"/>
                      <a:ext cx="5943600" cy="1676400"/>
                    </a:xfrm>
                    <a:prstGeom prst="rect">
                      <a:avLst/>
                    </a:prstGeom>
                    <a:ln w="25400">
                      <a:solidFill>
                        <a:srgbClr val="000000"/>
                      </a:solidFill>
                      <a:prstDash val="solid"/>
                    </a:ln>
                  </pic:spPr>
                </pic:pic>
              </a:graphicData>
            </a:graphic>
          </wp:inline>
        </w:drawing>
      </w:r>
    </w:p>
    <w:p w14:paraId="5F09D056" w14:textId="2B4E7723" w:rsidR="00A70B58" w:rsidRDefault="00361D4E" w:rsidP="00C14FD1">
      <w:pPr>
        <w:pStyle w:val="Heading4"/>
      </w:pPr>
      <w:bookmarkStart w:id="35" w:name="_Toc227747711"/>
      <w:r>
        <w:t>Table 10: Raw inputs data</w:t>
      </w:r>
      <w:bookmarkEnd w:id="35"/>
      <w:r>
        <w:t xml:space="preserve"> </w:t>
      </w:r>
    </w:p>
    <w:p w14:paraId="168A4FC8" w14:textId="77777777" w:rsidR="00A70B58" w:rsidRDefault="00F252D5">
      <w:pPr>
        <w:jc w:val="center"/>
        <w:rPr>
          <w:b/>
          <w:bCs/>
        </w:rPr>
      </w:pPr>
      <w:r>
        <w:t>(Source: Created in Excel)</w:t>
      </w:r>
    </w:p>
    <w:p w14:paraId="159316C4" w14:textId="16E373CF" w:rsidR="00AF2726" w:rsidRPr="00AF2726" w:rsidRDefault="00F9054D" w:rsidP="00AF2726">
      <w:pPr>
        <w:rPr>
          <w:sz w:val="23"/>
          <w:szCs w:val="23"/>
          <w:lang w:val="en-IN"/>
        </w:rPr>
      </w:pPr>
      <w:r w:rsidRPr="006E08F4">
        <w:t xml:space="preserve">Table </w:t>
      </w:r>
      <w:r>
        <w:t>10</w:t>
      </w:r>
      <w:r w:rsidRPr="006E08F4">
        <w:t xml:space="preserve"> shows</w:t>
      </w:r>
      <w:r>
        <w:rPr>
          <w:b/>
          <w:bCs/>
        </w:rPr>
        <w:t xml:space="preserve"> </w:t>
      </w:r>
      <w:r>
        <w:rPr>
          <w:sz w:val="23"/>
          <w:szCs w:val="23"/>
        </w:rPr>
        <w:t>the fact that the financial input of the Toyota Motor Corporation reflects tremendous development and altered cost and funding factors during the five years. The growth in revenue is notably high since it stands at ¥27,265 billion in FY2021 to ¥48,036 billion in FY2025. But COGS also increases in the same way, from ¥22,402 billion to ¥38,644 billion, showing strain on cost structures. Operating profit is improving generally, with its peak in FY2024 of ¥5,352 billion, but decreases marginally in FY2025.</w:t>
      </w:r>
      <w:r>
        <w:t xml:space="preserve"> </w:t>
      </w:r>
      <w:r>
        <w:rPr>
          <w:sz w:val="23"/>
          <w:szCs w:val="23"/>
        </w:rPr>
        <w:t xml:space="preserve">Trends of working capital are mixed. The inventories are growing at a gradual pace, indicating an increase in </w:t>
      </w:r>
      <w:r w:rsidR="00580204">
        <w:rPr>
          <w:sz w:val="23"/>
          <w:szCs w:val="23"/>
        </w:rPr>
        <w:t>production</w:t>
      </w:r>
      <w:r>
        <w:rPr>
          <w:sz w:val="23"/>
          <w:szCs w:val="23"/>
        </w:rPr>
        <w:t xml:space="preserve"> and the accounts receivable are also at a gradual pace,</w:t>
      </w:r>
      <w:r w:rsidR="00580204">
        <w:rPr>
          <w:sz w:val="23"/>
          <w:szCs w:val="23"/>
        </w:rPr>
        <w:t xml:space="preserve"> </w:t>
      </w:r>
      <w:r>
        <w:rPr>
          <w:sz w:val="23"/>
          <w:szCs w:val="23"/>
        </w:rPr>
        <w:t xml:space="preserve">indicating an increase in credit sales. Liabilities increase steadily, highlighting more immediate responsibilities. Moreover, total debt rises by 25,916 billion to 39,364 billion, which is dependent on the use of external financing. The cost of interest also increases, which means an increase in the cost of borrowing. </w:t>
      </w:r>
      <w:r w:rsidR="00AF2726" w:rsidRPr="00AF2726">
        <w:rPr>
          <w:sz w:val="23"/>
          <w:szCs w:val="23"/>
          <w:lang w:val="en-IN"/>
        </w:rPr>
        <w:t xml:space="preserve">It is important to acknowledge that Days Payable Outstanding (DPO) is calculated using current liabilities as a substitute due to inadequate data. </w:t>
      </w:r>
    </w:p>
    <w:p w14:paraId="53236BA5" w14:textId="46DD1AB8" w:rsidR="00A70B58" w:rsidRDefault="00A70B58"/>
    <w:p w14:paraId="10E5776E" w14:textId="77777777" w:rsidR="00A70B58" w:rsidRDefault="00F252D5">
      <w:pPr>
        <w:jc w:val="center"/>
      </w:pPr>
      <w:r>
        <w:rPr>
          <w:noProof/>
        </w:rPr>
        <w:lastRenderedPageBreak/>
        <w:drawing>
          <wp:inline distT="114300" distB="114300" distL="114300" distR="114300" wp14:anchorId="32572680" wp14:editId="546CD597">
            <wp:extent cx="5943600" cy="2590800"/>
            <wp:effectExtent l="25400" t="25400" r="25400" b="25400"/>
            <wp:docPr id="5" name="image8.png"/>
            <wp:cNvGraphicFramePr/>
            <a:graphic xmlns:a="http://schemas.openxmlformats.org/drawingml/2006/main">
              <a:graphicData uri="http://schemas.openxmlformats.org/drawingml/2006/picture">
                <pic:pic xmlns:pic="http://schemas.openxmlformats.org/drawingml/2006/picture">
                  <pic:nvPicPr>
                    <pic:cNvPr id="5" name="image8.png"/>
                    <pic:cNvPicPr preferRelativeResize="0"/>
                  </pic:nvPicPr>
                  <pic:blipFill>
                    <a:blip r:embed="rId21"/>
                    <a:srcRect/>
                    <a:stretch>
                      <a:fillRect/>
                    </a:stretch>
                  </pic:blipFill>
                  <pic:spPr>
                    <a:xfrm>
                      <a:off x="0" y="0"/>
                      <a:ext cx="5943600" cy="2590800"/>
                    </a:xfrm>
                    <a:prstGeom prst="rect">
                      <a:avLst/>
                    </a:prstGeom>
                    <a:ln w="25400">
                      <a:solidFill>
                        <a:srgbClr val="000000"/>
                      </a:solidFill>
                      <a:prstDash val="solid"/>
                    </a:ln>
                  </pic:spPr>
                </pic:pic>
              </a:graphicData>
            </a:graphic>
          </wp:inline>
        </w:drawing>
      </w:r>
    </w:p>
    <w:p w14:paraId="4E236C4F" w14:textId="3F9470FB" w:rsidR="00A70B58" w:rsidRDefault="00580204" w:rsidP="00C14FD1">
      <w:pPr>
        <w:pStyle w:val="Heading4"/>
      </w:pPr>
      <w:bookmarkStart w:id="36" w:name="_Toc227747712"/>
      <w:r>
        <w:t>Table 11: CCC trend analysis table</w:t>
      </w:r>
      <w:bookmarkEnd w:id="36"/>
      <w:r>
        <w:t xml:space="preserve"> </w:t>
      </w:r>
    </w:p>
    <w:p w14:paraId="3FFEF920" w14:textId="77777777" w:rsidR="00A70B58" w:rsidRDefault="00F252D5">
      <w:pPr>
        <w:jc w:val="center"/>
        <w:rPr>
          <w:b/>
          <w:bCs/>
        </w:rPr>
      </w:pPr>
      <w:r>
        <w:t>(Source: Created in Excel)</w:t>
      </w:r>
    </w:p>
    <w:p w14:paraId="33A82614" w14:textId="129360B8" w:rsidR="00A70B58" w:rsidRDefault="009B22C9">
      <w:pPr>
        <w:rPr>
          <w:sz w:val="23"/>
          <w:szCs w:val="23"/>
        </w:rPr>
      </w:pPr>
      <w:r w:rsidRPr="006E08F4">
        <w:t xml:space="preserve">Table </w:t>
      </w:r>
      <w:r>
        <w:t>11</w:t>
      </w:r>
      <w:r w:rsidRPr="006E08F4">
        <w:t xml:space="preserve"> shows</w:t>
      </w:r>
      <w:r>
        <w:rPr>
          <w:b/>
          <w:bCs/>
        </w:rPr>
        <w:t xml:space="preserve"> </w:t>
      </w:r>
      <w:r>
        <w:rPr>
          <w:sz w:val="23"/>
          <w:szCs w:val="23"/>
        </w:rPr>
        <w:t>the cash operating cycle of Toyota Motor Corporation indicates the efficiency of the operating capital of the company in the management of inventory, receivables, and payables.</w:t>
      </w:r>
      <w:r>
        <w:t xml:space="preserve"> </w:t>
      </w:r>
      <w:r>
        <w:rPr>
          <w:sz w:val="23"/>
          <w:szCs w:val="23"/>
        </w:rPr>
        <w:t>Days Inventory Outstanding (DIO) is acting as a swinging yet an overall improving trend, growing up to 47.1 days in FY2021 and 54.8 days in FY2022 before gradually returning to 43.3days in FY2025. It means that the efficiency of inventory management has increased over the previous years, and the process takes a shorter time.</w:t>
      </w:r>
    </w:p>
    <w:p w14:paraId="54C9A4DB" w14:textId="77777777" w:rsidR="00A70B58" w:rsidRDefault="00F252D5">
      <w:r>
        <w:rPr>
          <w:sz w:val="23"/>
          <w:szCs w:val="23"/>
        </w:rPr>
        <w:t>Days Sales Outstanding (DSO) is also very stable in its decreasing trend since FY2021 showed an amount of 43.9 days to FY2025 with 31.2 days, showing that the company has managed its receivables better and can collect its credit sales more efficiently. This improves cash flows and boosts liquidity.</w:t>
      </w:r>
      <w:r>
        <w:t xml:space="preserve"> But Days Payable Outstanding (DPO) is not very low, as it dropped to 288.8 days (down by 364.6 days compared to FY 2021). Although the downward trend implies that they are paying the suppliers more rapidly over the period of time, the enormously high values suggest that the company is dragging payments significantly, which can be affected by the </w:t>
      </w:r>
      <w:proofErr w:type="spellStart"/>
      <w:r>
        <w:t>utilisation</w:t>
      </w:r>
      <w:proofErr w:type="spellEnd"/>
      <w:r>
        <w:t xml:space="preserve"> of the current liabilities as a proxy of payables.</w:t>
      </w:r>
    </w:p>
    <w:p w14:paraId="56C64C5C" w14:textId="77777777" w:rsidR="00A70B58" w:rsidRDefault="00F252D5">
      <w:r>
        <w:t xml:space="preserve">The Cash Conversion Cycle (CCC) is negative in the period, with the percentage of -273.6 days in FY2021 and -214.3 days in FY2025. A negative CCC means that Toyota collects cash from the </w:t>
      </w:r>
      <w:r>
        <w:lastRenderedPageBreak/>
        <w:t xml:space="preserve">customers, and then it settles its suppliers on credit, which enhances good liquidity. On the whole, the trend indicates an effective management of the working </w:t>
      </w:r>
      <w:proofErr w:type="spellStart"/>
      <w:r>
        <w:t>capita,l</w:t>
      </w:r>
      <w:proofErr w:type="spellEnd"/>
      <w:r>
        <w:t xml:space="preserve"> though the estimation of the DPO can exaggerate the performance.</w:t>
      </w:r>
    </w:p>
    <w:p w14:paraId="106C475B" w14:textId="77777777" w:rsidR="00A70B58" w:rsidRDefault="00F252D5">
      <w:pPr>
        <w:pStyle w:val="Heading2"/>
        <w:keepNext w:val="0"/>
        <w:keepLines w:val="0"/>
        <w:spacing w:before="280"/>
      </w:pPr>
      <w:bookmarkStart w:id="37" w:name="_yjjfoxpzpbi6" w:colFirst="0" w:colLast="0"/>
      <w:bookmarkStart w:id="38" w:name="_Toc227747734"/>
      <w:bookmarkEnd w:id="37"/>
      <w:r>
        <w:t>3.2 Evaluation of Liquidity Position</w:t>
      </w:r>
      <w:bookmarkEnd w:id="38"/>
    </w:p>
    <w:p w14:paraId="24FA310C" w14:textId="77777777" w:rsidR="00A70B58" w:rsidRDefault="00F252D5">
      <w:r>
        <w:t xml:space="preserve">The interaction between the liquidity ratios and the cash conversion cycle (CCC) of Toyota Motor Corporation can be used to assess the liquidity position. The negative CCC has been steadily showing, which implies that the company collects cash before payment to suppliers (Di </w:t>
      </w:r>
      <w:r>
        <w:rPr>
          <w:i/>
          <w:iCs/>
        </w:rPr>
        <w:t xml:space="preserve">et al. </w:t>
      </w:r>
      <w:r>
        <w:t>2024). This shows high operating cash generation and working capital management, and this aids the liquidity in the short term.</w:t>
      </w:r>
    </w:p>
    <w:p w14:paraId="2D385BAC" w14:textId="77777777" w:rsidR="00A70B58" w:rsidRDefault="00F252D5">
      <w:r>
        <w:t xml:space="preserve">Additional liquidity is enhanced with the betterment in Days Sales Outstanding (DSO), and a decrease in Days Inventory Outstanding (DIO) accelerates the inflow of </w:t>
      </w:r>
      <w:proofErr w:type="spellStart"/>
      <w:r>
        <w:t>cash,h</w:t>
      </w:r>
      <w:proofErr w:type="spellEnd"/>
      <w:r>
        <w:t xml:space="preserve"> and capital is not held in inventory. These dynamics are consistent with the current ratio, which has remained relatively constant (around 1.1–1.2x), and the quick ratio, which has been increasing, indicating that Toyota has adequate liquid assets to cover the short-term liabilities. Nevertheless, the very high Days Payable Outstanding (DPO) numbers can reportedly be the measure of liquidity strength because they are reported on proxy data. Also, a low cash ratio (0.2-0.3x) depicts that it has short-run cash reserves and therefore is dependent on its debtors and its operating cash flows.</w:t>
      </w:r>
    </w:p>
    <w:p w14:paraId="6621A5CE" w14:textId="77777777" w:rsidR="00A70B58" w:rsidRDefault="00F252D5">
      <w:pPr>
        <w:pStyle w:val="Heading2"/>
        <w:keepNext w:val="0"/>
        <w:keepLines w:val="0"/>
        <w:spacing w:before="280"/>
      </w:pPr>
      <w:bookmarkStart w:id="39" w:name="_4q7fu1pqjd9t" w:colFirst="0" w:colLast="0"/>
      <w:bookmarkStart w:id="40" w:name="_Toc227747735"/>
      <w:bookmarkEnd w:id="39"/>
      <w:r>
        <w:t>3.3 Strategies to Improve Working Capital</w:t>
      </w:r>
      <w:bookmarkEnd w:id="40"/>
    </w:p>
    <w:p w14:paraId="33E2C540" w14:textId="77777777" w:rsidR="00A70B58" w:rsidRDefault="00F252D5">
      <w:r>
        <w:t xml:space="preserve">The inventory </w:t>
      </w:r>
      <w:proofErr w:type="spellStart"/>
      <w:r>
        <w:t>optimisation</w:t>
      </w:r>
      <w:proofErr w:type="spellEnd"/>
      <w:r>
        <w:t xml:space="preserve"> process should aim at reinforcing the Toyota Production System (TPS) with just-in-time (JIT) production and reduction of wastes. Toyota will be able to limit excess stock and holding costs, as well as to enhance turnover efficiency by ensuring that the production process is closely aligned with demand. Inventory planning can also be improved through highly developed data analytics and forecasting. To better manage the receivables, tightening of credit policy, providing incentives for early payments, and improving the digital payment system can be done to speed up the collection. The decreased DSO observed is positive, but additional increases would reinforce the cash inflows and </w:t>
      </w:r>
      <w:proofErr w:type="spellStart"/>
      <w:r>
        <w:t>minimise</w:t>
      </w:r>
      <w:proofErr w:type="spellEnd"/>
      <w:r>
        <w:t xml:space="preserve"> credit risk (Reyad </w:t>
      </w:r>
      <w:r>
        <w:rPr>
          <w:i/>
          <w:iCs/>
        </w:rPr>
        <w:t xml:space="preserve">et al. </w:t>
      </w:r>
      <w:r>
        <w:t xml:space="preserve">2022). Payables management strives to reconcile the relationships with suppliers with economic soundness. </w:t>
      </w:r>
      <w:r>
        <w:lastRenderedPageBreak/>
        <w:t xml:space="preserve">Although the length of payment can help increase liquidity, too many lengthy payments will lead to strained relations with suppliers. </w:t>
      </w:r>
    </w:p>
    <w:p w14:paraId="1DB5F3EE" w14:textId="77777777" w:rsidR="00A70B58" w:rsidRDefault="00F252D5">
      <w:pPr>
        <w:pStyle w:val="Heading2"/>
      </w:pPr>
      <w:bookmarkStart w:id="41" w:name="_puky1tystmzg" w:colFirst="0" w:colLast="0"/>
      <w:bookmarkStart w:id="42" w:name="_Toc227747736"/>
      <w:bookmarkEnd w:id="41"/>
      <w:r>
        <w:t>3.4 Financing Options Comparison</w:t>
      </w:r>
      <w:bookmarkEnd w:id="42"/>
    </w:p>
    <w:p w14:paraId="685BB678" w14:textId="77777777" w:rsidR="00A70B58" w:rsidRDefault="00F252D5">
      <w:pPr>
        <w:rPr>
          <w:sz w:val="23"/>
          <w:szCs w:val="23"/>
        </w:rPr>
      </w:pPr>
      <w:r>
        <w:rPr>
          <w:sz w:val="23"/>
          <w:szCs w:val="23"/>
        </w:rPr>
        <w:t xml:space="preserve">The financing model of Toyota Motor Corporation is </w:t>
      </w:r>
      <w:proofErr w:type="spellStart"/>
      <w:r>
        <w:rPr>
          <w:sz w:val="23"/>
          <w:szCs w:val="23"/>
        </w:rPr>
        <w:t>characterised</w:t>
      </w:r>
      <w:proofErr w:type="spellEnd"/>
      <w:r>
        <w:rPr>
          <w:sz w:val="23"/>
          <w:szCs w:val="23"/>
        </w:rPr>
        <w:t xml:space="preserve"> by a balance between both short-run and long-run funding sources, each having its individual ramifications on liquidity (</w:t>
      </w:r>
      <w:proofErr w:type="spellStart"/>
      <w:r>
        <w:rPr>
          <w:sz w:val="23"/>
          <w:szCs w:val="23"/>
        </w:rPr>
        <w:t>Bhattacheryay</w:t>
      </w:r>
      <w:proofErr w:type="spellEnd"/>
      <w:r>
        <w:rPr>
          <w:sz w:val="23"/>
          <w:szCs w:val="23"/>
        </w:rPr>
        <w:t xml:space="preserve">, 2023). Temporary sources of finance, like trade credit and overdraft, offer fluidity in meeting the day-to-day requirements. In practice, trade credit, especially, enables Toyota to pay off creditors at a later time, regardless of supporting its negative cash conversion cycle and the improvement of short-term liquidity. Strategic investments and long-term growth are provided by long-term financing, including both debt and equity. Debt financing enables Toyota to finance the capital at comparatively cheaper rates, whereas equity financing enhances the capital stock without increasing the repayment. </w:t>
      </w:r>
    </w:p>
    <w:p w14:paraId="2173FE99" w14:textId="77777777" w:rsidR="00A70B58" w:rsidRDefault="00F252D5">
      <w:pPr>
        <w:pStyle w:val="Heading1"/>
      </w:pPr>
      <w:bookmarkStart w:id="43" w:name="_svy2e2a1gmxs" w:colFirst="0" w:colLast="0"/>
      <w:bookmarkStart w:id="44" w:name="_Toc227747737"/>
      <w:bookmarkEnd w:id="43"/>
      <w:r>
        <w:t>4. Strategic Financial Restructuring Plan</w:t>
      </w:r>
      <w:bookmarkEnd w:id="44"/>
      <w:r>
        <w:t xml:space="preserve"> </w:t>
      </w:r>
    </w:p>
    <w:p w14:paraId="79FB07B9" w14:textId="77777777" w:rsidR="00A70B58" w:rsidRDefault="00F252D5">
      <w:pPr>
        <w:pStyle w:val="Heading2"/>
      </w:pPr>
      <w:bookmarkStart w:id="45" w:name="_2fcbj9y0lc8k" w:colFirst="0" w:colLast="0"/>
      <w:bookmarkStart w:id="46" w:name="_Toc227747738"/>
      <w:bookmarkEnd w:id="45"/>
      <w:r>
        <w:t>4.1 Identification of Key Financial Issues</w:t>
      </w:r>
      <w:bookmarkEnd w:id="46"/>
    </w:p>
    <w:p w14:paraId="2E6443BD" w14:textId="77777777" w:rsidR="00A70B58" w:rsidRDefault="00F252D5">
      <w:r>
        <w:t>The financial report of Toyota Motor Corporation determines that there are several critical problems even in the backdrop of good performance. One of the major issues is the fluctuation of profitability, especially in FY2023, because there was a reduction in gross, operating, and net margins (</w:t>
      </w:r>
      <w:r>
        <w:rPr>
          <w:color w:val="222222"/>
          <w:highlight w:val="white"/>
        </w:rPr>
        <w:t xml:space="preserve">Astley </w:t>
      </w:r>
      <w:r>
        <w:rPr>
          <w:i/>
          <w:iCs/>
          <w:color w:val="222222"/>
          <w:highlight w:val="white"/>
        </w:rPr>
        <w:t xml:space="preserve">et al. </w:t>
      </w:r>
      <w:r>
        <w:rPr>
          <w:color w:val="222222"/>
          <w:highlight w:val="white"/>
        </w:rPr>
        <w:t>2024)</w:t>
      </w:r>
      <w:r>
        <w:t xml:space="preserve">. This indicates that it is vulnerable to external factors, including increased costs of input, its proxies in the supply chain, and currency fluctuations. In later years, profitability </w:t>
      </w:r>
      <w:proofErr w:type="spellStart"/>
      <w:r>
        <w:t>stabilised</w:t>
      </w:r>
      <w:proofErr w:type="spellEnd"/>
      <w:r>
        <w:t>, but the variability indicates the fact that it is sensitive to the cost structures.</w:t>
      </w:r>
    </w:p>
    <w:p w14:paraId="57876321" w14:textId="77777777" w:rsidR="00A70B58" w:rsidRDefault="00F252D5">
      <w:r>
        <w:t>Moderate liquidity strength is another problem. Although the current and quick ratios demonstrate that the company can afford to meet the short-term liabilities, the low value of the cash ratio (0.2-0.3x) indicates that the company has fewer cash reserves at hand. It means that it is dependent on effective working capital management as opposed to high cash holdings (</w:t>
      </w:r>
      <w:r>
        <w:rPr>
          <w:color w:val="222222"/>
          <w:highlight w:val="white"/>
        </w:rPr>
        <w:t>Akbar</w:t>
      </w:r>
      <w:r>
        <w:rPr>
          <w:i/>
          <w:iCs/>
          <w:color w:val="222222"/>
          <w:highlight w:val="white"/>
        </w:rPr>
        <w:t xml:space="preserve"> et al.</w:t>
      </w:r>
      <w:r>
        <w:rPr>
          <w:color w:val="222222"/>
          <w:highlight w:val="white"/>
        </w:rPr>
        <w:t xml:space="preserve"> 2022)</w:t>
      </w:r>
      <w:r>
        <w:t xml:space="preserve">. Moreover, leverage is on the increase, and total debt is increasing with time. Debt ratios have been maintained at the same level; a higher level of borrowing has resulted in high interest costs, and this could increase financial risk in </w:t>
      </w:r>
      <w:proofErr w:type="spellStart"/>
      <w:r>
        <w:t>unfavourable</w:t>
      </w:r>
      <w:proofErr w:type="spellEnd"/>
      <w:r>
        <w:t xml:space="preserve"> economic conditions (</w:t>
      </w:r>
      <w:r>
        <w:rPr>
          <w:color w:val="222222"/>
          <w:highlight w:val="white"/>
        </w:rPr>
        <w:t xml:space="preserve">Sardo </w:t>
      </w:r>
      <w:r>
        <w:rPr>
          <w:i/>
          <w:iCs/>
          <w:color w:val="222222"/>
          <w:highlight w:val="white"/>
        </w:rPr>
        <w:t>et al.</w:t>
      </w:r>
      <w:r>
        <w:rPr>
          <w:color w:val="222222"/>
          <w:highlight w:val="white"/>
        </w:rPr>
        <w:t xml:space="preserve"> 2022)</w:t>
      </w:r>
      <w:r>
        <w:t xml:space="preserve">. </w:t>
      </w:r>
    </w:p>
    <w:p w14:paraId="7FF2CF09" w14:textId="77777777" w:rsidR="00A70B58" w:rsidRDefault="00F252D5">
      <w:pPr>
        <w:pStyle w:val="Heading2"/>
      </w:pPr>
      <w:bookmarkStart w:id="47" w:name="_t1p9zz8lywcw" w:colFirst="0" w:colLast="0"/>
      <w:bookmarkStart w:id="48" w:name="_Toc227747739"/>
      <w:bookmarkEnd w:id="47"/>
      <w:r>
        <w:lastRenderedPageBreak/>
        <w:t>4.2 Financial Restructuring Strategies</w:t>
      </w:r>
      <w:bookmarkEnd w:id="48"/>
    </w:p>
    <w:p w14:paraId="20FD9B9C" w14:textId="77777777" w:rsidR="00A70B58" w:rsidRDefault="00F252D5">
      <w:pPr>
        <w:rPr>
          <w:b/>
          <w:bCs/>
        </w:rPr>
      </w:pPr>
      <w:r>
        <w:t xml:space="preserve">In order to deal with these financial problems, Toyota Motor Corporation must apply a strategic financial restructuring strategy of cost efficiency, capital </w:t>
      </w:r>
      <w:proofErr w:type="spellStart"/>
      <w:r>
        <w:t>optimisation</w:t>
      </w:r>
      <w:proofErr w:type="spellEnd"/>
      <w:r>
        <w:t xml:space="preserve">, and future-oriented investments. To </w:t>
      </w:r>
      <w:proofErr w:type="spellStart"/>
      <w:r>
        <w:t>stabilise</w:t>
      </w:r>
      <w:proofErr w:type="spellEnd"/>
      <w:r>
        <w:t xml:space="preserve"> profitability, cost restructuring will be necessary. To enhance its lean manufacturing, Toyota must </w:t>
      </w:r>
      <w:proofErr w:type="spellStart"/>
      <w:r>
        <w:t>minimise</w:t>
      </w:r>
      <w:proofErr w:type="spellEnd"/>
      <w:r>
        <w:t xml:space="preserve"> its wastage, enhance coordination of its supply chain, and harness digital technology to achieve production efficiency (</w:t>
      </w:r>
      <w:proofErr w:type="spellStart"/>
      <w:r>
        <w:rPr>
          <w:color w:val="222222"/>
          <w:highlight w:val="white"/>
        </w:rPr>
        <w:t>Burawat</w:t>
      </w:r>
      <w:proofErr w:type="spellEnd"/>
      <w:r>
        <w:rPr>
          <w:color w:val="222222"/>
          <w:highlight w:val="white"/>
        </w:rPr>
        <w:t>, 2025)</w:t>
      </w:r>
      <w:r>
        <w:t xml:space="preserve">. Partly by </w:t>
      </w:r>
      <w:proofErr w:type="spellStart"/>
      <w:r>
        <w:t>localising</w:t>
      </w:r>
      <w:proofErr w:type="spellEnd"/>
      <w:r>
        <w:t xml:space="preserve"> supply chains and enhancing procurement strategies, disruption and price volatility on a global scale can be </w:t>
      </w:r>
      <w:proofErr w:type="spellStart"/>
      <w:r>
        <w:t>minimised</w:t>
      </w:r>
      <w:proofErr w:type="spellEnd"/>
      <w:r>
        <w:t>, and margins improved.</w:t>
      </w:r>
    </w:p>
    <w:p w14:paraId="3C477595" w14:textId="77777777" w:rsidR="00A70B58" w:rsidRDefault="00F252D5">
      <w:pPr>
        <w:rPr>
          <w:b/>
          <w:bCs/>
        </w:rPr>
      </w:pPr>
      <w:r>
        <w:t xml:space="preserve">Re-structuring of capital must be geared towards a balanced capital structure and </w:t>
      </w:r>
      <w:proofErr w:type="spellStart"/>
      <w:r>
        <w:t>minimising</w:t>
      </w:r>
      <w:proofErr w:type="spellEnd"/>
      <w:r>
        <w:t xml:space="preserve"> financial risk. Even though there is no change in the current leverage, the increase in the debt levels is a pointer that the leverage should be handled carefully. Toyota may have the option of refinancing debt at lower interest rates, gradually decreasing dependence on debt, and making use of retained earnings as an avenue of investment. This would enhance financial flexibility and interest load.</w:t>
      </w:r>
    </w:p>
    <w:p w14:paraId="1C769AAA" w14:textId="77777777" w:rsidR="00A70B58" w:rsidRDefault="00F252D5">
      <w:pPr>
        <w:spacing w:before="0" w:after="0"/>
        <w:rPr>
          <w:b/>
          <w:bCs/>
        </w:rPr>
      </w:pPr>
      <w:r>
        <w:t xml:space="preserve">Resource allocation can also be </w:t>
      </w:r>
      <w:proofErr w:type="spellStart"/>
      <w:r>
        <w:t>optimised</w:t>
      </w:r>
      <w:proofErr w:type="spellEnd"/>
      <w:r>
        <w:t xml:space="preserve"> through additional divestment and investment changes. Toyota ought to look at its underperforming or non-core divisions and look into the possibility of divesting them, as they would open up capital. The money can subsequently be diverted to high-growth segments like electric cars, autonomous driving innovations and digital mobility solutions, enhancing returns in the long term. (</w:t>
      </w:r>
      <w:r>
        <w:rPr>
          <w:color w:val="222222"/>
          <w:highlight w:val="white"/>
        </w:rPr>
        <w:t>Muller, 2025)</w:t>
      </w:r>
    </w:p>
    <w:p w14:paraId="0D1834D1" w14:textId="77777777" w:rsidR="00A70B58" w:rsidRDefault="00F252D5">
      <w:r>
        <w:t>The EV transition plan is of paramount importance to maintain competitiveness. Toyota must also keep investing in electric, hybrid and hydrogen technologies, which should be reinforced by strategic partners which will help reduce costs as well as risks of development (</w:t>
      </w:r>
      <w:r>
        <w:rPr>
          <w:color w:val="222222"/>
          <w:highlight w:val="white"/>
        </w:rPr>
        <w:t>Salimi</w:t>
      </w:r>
      <w:r>
        <w:rPr>
          <w:i/>
          <w:iCs/>
          <w:color w:val="222222"/>
          <w:highlight w:val="white"/>
        </w:rPr>
        <w:t xml:space="preserve"> et al.</w:t>
      </w:r>
      <w:r>
        <w:rPr>
          <w:color w:val="222222"/>
          <w:highlight w:val="white"/>
        </w:rPr>
        <w:t xml:space="preserve"> 2022)</w:t>
      </w:r>
      <w:r>
        <w:t>. By aligning the financial resources to the sustainable mobility programs, the long-term profitability will increase, as well as the relevance of the company in the changing world automotive sector.</w:t>
      </w:r>
    </w:p>
    <w:p w14:paraId="74AEED38" w14:textId="77777777" w:rsidR="00A70B58" w:rsidRDefault="00F252D5">
      <w:pPr>
        <w:pStyle w:val="Heading2"/>
        <w:keepNext w:val="0"/>
        <w:keepLines w:val="0"/>
        <w:spacing w:before="280"/>
      </w:pPr>
      <w:bookmarkStart w:id="49" w:name="_nu8k75dahbr9" w:colFirst="0" w:colLast="0"/>
      <w:bookmarkStart w:id="50" w:name="_Toc227747740"/>
      <w:bookmarkEnd w:id="49"/>
      <w:r>
        <w:t>4.3 Impact on Financial Performance</w:t>
      </w:r>
      <w:bookmarkEnd w:id="50"/>
    </w:p>
    <w:p w14:paraId="75CF7F7E" w14:textId="77777777" w:rsidR="00A70B58" w:rsidRDefault="00F252D5">
      <w:r>
        <w:t xml:space="preserve">In terms of shareholder value, a better cost-efficiency approach and strategic investments in high-growth fields like electric cars would tend to increase the profitability and earnings per share. This, </w:t>
      </w:r>
      <w:r>
        <w:lastRenderedPageBreak/>
        <w:t>conversely, leads to investor confidence and encouragement of long-term values. Better financial performance also enhances the market image and rivals' returns to shareholders.</w:t>
      </w:r>
    </w:p>
    <w:p w14:paraId="345AF23F" w14:textId="77777777" w:rsidR="00A70B58" w:rsidRDefault="00F252D5">
      <w:r>
        <w:t xml:space="preserve">Debt structure-wise, capital restructuring with the focus of </w:t>
      </w:r>
      <w:proofErr w:type="spellStart"/>
      <w:r>
        <w:t>maximising</w:t>
      </w:r>
      <w:proofErr w:type="spellEnd"/>
      <w:r>
        <w:t xml:space="preserve"> the debt and equity ratio can </w:t>
      </w:r>
      <w:proofErr w:type="spellStart"/>
      <w:r>
        <w:t>minimise</w:t>
      </w:r>
      <w:proofErr w:type="spellEnd"/>
      <w:r>
        <w:t xml:space="preserve"> financial risk and the interest burden. A reduced dependence on debt financing will enhance some important leveraging ratios and increase the company's capability to survive economic variations. Financial obligations can also be further </w:t>
      </w:r>
      <w:proofErr w:type="spellStart"/>
      <w:r>
        <w:t>stabilised</w:t>
      </w:r>
      <w:proofErr w:type="spellEnd"/>
      <w:r>
        <w:t xml:space="preserve"> with the help of refinancing through </w:t>
      </w:r>
      <w:proofErr w:type="spellStart"/>
      <w:r>
        <w:t>favourable</w:t>
      </w:r>
      <w:proofErr w:type="spellEnd"/>
      <w:r>
        <w:t xml:space="preserve"> interest rates (</w:t>
      </w:r>
      <w:r>
        <w:rPr>
          <w:color w:val="222222"/>
          <w:highlight w:val="white"/>
        </w:rPr>
        <w:t>Runkel, 2022)</w:t>
      </w:r>
      <w:r>
        <w:t xml:space="preserve">. In terms of operational flexibility, better liquidity and management of working capital will provide Toyota with better responsiveness in the marketplace. The lower cost stressors and the improved resource allocation enable the company to make investments in the opportunities in the aspects of innovation and further growth without substantial financial limitations. </w:t>
      </w:r>
    </w:p>
    <w:p w14:paraId="200C1CE7" w14:textId="77777777" w:rsidR="00A70B58" w:rsidRDefault="00F252D5">
      <w:pPr>
        <w:pStyle w:val="Heading2"/>
      </w:pPr>
      <w:bookmarkStart w:id="51" w:name="_y396ev1wc70v" w:colFirst="0" w:colLast="0"/>
      <w:bookmarkStart w:id="52" w:name="_Toc227747741"/>
      <w:bookmarkEnd w:id="51"/>
      <w:r>
        <w:t>4.4 International and Ethical Considerations</w:t>
      </w:r>
      <w:bookmarkEnd w:id="52"/>
      <w:r>
        <w:t xml:space="preserve"> </w:t>
      </w:r>
    </w:p>
    <w:p w14:paraId="0BBD7E5F" w14:textId="77777777" w:rsidR="00A70B58" w:rsidRDefault="00F252D5">
      <w:r>
        <w:t>Toyota Motor Corporation is susceptible to numerous international financial and ethical factors that affect its financial performance and strategies. Currency risk, especially the Japanese Yen (JPY) exchange rate fluctuations, contributes to the financial performance of Toyota (</w:t>
      </w:r>
      <w:r>
        <w:rPr>
          <w:color w:val="222222"/>
          <w:highlight w:val="white"/>
        </w:rPr>
        <w:t>Bae and Kwon, 2023)</w:t>
      </w:r>
      <w:r>
        <w:t>. Being a big exporter, an appreciation in yen will make the Toyota products less competitive in foreign markets and will hurt the revenue generated when foreign earnings are converted back into yen. On the other hand, a weak yen has the potential of increasing export profitability. Thus, a good management of currency risk in the form of hedging strategies is crucial to reduce volatility.</w:t>
      </w:r>
    </w:p>
    <w:p w14:paraId="7FA5BBAE" w14:textId="77777777" w:rsidR="00A70B58" w:rsidRDefault="00F252D5">
      <w:r>
        <w:t xml:space="preserve">Other critical factors influencing costs and profitability include inflation. Increasing inflation depreciates the costs of raw materials, </w:t>
      </w:r>
      <w:proofErr w:type="spellStart"/>
      <w:r>
        <w:t>labour</w:t>
      </w:r>
      <w:proofErr w:type="spellEnd"/>
      <w:r>
        <w:t xml:space="preserve"> and logistics, which has the potential of squeezing profit margins unless managed adequately. Inflationary pressures on the cost structure and pricing strategies require Toyota to continuously </w:t>
      </w:r>
      <w:proofErr w:type="spellStart"/>
      <w:r>
        <w:t>optimise</w:t>
      </w:r>
      <w:proofErr w:type="spellEnd"/>
      <w:r>
        <w:t xml:space="preserve"> its cost structure and pricing strategy to stay competitive (</w:t>
      </w:r>
      <w:r>
        <w:rPr>
          <w:color w:val="222222"/>
          <w:highlight w:val="white"/>
        </w:rPr>
        <w:t xml:space="preserve"> </w:t>
      </w:r>
      <w:proofErr w:type="spellStart"/>
      <w:r>
        <w:rPr>
          <w:color w:val="222222"/>
          <w:highlight w:val="white"/>
        </w:rPr>
        <w:t>Erozan</w:t>
      </w:r>
      <w:proofErr w:type="spellEnd"/>
      <w:r>
        <w:rPr>
          <w:color w:val="222222"/>
          <w:highlight w:val="white"/>
        </w:rPr>
        <w:t xml:space="preserve"> and </w:t>
      </w:r>
      <w:proofErr w:type="spellStart"/>
      <w:r>
        <w:rPr>
          <w:color w:val="222222"/>
          <w:highlight w:val="white"/>
        </w:rPr>
        <w:t>Erozan</w:t>
      </w:r>
      <w:proofErr w:type="spellEnd"/>
      <w:r>
        <w:rPr>
          <w:color w:val="222222"/>
          <w:highlight w:val="white"/>
        </w:rPr>
        <w:t>, 2025)</w:t>
      </w:r>
      <w:r>
        <w:t>.</w:t>
      </w:r>
    </w:p>
    <w:p w14:paraId="141DF2C2" w14:textId="77777777" w:rsidR="00A70B58" w:rsidRDefault="00F252D5">
      <w:pPr>
        <w:rPr>
          <w:b/>
          <w:bCs/>
          <w:color w:val="FF0000"/>
          <w:sz w:val="46"/>
          <w:szCs w:val="46"/>
        </w:rPr>
      </w:pPr>
      <w:r>
        <w:t xml:space="preserve">Policies of taxation in various countries are also effective on the financial performance. Due to the fact that Toyota is based in several jurisdictions, it is liable to different corporate tax rates and regulations. Effective tax planning and strategy are required to </w:t>
      </w:r>
      <w:proofErr w:type="spellStart"/>
      <w:r>
        <w:t>maximise</w:t>
      </w:r>
      <w:proofErr w:type="spellEnd"/>
      <w:r>
        <w:t xml:space="preserve"> post-tax profits and </w:t>
      </w:r>
      <w:r>
        <w:lastRenderedPageBreak/>
        <w:t>comply with international law. Ethically, corporate social responsibility (CSR) and sustainability are core to the long-term strategy of Toyota (</w:t>
      </w:r>
      <w:r>
        <w:rPr>
          <w:color w:val="222222"/>
          <w:highlight w:val="white"/>
        </w:rPr>
        <w:t xml:space="preserve">Garcia-Ortega </w:t>
      </w:r>
      <w:r>
        <w:rPr>
          <w:i/>
          <w:iCs/>
          <w:color w:val="222222"/>
          <w:highlight w:val="white"/>
        </w:rPr>
        <w:t xml:space="preserve">et al. </w:t>
      </w:r>
      <w:r>
        <w:rPr>
          <w:color w:val="222222"/>
          <w:highlight w:val="white"/>
        </w:rPr>
        <w:t>2022)</w:t>
      </w:r>
      <w:r>
        <w:t xml:space="preserve">. The company focuses on </w:t>
      </w:r>
      <w:proofErr w:type="spellStart"/>
      <w:r>
        <w:t>minimising</w:t>
      </w:r>
      <w:proofErr w:type="spellEnd"/>
      <w:r>
        <w:t xml:space="preserve"> carbon emissions, investing in hybrid vehicles and electric vehicle technologies, and worldwide sustainability is in accordance with global sustainability goals. </w:t>
      </w:r>
    </w:p>
    <w:p w14:paraId="5BF6A95B" w14:textId="77777777" w:rsidR="00A70B58" w:rsidRDefault="00F252D5">
      <w:pPr>
        <w:pStyle w:val="Heading1"/>
      </w:pPr>
      <w:bookmarkStart w:id="53" w:name="_w1btpjk1ix3k" w:colFirst="0" w:colLast="0"/>
      <w:bookmarkStart w:id="54" w:name="_Toc227747742"/>
      <w:bookmarkEnd w:id="53"/>
      <w:r>
        <w:t>5. Investment Appraisal and Capital Budgeting</w:t>
      </w:r>
      <w:bookmarkEnd w:id="54"/>
      <w:r>
        <w:t xml:space="preserve"> </w:t>
      </w:r>
    </w:p>
    <w:p w14:paraId="20CC00B2" w14:textId="77777777" w:rsidR="00A70B58" w:rsidRDefault="00F252D5">
      <w:pPr>
        <w:pStyle w:val="Heading2"/>
      </w:pPr>
      <w:bookmarkStart w:id="55" w:name="_lf0ttii5x33v" w:colFirst="0" w:colLast="0"/>
      <w:bookmarkStart w:id="56" w:name="_Toc227747743"/>
      <w:bookmarkEnd w:id="55"/>
      <w:r>
        <w:t>5.1 Overview of Investment Projects</w:t>
      </w:r>
      <w:bookmarkEnd w:id="56"/>
    </w:p>
    <w:p w14:paraId="4D437113" w14:textId="77777777" w:rsidR="00A70B58" w:rsidRDefault="00F252D5">
      <w:pPr>
        <w:jc w:val="center"/>
      </w:pPr>
      <w:r>
        <w:rPr>
          <w:noProof/>
        </w:rPr>
        <w:drawing>
          <wp:inline distT="114300" distB="114300" distL="114300" distR="114300" wp14:anchorId="6E4ADA91" wp14:editId="48AFEF47">
            <wp:extent cx="5943600" cy="1308100"/>
            <wp:effectExtent l="25400" t="25400" r="25400" b="25400"/>
            <wp:docPr id="32" name="image23.png"/>
            <wp:cNvGraphicFramePr/>
            <a:graphic xmlns:a="http://schemas.openxmlformats.org/drawingml/2006/main">
              <a:graphicData uri="http://schemas.openxmlformats.org/drawingml/2006/picture">
                <pic:pic xmlns:pic="http://schemas.openxmlformats.org/drawingml/2006/picture">
                  <pic:nvPicPr>
                    <pic:cNvPr id="32" name="image23.png"/>
                    <pic:cNvPicPr preferRelativeResize="0"/>
                  </pic:nvPicPr>
                  <pic:blipFill>
                    <a:blip r:embed="rId22"/>
                    <a:srcRect/>
                    <a:stretch>
                      <a:fillRect/>
                    </a:stretch>
                  </pic:blipFill>
                  <pic:spPr>
                    <a:xfrm>
                      <a:off x="0" y="0"/>
                      <a:ext cx="5943600" cy="1308100"/>
                    </a:xfrm>
                    <a:prstGeom prst="rect">
                      <a:avLst/>
                    </a:prstGeom>
                    <a:ln w="25400">
                      <a:solidFill>
                        <a:srgbClr val="000000"/>
                      </a:solidFill>
                      <a:prstDash val="solid"/>
                    </a:ln>
                  </pic:spPr>
                </pic:pic>
              </a:graphicData>
            </a:graphic>
          </wp:inline>
        </w:drawing>
      </w:r>
    </w:p>
    <w:p w14:paraId="2F55B986" w14:textId="5EE3E13C" w:rsidR="00A70B58" w:rsidRDefault="000943B9" w:rsidP="00C14FD1">
      <w:pPr>
        <w:pStyle w:val="Heading4"/>
      </w:pPr>
      <w:bookmarkStart w:id="57" w:name="_Toc227747713"/>
      <w:r>
        <w:t>Table 12: Assumption investment project data</w:t>
      </w:r>
      <w:bookmarkEnd w:id="57"/>
      <w:r>
        <w:t xml:space="preserve"> </w:t>
      </w:r>
    </w:p>
    <w:p w14:paraId="06BB186F" w14:textId="77777777" w:rsidR="00A70B58" w:rsidRDefault="00F252D5">
      <w:pPr>
        <w:jc w:val="center"/>
        <w:rPr>
          <w:b/>
          <w:bCs/>
        </w:rPr>
      </w:pPr>
      <w:r>
        <w:t>(Source: Created in Excel)</w:t>
      </w:r>
    </w:p>
    <w:p w14:paraId="52A50A21" w14:textId="77777777" w:rsidR="00A70B58" w:rsidRDefault="00F252D5">
      <w:r>
        <w:rPr>
          <w:noProof/>
        </w:rPr>
        <w:drawing>
          <wp:inline distT="114300" distB="114300" distL="114300" distR="114300" wp14:anchorId="207B4159" wp14:editId="3386C2E8">
            <wp:extent cx="5943600" cy="8509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23"/>
                    <a:srcRect/>
                    <a:stretch>
                      <a:fillRect/>
                    </a:stretch>
                  </pic:blipFill>
                  <pic:spPr>
                    <a:xfrm>
                      <a:off x="0" y="0"/>
                      <a:ext cx="5943600" cy="850900"/>
                    </a:xfrm>
                    <a:prstGeom prst="rect">
                      <a:avLst/>
                    </a:prstGeom>
                    <a:ln w="25400">
                      <a:solidFill>
                        <a:srgbClr val="000000"/>
                      </a:solidFill>
                      <a:prstDash val="solid"/>
                    </a:ln>
                  </pic:spPr>
                </pic:pic>
              </a:graphicData>
            </a:graphic>
          </wp:inline>
        </w:drawing>
      </w:r>
    </w:p>
    <w:p w14:paraId="2082697C" w14:textId="1574A349" w:rsidR="00A70B58" w:rsidRDefault="000943B9" w:rsidP="00C14FD1">
      <w:pPr>
        <w:pStyle w:val="Heading4"/>
      </w:pPr>
      <w:bookmarkStart w:id="58" w:name="_Toc227747714"/>
      <w:r>
        <w:t>Table 13: Cash flow inputs</w:t>
      </w:r>
      <w:bookmarkEnd w:id="58"/>
      <w:r>
        <w:t xml:space="preserve"> </w:t>
      </w:r>
    </w:p>
    <w:p w14:paraId="46157730" w14:textId="77777777" w:rsidR="00A70B58" w:rsidRDefault="00F252D5">
      <w:pPr>
        <w:jc w:val="center"/>
      </w:pPr>
      <w:r>
        <w:t>(Source: Created in Excel)</w:t>
      </w:r>
    </w:p>
    <w:p w14:paraId="408A4EAB" w14:textId="4FC94E97" w:rsidR="00A70B58" w:rsidRDefault="00EA76E1">
      <w:r w:rsidRPr="006E08F4">
        <w:t xml:space="preserve">Table </w:t>
      </w:r>
      <w:r>
        <w:t>13</w:t>
      </w:r>
      <w:r w:rsidRPr="006E08F4">
        <w:t xml:space="preserve"> shows</w:t>
      </w:r>
      <w:r>
        <w:rPr>
          <w:b/>
          <w:bCs/>
        </w:rPr>
        <w:t xml:space="preserve"> </w:t>
      </w:r>
      <w:r>
        <w:rPr>
          <w:sz w:val="23"/>
          <w:szCs w:val="23"/>
        </w:rPr>
        <w:t xml:space="preserve">the investment appraisal entails considering three suggested projects (A, B and C) for Toyota Motor Corporation, where each project involves the opening capital of the investment of -50 million pounds with a project life span of 5 years. Project A creates unequal cash flows, which are low at the beginning and higher in the middle period and then decrease. Project B offers predictable and steady annual cash flows of 11 million pounds and is a low-risk alternative. Project, on the other hand, is more of variable cash flows with the returns concentrated in the middle years. All the projects have </w:t>
      </w:r>
      <w:r>
        <w:rPr>
          <w:sz w:val="23"/>
          <w:szCs w:val="23"/>
        </w:rPr>
        <w:lastRenderedPageBreak/>
        <w:t>been evaluated under a discount rate of 10 per cent and a total capital budget limit of 100 million pounds, to determine the overall investment.</w:t>
      </w:r>
    </w:p>
    <w:p w14:paraId="14F8D4FC" w14:textId="77777777" w:rsidR="00A70B58" w:rsidRDefault="00F252D5">
      <w:pPr>
        <w:pStyle w:val="Heading2"/>
      </w:pPr>
      <w:bookmarkStart w:id="59" w:name="_tfltjfyy9qtg" w:colFirst="0" w:colLast="0"/>
      <w:bookmarkStart w:id="60" w:name="_Toc227747744"/>
      <w:bookmarkEnd w:id="59"/>
      <w:r>
        <w:t>5.2 Payback Period (PBP) Analysis</w:t>
      </w:r>
      <w:bookmarkEnd w:id="60"/>
    </w:p>
    <w:p w14:paraId="290F7960" w14:textId="77777777" w:rsidR="00A70B58" w:rsidRDefault="00F252D5">
      <w:pPr>
        <w:jc w:val="center"/>
      </w:pPr>
      <w:r>
        <w:rPr>
          <w:noProof/>
        </w:rPr>
        <w:drawing>
          <wp:inline distT="114300" distB="114300" distL="114300" distR="114300" wp14:anchorId="53F0145F" wp14:editId="3C4A7567">
            <wp:extent cx="5943600" cy="1181100"/>
            <wp:effectExtent l="25400" t="25400" r="25400" b="25400"/>
            <wp:docPr id="6" name="image12.png"/>
            <wp:cNvGraphicFramePr/>
            <a:graphic xmlns:a="http://schemas.openxmlformats.org/drawingml/2006/main">
              <a:graphicData uri="http://schemas.openxmlformats.org/drawingml/2006/picture">
                <pic:pic xmlns:pic="http://schemas.openxmlformats.org/drawingml/2006/picture">
                  <pic:nvPicPr>
                    <pic:cNvPr id="6" name="image12.png"/>
                    <pic:cNvPicPr preferRelativeResize="0"/>
                  </pic:nvPicPr>
                  <pic:blipFill>
                    <a:blip r:embed="rId24"/>
                    <a:srcRect/>
                    <a:stretch>
                      <a:fillRect/>
                    </a:stretch>
                  </pic:blipFill>
                  <pic:spPr>
                    <a:xfrm>
                      <a:off x="0" y="0"/>
                      <a:ext cx="5943600" cy="1181100"/>
                    </a:xfrm>
                    <a:prstGeom prst="rect">
                      <a:avLst/>
                    </a:prstGeom>
                    <a:ln w="25400">
                      <a:solidFill>
                        <a:srgbClr val="000000"/>
                      </a:solidFill>
                      <a:prstDash val="solid"/>
                    </a:ln>
                  </pic:spPr>
                </pic:pic>
              </a:graphicData>
            </a:graphic>
          </wp:inline>
        </w:drawing>
      </w:r>
    </w:p>
    <w:p w14:paraId="51B029B2" w14:textId="52488437" w:rsidR="00A70B58" w:rsidRDefault="00053ED7" w:rsidP="00C14FD1">
      <w:pPr>
        <w:pStyle w:val="Heading4"/>
      </w:pPr>
      <w:bookmarkStart w:id="61" w:name="_Toc227747715"/>
      <w:r>
        <w:t>Table 14: Payback Period (PBP)</w:t>
      </w:r>
      <w:bookmarkEnd w:id="61"/>
    </w:p>
    <w:p w14:paraId="6E3C78FD" w14:textId="77777777" w:rsidR="00A70B58" w:rsidRDefault="00F252D5">
      <w:pPr>
        <w:jc w:val="center"/>
        <w:rPr>
          <w:b/>
          <w:bCs/>
        </w:rPr>
      </w:pPr>
      <w:r>
        <w:t>(Source: Created in Excel)</w:t>
      </w:r>
    </w:p>
    <w:p w14:paraId="20FA6E42" w14:textId="6545CB69" w:rsidR="00A70B58" w:rsidRDefault="00B037DE">
      <w:pPr>
        <w:rPr>
          <w:sz w:val="23"/>
          <w:szCs w:val="23"/>
        </w:rPr>
      </w:pPr>
      <w:r w:rsidRPr="006E08F4">
        <w:t xml:space="preserve">Table </w:t>
      </w:r>
      <w:r>
        <w:t>14</w:t>
      </w:r>
      <w:r w:rsidRPr="006E08F4">
        <w:t xml:space="preserve"> shows</w:t>
      </w:r>
      <w:r>
        <w:rPr>
          <w:b/>
          <w:bCs/>
        </w:rPr>
        <w:t xml:space="preserve"> </w:t>
      </w:r>
      <w:r>
        <w:rPr>
          <w:sz w:val="23"/>
          <w:szCs w:val="23"/>
        </w:rPr>
        <w:t>The Payback Period (PBP) analysis analyses the pace of recovery of the initial investment of each investment, which offers insight into liquidity and risk. In the case of Toyota Motor Corporation, the three projects would demand a capital investment of £50 million and a different cash flow distribution within a period of five years.</w:t>
      </w:r>
      <w:r>
        <w:t xml:space="preserve"> </w:t>
      </w:r>
      <w:r>
        <w:rPr>
          <w:sz w:val="23"/>
          <w:szCs w:val="23"/>
        </w:rPr>
        <w:t xml:space="preserve">Project C also exhibits the lowest payback period of 3.60 years; therefore, it shows that the initial investment is recouped in a shorter time as compared to the other alternatives. This shows high mid-period cash inflows, indicating it is the best project with respect to liquidity and reduced investment risk. Project A has a payback period of 4.50 years and its recovery timeline is mid-range. Its lumpy cash flow is problematic and causes a sluggish cost recovery in the initial years of its operation. Project B registers the longest payback period of 4.55 years, which is despite having constant cash flows in the form of annual. </w:t>
      </w:r>
    </w:p>
    <w:p w14:paraId="4264A6A1" w14:textId="77777777" w:rsidR="00A70B58" w:rsidRDefault="00F252D5">
      <w:pPr>
        <w:pStyle w:val="Heading2"/>
      </w:pPr>
      <w:bookmarkStart w:id="62" w:name="_butz7om7wf85" w:colFirst="0" w:colLast="0"/>
      <w:bookmarkStart w:id="63" w:name="_Toc227747745"/>
      <w:bookmarkEnd w:id="62"/>
      <w:r>
        <w:t>5.3 Accounting Rate of Return (ARR)</w:t>
      </w:r>
      <w:bookmarkEnd w:id="63"/>
    </w:p>
    <w:p w14:paraId="2A59415C" w14:textId="77777777" w:rsidR="00A70B58" w:rsidRDefault="00F252D5">
      <w:pPr>
        <w:jc w:val="center"/>
      </w:pPr>
      <w:r>
        <w:rPr>
          <w:noProof/>
        </w:rPr>
        <w:drawing>
          <wp:inline distT="114300" distB="114300" distL="114300" distR="114300" wp14:anchorId="0F86B1AF" wp14:editId="3D5B4211">
            <wp:extent cx="5943600" cy="762000"/>
            <wp:effectExtent l="25400" t="25400" r="25400" b="25400"/>
            <wp:docPr id="10" name="image2.png"/>
            <wp:cNvGraphicFramePr/>
            <a:graphic xmlns:a="http://schemas.openxmlformats.org/drawingml/2006/main">
              <a:graphicData uri="http://schemas.openxmlformats.org/drawingml/2006/picture">
                <pic:pic xmlns:pic="http://schemas.openxmlformats.org/drawingml/2006/picture">
                  <pic:nvPicPr>
                    <pic:cNvPr id="10" name="image2.png"/>
                    <pic:cNvPicPr preferRelativeResize="0"/>
                  </pic:nvPicPr>
                  <pic:blipFill>
                    <a:blip r:embed="rId25"/>
                    <a:srcRect/>
                    <a:stretch>
                      <a:fillRect/>
                    </a:stretch>
                  </pic:blipFill>
                  <pic:spPr>
                    <a:xfrm>
                      <a:off x="0" y="0"/>
                      <a:ext cx="5943600" cy="762000"/>
                    </a:xfrm>
                    <a:prstGeom prst="rect">
                      <a:avLst/>
                    </a:prstGeom>
                    <a:ln w="25400">
                      <a:solidFill>
                        <a:srgbClr val="000000"/>
                      </a:solidFill>
                      <a:prstDash val="solid"/>
                    </a:ln>
                  </pic:spPr>
                </pic:pic>
              </a:graphicData>
            </a:graphic>
          </wp:inline>
        </w:drawing>
      </w:r>
    </w:p>
    <w:p w14:paraId="3D2D3C37" w14:textId="52523FA8" w:rsidR="00A70B58" w:rsidRDefault="0029659E" w:rsidP="00C14FD1">
      <w:pPr>
        <w:pStyle w:val="Heading4"/>
      </w:pPr>
      <w:bookmarkStart w:id="64" w:name="_Toc227747716"/>
      <w:r>
        <w:t>Table 15: Accounting Rate of Return</w:t>
      </w:r>
      <w:bookmarkEnd w:id="64"/>
    </w:p>
    <w:p w14:paraId="0B6BE300" w14:textId="77777777" w:rsidR="00A70B58" w:rsidRDefault="00F252D5">
      <w:pPr>
        <w:jc w:val="center"/>
        <w:rPr>
          <w:b/>
          <w:bCs/>
        </w:rPr>
      </w:pPr>
      <w:r>
        <w:t>(Source: Created in Excel)</w:t>
      </w:r>
    </w:p>
    <w:p w14:paraId="44F02262" w14:textId="58DD0C46" w:rsidR="00A70B58" w:rsidRDefault="0029659E">
      <w:r w:rsidRPr="006E08F4">
        <w:lastRenderedPageBreak/>
        <w:t xml:space="preserve">Table </w:t>
      </w:r>
      <w:r>
        <w:t>15</w:t>
      </w:r>
      <w:r w:rsidRPr="006E08F4">
        <w:t xml:space="preserve"> shows</w:t>
      </w:r>
      <w:r>
        <w:rPr>
          <w:b/>
          <w:bCs/>
        </w:rPr>
        <w:t xml:space="preserve"> </w:t>
      </w:r>
      <w:proofErr w:type="gramStart"/>
      <w:r>
        <w:rPr>
          <w:sz w:val="23"/>
          <w:szCs w:val="23"/>
        </w:rPr>
        <w:t>Accounting</w:t>
      </w:r>
      <w:proofErr w:type="gramEnd"/>
      <w:r>
        <w:rPr>
          <w:sz w:val="23"/>
          <w:szCs w:val="23"/>
        </w:rPr>
        <w:t xml:space="preserve"> rate of Return (ARR) is used to determine the profitability of an individual project based in terms of average accounting profit, which is divided by the initial investment. In the case of the Toyota Motor Corporation, the initial investment of all three projects is 50m pounds with a project life of five years.</w:t>
      </w:r>
      <w:r>
        <w:t xml:space="preserve"> </w:t>
      </w:r>
      <w:r>
        <w:rPr>
          <w:sz w:val="23"/>
          <w:szCs w:val="23"/>
        </w:rPr>
        <w:t>Project C is the most profitable in terms of ARR (12.0) or better, as compared to other alternatives. The increase in average accounting profits, especially owing to good cash inflows during the mid years of the project. Project C would hence seem the most appealing accounting return on investment. Project B has an ARR of 4.0, which indicates moderate profitability. Its yearly cash inflows are constant and give stable returns, but these are lower than those of Project C, and its ARR is the lowest (3.2), which means that it is not very profitable. The irregular cash flow trend leads to reduced average project life profits.</w:t>
      </w:r>
    </w:p>
    <w:p w14:paraId="4B63E9F5" w14:textId="77777777" w:rsidR="00A70B58" w:rsidRDefault="00F252D5">
      <w:pPr>
        <w:pStyle w:val="Heading2"/>
      </w:pPr>
      <w:bookmarkStart w:id="65" w:name="_wly3r4qih5ub" w:colFirst="0" w:colLast="0"/>
      <w:bookmarkStart w:id="66" w:name="_Toc227747746"/>
      <w:bookmarkEnd w:id="65"/>
      <w:r>
        <w:t>5.4 Net Present Value (NPV) Analysis</w:t>
      </w:r>
      <w:bookmarkEnd w:id="66"/>
    </w:p>
    <w:p w14:paraId="72ED8B7E" w14:textId="77777777" w:rsidR="004D7E00" w:rsidRDefault="00F252D5" w:rsidP="004D7E00">
      <w:pPr>
        <w:jc w:val="center"/>
        <w:rPr>
          <w:b/>
        </w:rPr>
      </w:pPr>
      <w:r w:rsidRPr="004D7E00">
        <w:rPr>
          <w:noProof/>
        </w:rPr>
        <w:drawing>
          <wp:inline distT="114300" distB="114300" distL="114300" distR="114300" wp14:anchorId="7102688E" wp14:editId="0471FC63">
            <wp:extent cx="5943600" cy="977900"/>
            <wp:effectExtent l="25400" t="25400" r="25400" b="25400"/>
            <wp:docPr id="17" name="image16.png"/>
            <wp:cNvGraphicFramePr/>
            <a:graphic xmlns:a="http://schemas.openxmlformats.org/drawingml/2006/main">
              <a:graphicData uri="http://schemas.openxmlformats.org/drawingml/2006/picture">
                <pic:pic xmlns:pic="http://schemas.openxmlformats.org/drawingml/2006/picture">
                  <pic:nvPicPr>
                    <pic:cNvPr id="17" name="image16.png"/>
                    <pic:cNvPicPr preferRelativeResize="0"/>
                  </pic:nvPicPr>
                  <pic:blipFill>
                    <a:blip r:embed="rId26"/>
                    <a:srcRect/>
                    <a:stretch>
                      <a:fillRect/>
                    </a:stretch>
                  </pic:blipFill>
                  <pic:spPr>
                    <a:xfrm>
                      <a:off x="0" y="0"/>
                      <a:ext cx="5943600" cy="977900"/>
                    </a:xfrm>
                    <a:prstGeom prst="rect">
                      <a:avLst/>
                    </a:prstGeom>
                    <a:ln w="25400">
                      <a:solidFill>
                        <a:srgbClr val="000000"/>
                      </a:solidFill>
                      <a:prstDash val="solid"/>
                    </a:ln>
                  </pic:spPr>
                </pic:pic>
              </a:graphicData>
            </a:graphic>
          </wp:inline>
        </w:drawing>
      </w:r>
    </w:p>
    <w:p w14:paraId="53134C78" w14:textId="19768589" w:rsidR="00A70B58" w:rsidRDefault="00C335B4" w:rsidP="004D7E00">
      <w:pPr>
        <w:pStyle w:val="Heading4"/>
      </w:pPr>
      <w:bookmarkStart w:id="67" w:name="_Toc227747717"/>
      <w:r>
        <w:t>Table 16: Net Present Value</w:t>
      </w:r>
      <w:bookmarkEnd w:id="67"/>
    </w:p>
    <w:p w14:paraId="26698A16" w14:textId="77777777" w:rsidR="00A70B58" w:rsidRDefault="00F252D5">
      <w:pPr>
        <w:jc w:val="center"/>
        <w:rPr>
          <w:b/>
          <w:bCs/>
        </w:rPr>
      </w:pPr>
      <w:r>
        <w:t>(Source: Created in Excel)</w:t>
      </w:r>
      <w:r>
        <w:rPr>
          <w:b/>
          <w:bCs/>
        </w:rPr>
        <w:t xml:space="preserve"> </w:t>
      </w:r>
    </w:p>
    <w:p w14:paraId="39E33673" w14:textId="7FA62DF0" w:rsidR="00A70B58" w:rsidRPr="009E6861" w:rsidRDefault="006B2907">
      <w:pPr>
        <w:rPr>
          <w:color w:val="000000" w:themeColor="text1"/>
          <w:lang w:val="en-IN"/>
        </w:rPr>
      </w:pPr>
      <w:r w:rsidRPr="006E08F4">
        <w:t xml:space="preserve">Table </w:t>
      </w:r>
      <w:r>
        <w:t>16</w:t>
      </w:r>
      <w:r w:rsidRPr="006E08F4">
        <w:t xml:space="preserve"> shows</w:t>
      </w:r>
      <w:r>
        <w:rPr>
          <w:b/>
          <w:bCs/>
        </w:rPr>
        <w:t xml:space="preserve"> </w:t>
      </w:r>
      <w:r>
        <w:t>Net Present Value (NPV) method measures the profitability of investment projects by discounting cash flows in the future at the required rate of interest. In the case of Toyota Motor Corporation, a discount rate of 10% has been used to evaluate the three projects. Project A will produce a total present value of 41.3 million, and as such the NPV will be -8.7 million. This negative NPV means that the project does not pay back the initial investment of the project of 50 million pounds, discounted at the necessary rate; it would be financially unfeasible (</w:t>
      </w:r>
      <w:proofErr w:type="spellStart"/>
      <w:r>
        <w:rPr>
          <w:color w:val="222222"/>
          <w:highlight w:val="white"/>
        </w:rPr>
        <w:t>Burawat</w:t>
      </w:r>
      <w:proofErr w:type="spellEnd"/>
      <w:r>
        <w:rPr>
          <w:color w:val="222222"/>
        </w:rPr>
        <w:t>, 2025</w:t>
      </w:r>
      <w:r>
        <w:t>). Likewise, Project B generates a combined present value of 41.7 million, resulting in the NPV of -8.3 million. Although the project provides stable cash injections annually, it fails to provide good returns as required and hence should not be accepted.</w:t>
      </w:r>
      <w:r w:rsidR="000B7256">
        <w:t xml:space="preserve"> </w:t>
      </w:r>
      <w:r w:rsidR="000B7256" w:rsidRPr="009E6861">
        <w:rPr>
          <w:color w:val="000000" w:themeColor="text1"/>
          <w:lang w:val="en-IN"/>
        </w:rPr>
        <w:t>As a result of continuous investment in new developments that require considerable financial input by Toyota, engaging in activities having a negative NPV will add to the already-existing burden of financing.</w:t>
      </w:r>
    </w:p>
    <w:p w14:paraId="5CACA60E" w14:textId="77777777" w:rsidR="00A70B58" w:rsidRDefault="00F252D5">
      <w:r>
        <w:lastRenderedPageBreak/>
        <w:t>Project C, with higher cash inflows during specific periods, has a present value of £48.0 million and an NPV of -2.0 million. Though this is not the worst of the three, it nevertheless does not pass the investment threshold. In summary, none of the projects has a negative NPV, and that is, not any of the options is profitable at a 10% discount rate. Strictly speaking of NPV, the entire project must be discarded as they do not add value to shareholders.</w:t>
      </w:r>
    </w:p>
    <w:p w14:paraId="666B3D7A" w14:textId="77777777" w:rsidR="00A70B58" w:rsidRDefault="00F252D5">
      <w:pPr>
        <w:pStyle w:val="Heading2"/>
      </w:pPr>
      <w:bookmarkStart w:id="68" w:name="_vy52aqfioebn" w:colFirst="0" w:colLast="0"/>
      <w:bookmarkStart w:id="69" w:name="_Toc227747747"/>
      <w:bookmarkEnd w:id="68"/>
      <w:r>
        <w:t>5.5 Internal Rate of Return (IRR)</w:t>
      </w:r>
      <w:bookmarkEnd w:id="69"/>
    </w:p>
    <w:p w14:paraId="3B225BB8" w14:textId="77777777" w:rsidR="00A70B58" w:rsidRDefault="00F252D5">
      <w:r>
        <w:rPr>
          <w:noProof/>
        </w:rPr>
        <w:drawing>
          <wp:inline distT="114300" distB="114300" distL="114300" distR="114300" wp14:anchorId="23EC0B8D" wp14:editId="3183F2CB">
            <wp:extent cx="5943600" cy="406400"/>
            <wp:effectExtent l="25400" t="25400" r="25400" b="25400"/>
            <wp:docPr id="19" name="image17.png"/>
            <wp:cNvGraphicFramePr/>
            <a:graphic xmlns:a="http://schemas.openxmlformats.org/drawingml/2006/main">
              <a:graphicData uri="http://schemas.openxmlformats.org/drawingml/2006/picture">
                <pic:pic xmlns:pic="http://schemas.openxmlformats.org/drawingml/2006/picture">
                  <pic:nvPicPr>
                    <pic:cNvPr id="19" name="image17.png"/>
                    <pic:cNvPicPr preferRelativeResize="0"/>
                  </pic:nvPicPr>
                  <pic:blipFill>
                    <a:blip r:embed="rId27"/>
                    <a:srcRect/>
                    <a:stretch>
                      <a:fillRect/>
                    </a:stretch>
                  </pic:blipFill>
                  <pic:spPr>
                    <a:xfrm>
                      <a:off x="0" y="0"/>
                      <a:ext cx="5943600" cy="406400"/>
                    </a:xfrm>
                    <a:prstGeom prst="rect">
                      <a:avLst/>
                    </a:prstGeom>
                    <a:ln w="25400">
                      <a:solidFill>
                        <a:srgbClr val="000000"/>
                      </a:solidFill>
                      <a:prstDash val="solid"/>
                    </a:ln>
                  </pic:spPr>
                </pic:pic>
              </a:graphicData>
            </a:graphic>
          </wp:inline>
        </w:drawing>
      </w:r>
    </w:p>
    <w:p w14:paraId="302578FD" w14:textId="4CFA48FD" w:rsidR="00A70B58" w:rsidRDefault="007A0F47" w:rsidP="00C14FD1">
      <w:pPr>
        <w:pStyle w:val="Heading4"/>
      </w:pPr>
      <w:bookmarkStart w:id="70" w:name="_Toc227747718"/>
      <w:r>
        <w:t>Table 17: Internal Rate of Return</w:t>
      </w:r>
      <w:bookmarkEnd w:id="70"/>
    </w:p>
    <w:p w14:paraId="289F3EE7" w14:textId="77777777" w:rsidR="00A70B58" w:rsidRDefault="00F252D5">
      <w:pPr>
        <w:jc w:val="center"/>
        <w:rPr>
          <w:b/>
          <w:bCs/>
        </w:rPr>
      </w:pPr>
      <w:r>
        <w:t>(Source: Created in Excel)</w:t>
      </w:r>
    </w:p>
    <w:p w14:paraId="003CF837" w14:textId="3555D280" w:rsidR="00A70B58" w:rsidRDefault="007A0F47">
      <w:r w:rsidRPr="006E08F4">
        <w:t xml:space="preserve">Table </w:t>
      </w:r>
      <w:r>
        <w:t>17</w:t>
      </w:r>
      <w:r w:rsidRPr="006E08F4">
        <w:t xml:space="preserve"> shows</w:t>
      </w:r>
      <w:r>
        <w:rPr>
          <w:b/>
          <w:bCs/>
        </w:rPr>
        <w:t xml:space="preserve"> </w:t>
      </w:r>
      <w:r>
        <w:t xml:space="preserve">Internal rate of Return (IRR) is the discount rate at which the net present value (NPV) of a project equals zero, which can be used to compare the returns on a project with the required discount rate. In the case of the Toyota Motor Corporation, the rate of required returns is 10%. </w:t>
      </w:r>
      <w:r>
        <w:rPr>
          <w:sz w:val="23"/>
          <w:szCs w:val="23"/>
        </w:rPr>
        <w:t xml:space="preserve">Project C has the best IRR of 8.6, Project B of 3.3 and project A 2.7. This ranking suggests that Project C provides the best return out of the three projects, whereas Project A provides the least </w:t>
      </w:r>
      <w:proofErr w:type="gramStart"/>
      <w:r>
        <w:rPr>
          <w:sz w:val="23"/>
          <w:szCs w:val="23"/>
        </w:rPr>
        <w:t>amount</w:t>
      </w:r>
      <w:proofErr w:type="gramEnd"/>
      <w:r>
        <w:rPr>
          <w:sz w:val="23"/>
          <w:szCs w:val="23"/>
        </w:rPr>
        <w:t xml:space="preserve"> of returns.</w:t>
      </w:r>
      <w:r>
        <w:t xml:space="preserve"> </w:t>
      </w:r>
      <w:r>
        <w:rPr>
          <w:sz w:val="23"/>
          <w:szCs w:val="23"/>
        </w:rPr>
        <w:t xml:space="preserve">But the IRR of all of the projects is less than the necessary rate of 10%. What this implies is that none of the projects is producing a high enough </w:t>
      </w:r>
      <w:proofErr w:type="gramStart"/>
      <w:r>
        <w:rPr>
          <w:sz w:val="23"/>
          <w:szCs w:val="23"/>
        </w:rPr>
        <w:t>amount</w:t>
      </w:r>
      <w:proofErr w:type="gramEnd"/>
      <w:r>
        <w:rPr>
          <w:sz w:val="23"/>
          <w:szCs w:val="23"/>
        </w:rPr>
        <w:t xml:space="preserve"> of returns to satisfy the minimum acceptable rate of return at Toyota. In the context of an investment decision, this would imply that no projects would generate value as compared to the cost of capital of the company.</w:t>
      </w:r>
    </w:p>
    <w:p w14:paraId="3E0B16B8" w14:textId="77777777" w:rsidR="00A70B58" w:rsidRDefault="00F252D5">
      <w:pPr>
        <w:pStyle w:val="Heading2"/>
      </w:pPr>
      <w:bookmarkStart w:id="71" w:name="_k5ablm5tdvur" w:colFirst="0" w:colLast="0"/>
      <w:bookmarkStart w:id="72" w:name="_Toc227747748"/>
      <w:bookmarkEnd w:id="71"/>
      <w:r>
        <w:t>5.6 Profitability Index (PI)</w:t>
      </w:r>
      <w:bookmarkEnd w:id="72"/>
    </w:p>
    <w:p w14:paraId="4A736849" w14:textId="77777777" w:rsidR="00A70B58" w:rsidRDefault="00F252D5">
      <w:pPr>
        <w:jc w:val="center"/>
      </w:pPr>
      <w:r>
        <w:rPr>
          <w:noProof/>
        </w:rPr>
        <w:drawing>
          <wp:inline distT="114300" distB="114300" distL="114300" distR="114300" wp14:anchorId="2E063608" wp14:editId="3F53940B">
            <wp:extent cx="5943600" cy="381000"/>
            <wp:effectExtent l="25400" t="25400" r="25400" b="25400"/>
            <wp:docPr id="27" name="image21.png"/>
            <wp:cNvGraphicFramePr/>
            <a:graphic xmlns:a="http://schemas.openxmlformats.org/drawingml/2006/main">
              <a:graphicData uri="http://schemas.openxmlformats.org/drawingml/2006/picture">
                <pic:pic xmlns:pic="http://schemas.openxmlformats.org/drawingml/2006/picture">
                  <pic:nvPicPr>
                    <pic:cNvPr id="27" name="image21.png"/>
                    <pic:cNvPicPr preferRelativeResize="0"/>
                  </pic:nvPicPr>
                  <pic:blipFill>
                    <a:blip r:embed="rId28"/>
                    <a:srcRect/>
                    <a:stretch>
                      <a:fillRect/>
                    </a:stretch>
                  </pic:blipFill>
                  <pic:spPr>
                    <a:xfrm>
                      <a:off x="0" y="0"/>
                      <a:ext cx="5943600" cy="381000"/>
                    </a:xfrm>
                    <a:prstGeom prst="rect">
                      <a:avLst/>
                    </a:prstGeom>
                    <a:ln w="25400">
                      <a:solidFill>
                        <a:srgbClr val="000000"/>
                      </a:solidFill>
                      <a:prstDash val="solid"/>
                    </a:ln>
                  </pic:spPr>
                </pic:pic>
              </a:graphicData>
            </a:graphic>
          </wp:inline>
        </w:drawing>
      </w:r>
    </w:p>
    <w:p w14:paraId="48749FC5" w14:textId="218A3824" w:rsidR="00A70B58" w:rsidRDefault="005A1681" w:rsidP="00C14FD1">
      <w:pPr>
        <w:pStyle w:val="Heading4"/>
      </w:pPr>
      <w:bookmarkStart w:id="73" w:name="_Toc227747719"/>
      <w:r>
        <w:t>Table 18: Profitability Index</w:t>
      </w:r>
      <w:bookmarkEnd w:id="73"/>
    </w:p>
    <w:p w14:paraId="3D222DF2" w14:textId="77777777" w:rsidR="00A70B58" w:rsidRDefault="00F252D5">
      <w:pPr>
        <w:jc w:val="center"/>
      </w:pPr>
      <w:r>
        <w:t>(Source: Created in Excel)</w:t>
      </w:r>
    </w:p>
    <w:p w14:paraId="63496D89" w14:textId="66745A9F" w:rsidR="00A70B58" w:rsidRDefault="005A1681">
      <w:r>
        <w:rPr>
          <w:sz w:val="23"/>
          <w:szCs w:val="23"/>
        </w:rPr>
        <w:lastRenderedPageBreak/>
        <w:t>Table 18 shows Profitability Index (PI) is used to determine the value created per unit of investment through comparison of the present value of future cash flows with the initial investment. In the case of Toyota Motor Corporation, PI values serve as indices that show how appealing each project is.</w:t>
      </w:r>
      <w:r>
        <w:t xml:space="preserve"> </w:t>
      </w:r>
      <w:r>
        <w:rPr>
          <w:sz w:val="23"/>
          <w:szCs w:val="23"/>
        </w:rPr>
        <w:t>Project C possesses the largest PI of 0.960, Project B of 0.834 and lastly, Project C of 0.826. This ranking is based on the observation that Project C has the highest return per pound invested and is the most effective of the three projects. Project B is the one that is performing moderately, whereas Project A is the least efficient. Nevertheless, no PI values are over 1.0, and this suggests that the present value of the future cash inflows is lower than the starting investment.</w:t>
      </w:r>
    </w:p>
    <w:p w14:paraId="12FC0BB2" w14:textId="77777777" w:rsidR="00A70B58" w:rsidRDefault="00F252D5">
      <w:pPr>
        <w:pStyle w:val="Heading2"/>
      </w:pPr>
      <w:bookmarkStart w:id="74" w:name="_ckwy543hsk59" w:colFirst="0" w:colLast="0"/>
      <w:bookmarkStart w:id="75" w:name="_Toc227747749"/>
      <w:bookmarkEnd w:id="74"/>
      <w:r>
        <w:t>5.7 Project Recommendation</w:t>
      </w:r>
      <w:bookmarkEnd w:id="75"/>
    </w:p>
    <w:p w14:paraId="6A5966DB" w14:textId="77777777" w:rsidR="00A70B58" w:rsidRDefault="00F252D5">
      <w:pPr>
        <w:jc w:val="center"/>
      </w:pPr>
      <w:r>
        <w:rPr>
          <w:noProof/>
        </w:rPr>
        <w:drawing>
          <wp:inline distT="114300" distB="114300" distL="114300" distR="114300" wp14:anchorId="04633A40" wp14:editId="6DBE4AF7">
            <wp:extent cx="5943600" cy="774700"/>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referRelativeResize="0"/>
                  </pic:nvPicPr>
                  <pic:blipFill>
                    <a:blip r:embed="rId29"/>
                    <a:srcRect/>
                    <a:stretch>
                      <a:fillRect/>
                    </a:stretch>
                  </pic:blipFill>
                  <pic:spPr>
                    <a:xfrm>
                      <a:off x="0" y="0"/>
                      <a:ext cx="5943600" cy="774700"/>
                    </a:xfrm>
                    <a:prstGeom prst="rect">
                      <a:avLst/>
                    </a:prstGeom>
                    <a:ln w="25400">
                      <a:solidFill>
                        <a:srgbClr val="000000"/>
                      </a:solidFill>
                      <a:prstDash val="solid"/>
                    </a:ln>
                  </pic:spPr>
                </pic:pic>
              </a:graphicData>
            </a:graphic>
          </wp:inline>
        </w:drawing>
      </w:r>
    </w:p>
    <w:p w14:paraId="02CBCC6F" w14:textId="0E207971" w:rsidR="00A70B58" w:rsidRDefault="00012826" w:rsidP="00C14FD1">
      <w:pPr>
        <w:pStyle w:val="Heading4"/>
      </w:pPr>
      <w:bookmarkStart w:id="76" w:name="_Toc227747720"/>
      <w:r>
        <w:t>Table 19: Appraisal summary</w:t>
      </w:r>
      <w:bookmarkEnd w:id="76"/>
      <w:r>
        <w:t xml:space="preserve"> </w:t>
      </w:r>
    </w:p>
    <w:p w14:paraId="5F6E6EE0" w14:textId="77777777" w:rsidR="00A70B58" w:rsidRDefault="00F252D5">
      <w:pPr>
        <w:jc w:val="center"/>
      </w:pPr>
      <w:r>
        <w:t>(Source: Created in Excel)</w:t>
      </w:r>
    </w:p>
    <w:p w14:paraId="2AA07C31" w14:textId="4BA8CCEC" w:rsidR="00A70B58" w:rsidRPr="00DE03C3" w:rsidRDefault="00012826">
      <w:pPr>
        <w:rPr>
          <w:sz w:val="23"/>
          <w:szCs w:val="23"/>
          <w:lang w:val="en-IN"/>
        </w:rPr>
      </w:pPr>
      <w:r w:rsidRPr="006E08F4">
        <w:t xml:space="preserve">Table </w:t>
      </w:r>
      <w:r>
        <w:t>19</w:t>
      </w:r>
      <w:r w:rsidRPr="006E08F4">
        <w:t xml:space="preserve"> shows</w:t>
      </w:r>
      <w:r>
        <w:rPr>
          <w:b/>
          <w:bCs/>
        </w:rPr>
        <w:t xml:space="preserve"> </w:t>
      </w:r>
      <w:r>
        <w:rPr>
          <w:sz w:val="23"/>
          <w:szCs w:val="23"/>
        </w:rPr>
        <w:t>According to the outcomes of the investment appraisal, the best opportunity that can be adopted by Toyota Motor Corporation is project C, which is relatively best. It has the quickest payback period (3.60 years), Accounting Rate of Return (12.0%), Internal Rate of Return (8.6) and the highest Profitability Index (0.960). These pointers indicate that Project C is more liquid, more profitable and efficient than Projects A and B.</w:t>
      </w:r>
      <w:r>
        <w:t xml:space="preserve"> </w:t>
      </w:r>
      <w:r>
        <w:rPr>
          <w:sz w:val="23"/>
          <w:szCs w:val="23"/>
        </w:rPr>
        <w:t>But, even in the lead of the ranking Project C, the negative NPV (–£2.0 million) and IRR less than the required return of 10% remains. This implies that it does not create value which is enough to cover the cost of capital of Toyota.</w:t>
      </w:r>
      <w:r>
        <w:t xml:space="preserve"> </w:t>
      </w:r>
      <w:r>
        <w:rPr>
          <w:sz w:val="23"/>
          <w:szCs w:val="23"/>
        </w:rPr>
        <w:t>When this is connected to the financial position of Toyota, the company shows a high degree of revenue growth, with costs incurred and a growing level of debt. Consequently, financial performance can be undermined by engaging in projects that fail to generate value.</w:t>
      </w:r>
      <w:r w:rsidR="00DE03C3">
        <w:rPr>
          <w:sz w:val="23"/>
          <w:szCs w:val="23"/>
        </w:rPr>
        <w:t xml:space="preserve"> </w:t>
      </w:r>
      <w:r w:rsidR="00DE03C3" w:rsidRPr="009E6861">
        <w:rPr>
          <w:color w:val="000000" w:themeColor="text1"/>
          <w:sz w:val="23"/>
          <w:szCs w:val="23"/>
          <w:lang w:val="en-IN"/>
        </w:rPr>
        <w:t>Non-financial factors like uncertainties involved in the technology development of EVs and rising emission standards can be viewed as additional risks associated with implementing less profitable projects.</w:t>
      </w:r>
    </w:p>
    <w:p w14:paraId="69C93519" w14:textId="77777777" w:rsidR="00A70B58" w:rsidRDefault="00F252D5">
      <w:pPr>
        <w:pStyle w:val="Heading2"/>
        <w:keepNext w:val="0"/>
        <w:keepLines w:val="0"/>
        <w:spacing w:before="280"/>
      </w:pPr>
      <w:bookmarkStart w:id="77" w:name="_qhipelw1etk" w:colFirst="0" w:colLast="0"/>
      <w:bookmarkStart w:id="78" w:name="_Toc227747750"/>
      <w:bookmarkEnd w:id="77"/>
      <w:r>
        <w:t>5.8 Capital Rationing Decision</w:t>
      </w:r>
      <w:bookmarkEnd w:id="78"/>
    </w:p>
    <w:p w14:paraId="6706DCFE" w14:textId="77777777" w:rsidR="00A70B58" w:rsidRDefault="00F252D5">
      <w:r>
        <w:rPr>
          <w:sz w:val="23"/>
          <w:szCs w:val="23"/>
        </w:rPr>
        <w:lastRenderedPageBreak/>
        <w:t>Toyota Motor Corporation is capable of implementing two projects with a constraint of a capital budget of £100 million. According to the order of ranking, Project C is stronger than Project B. Nonetheless, the two projects, individually and when combined, result in negative NPVs, which imply value destruction. Though the combination of Project B and Project C would make use of all the budget and would yield relatively higher returns than the other combinations, the overall result is still not financially feasible. Strict capital rationing, then, would dictate that no possible combination of the projects at hand be chosen, and that the company wait before investing again in more profitable projects.</w:t>
      </w:r>
    </w:p>
    <w:p w14:paraId="0D58DF1B" w14:textId="77777777" w:rsidR="00A70B58" w:rsidRDefault="00F252D5">
      <w:pPr>
        <w:pStyle w:val="Heading1"/>
        <w:keepNext w:val="0"/>
        <w:keepLines w:val="0"/>
      </w:pPr>
      <w:bookmarkStart w:id="79" w:name="_g4ysdqhfa7a5" w:colFirst="0" w:colLast="0"/>
      <w:bookmarkStart w:id="80" w:name="_Toc227747751"/>
      <w:bookmarkEnd w:id="79"/>
      <w:r>
        <w:t>6. Conclusion</w:t>
      </w:r>
      <w:bookmarkEnd w:id="80"/>
    </w:p>
    <w:p w14:paraId="2573D8B1" w14:textId="77777777" w:rsidR="00A70B58" w:rsidRDefault="00F252D5">
      <w:pPr>
        <w:pStyle w:val="Heading2"/>
        <w:keepNext w:val="0"/>
        <w:keepLines w:val="0"/>
        <w:spacing w:before="280"/>
      </w:pPr>
      <w:bookmarkStart w:id="81" w:name="_y53w618icjsz" w:colFirst="0" w:colLast="0"/>
      <w:bookmarkStart w:id="82" w:name="_Toc227747752"/>
      <w:bookmarkEnd w:id="81"/>
      <w:r>
        <w:t>6.1 Summary of Key Findings</w:t>
      </w:r>
      <w:bookmarkEnd w:id="82"/>
      <w:r>
        <w:t xml:space="preserve"> </w:t>
      </w:r>
    </w:p>
    <w:p w14:paraId="684CB585" w14:textId="77777777" w:rsidR="00A70B58" w:rsidRDefault="00F252D5">
      <w:r>
        <w:rPr>
          <w:sz w:val="23"/>
          <w:szCs w:val="23"/>
        </w:rPr>
        <w:t>The financial analysis of Toyota Motor Corporation shows that the company experienced a significant increase in revenue throughout the five years, with a positive gain in operational efficiency during the past years. There were changes in profitability, especially in FY2023, but the profitability showed great improvement in FY2024 and FY2025. The liquidity is stable, and effective management of working capital is shown through a negative cash conversion cycle, le but dependence on operating cash flows, though not on cash reserves. The improvement in efficiency ratios is presented in the area of inventory, as well as receivables management, which has been improving, but the leverage is moderately it is rising owing to the increasing debt levels. Analysis of investment appraisal indicates that all the suggested projects have negative NPVs and do not yield the expected rate of return, meaning that they do not create shareholder value.</w:t>
      </w:r>
    </w:p>
    <w:p w14:paraId="61DCAA7F" w14:textId="77777777" w:rsidR="00A70B58" w:rsidRDefault="00F252D5">
      <w:pPr>
        <w:pStyle w:val="Heading2"/>
        <w:keepNext w:val="0"/>
        <w:keepLines w:val="0"/>
        <w:spacing w:before="280"/>
      </w:pPr>
      <w:bookmarkStart w:id="83" w:name="_um85uv48qldm" w:colFirst="0" w:colLast="0"/>
      <w:bookmarkStart w:id="84" w:name="_Toc227747753"/>
      <w:bookmarkEnd w:id="83"/>
      <w:r>
        <w:t>6.2 Final Strategic Recommendations</w:t>
      </w:r>
      <w:bookmarkEnd w:id="84"/>
      <w:r>
        <w:t xml:space="preserve"> </w:t>
      </w:r>
    </w:p>
    <w:p w14:paraId="6985BBA7" w14:textId="77777777" w:rsidR="00A70B58" w:rsidRDefault="00F252D5">
      <w:pPr>
        <w:spacing w:before="0" w:after="0"/>
        <w:rPr>
          <w:sz w:val="23"/>
          <w:szCs w:val="23"/>
        </w:rPr>
      </w:pPr>
      <w:r>
        <w:rPr>
          <w:sz w:val="23"/>
          <w:szCs w:val="23"/>
        </w:rPr>
        <w:t xml:space="preserve">As a CFO, Toyota Motor Corporation needs to shun the planned projects and consider investing in ventures that will bring in positive NPV besides providing above the required rate of investment. It needs to work on taming costs, enhancing liquidity by managing its working capital effectively and </w:t>
      </w:r>
      <w:proofErr w:type="spellStart"/>
      <w:r>
        <w:rPr>
          <w:sz w:val="23"/>
          <w:szCs w:val="23"/>
        </w:rPr>
        <w:t>optimising</w:t>
      </w:r>
      <w:proofErr w:type="spellEnd"/>
      <w:r>
        <w:rPr>
          <w:sz w:val="23"/>
          <w:szCs w:val="23"/>
        </w:rPr>
        <w:t xml:space="preserve"> its capital structure. Furthermore, strategic initiatives must be </w:t>
      </w:r>
      <w:proofErr w:type="spellStart"/>
      <w:r>
        <w:rPr>
          <w:sz w:val="23"/>
          <w:szCs w:val="23"/>
        </w:rPr>
        <w:t>channelled</w:t>
      </w:r>
      <w:proofErr w:type="spellEnd"/>
      <w:r>
        <w:rPr>
          <w:sz w:val="23"/>
          <w:szCs w:val="23"/>
        </w:rPr>
        <w:t xml:space="preserve"> to developing spheres like electric cars and sustainable movement to remain competitive and financially stable over the long run.</w:t>
      </w:r>
    </w:p>
    <w:p w14:paraId="4A7CD6A0" w14:textId="77777777" w:rsidR="00A70B58" w:rsidRDefault="00F252D5">
      <w:pPr>
        <w:spacing w:before="0" w:after="0"/>
        <w:rPr>
          <w:sz w:val="23"/>
          <w:szCs w:val="23"/>
        </w:rPr>
      </w:pPr>
      <w:r>
        <w:br w:type="page"/>
      </w:r>
    </w:p>
    <w:p w14:paraId="3242939D" w14:textId="77777777" w:rsidR="00A70B58" w:rsidRDefault="00F252D5">
      <w:pPr>
        <w:pStyle w:val="Heading1"/>
        <w:spacing w:before="0" w:after="0"/>
      </w:pPr>
      <w:bookmarkStart w:id="85" w:name="_u8lfmgl31srv" w:colFirst="0" w:colLast="0"/>
      <w:bookmarkStart w:id="86" w:name="_Toc227747754"/>
      <w:bookmarkEnd w:id="85"/>
      <w:r>
        <w:lastRenderedPageBreak/>
        <w:t>References</w:t>
      </w:r>
      <w:bookmarkEnd w:id="86"/>
      <w:r>
        <w:t xml:space="preserve"> </w:t>
      </w:r>
    </w:p>
    <w:p w14:paraId="3F25BF8F" w14:textId="77777777" w:rsidR="00A70B58" w:rsidRDefault="00F252D5">
      <w:pPr>
        <w:spacing w:before="0" w:after="0"/>
        <w:rPr>
          <w:color w:val="222222"/>
          <w:highlight w:val="white"/>
        </w:rPr>
      </w:pPr>
      <w:r>
        <w:rPr>
          <w:color w:val="222222"/>
          <w:highlight w:val="white"/>
        </w:rPr>
        <w:t xml:space="preserve">Akbar, A., Jiang, X. and Akbar, M., (2022). ‘Do working capital management practices influence investment and financing patterns of firms?’. </w:t>
      </w:r>
      <w:r>
        <w:rPr>
          <w:i/>
          <w:iCs/>
          <w:color w:val="222222"/>
          <w:highlight w:val="white"/>
        </w:rPr>
        <w:t>Journal of Economic and Administrative Sciences</w:t>
      </w:r>
      <w:r>
        <w:rPr>
          <w:color w:val="222222"/>
          <w:highlight w:val="white"/>
        </w:rPr>
        <w:t xml:space="preserve">, </w:t>
      </w:r>
      <w:r>
        <w:rPr>
          <w:i/>
          <w:iCs/>
          <w:color w:val="222222"/>
          <w:highlight w:val="white"/>
        </w:rPr>
        <w:t>38</w:t>
      </w:r>
      <w:r>
        <w:rPr>
          <w:color w:val="222222"/>
          <w:highlight w:val="white"/>
        </w:rPr>
        <w:t>(1), pp.91-109.</w:t>
      </w:r>
      <w:hyperlink r:id="rId30">
        <w:r w:rsidR="00A70B58">
          <w:rPr>
            <w:color w:val="1155CC"/>
            <w:highlight w:val="white"/>
            <w:u w:val="single"/>
          </w:rPr>
          <w:t>https://doi.org/10.1108/JEAS-07-2019-0074</w:t>
        </w:r>
      </w:hyperlink>
      <w:r>
        <w:rPr>
          <w:color w:val="222222"/>
          <w:highlight w:val="white"/>
        </w:rPr>
        <w:t xml:space="preserve"> </w:t>
      </w:r>
    </w:p>
    <w:p w14:paraId="26329C67" w14:textId="77777777" w:rsidR="00A70B58" w:rsidRDefault="00F252D5">
      <w:pPr>
        <w:spacing w:before="0" w:after="0"/>
        <w:rPr>
          <w:color w:val="222222"/>
          <w:highlight w:val="white"/>
        </w:rPr>
      </w:pPr>
      <w:r>
        <w:rPr>
          <w:color w:val="222222"/>
          <w:highlight w:val="white"/>
        </w:rPr>
        <w:t xml:space="preserve">Asim, A. and Siddiqui, D.A., (2024). ‘Dynamic Interaction Among Cash Conversion Cycle Components and Their Antecedents in Simultaneous Equations </w:t>
      </w:r>
      <w:proofErr w:type="spellStart"/>
      <w:r>
        <w:rPr>
          <w:color w:val="222222"/>
          <w:highlight w:val="white"/>
        </w:rPr>
        <w:t>Modeling’.</w:t>
      </w:r>
      <w:hyperlink r:id="rId31">
        <w:r w:rsidR="00A70B58">
          <w:rPr>
            <w:color w:val="1155CC"/>
            <w:highlight w:val="white"/>
            <w:u w:val="single"/>
          </w:rPr>
          <w:t>https</w:t>
        </w:r>
        <w:proofErr w:type="spellEnd"/>
        <w:r w:rsidR="00A70B58">
          <w:rPr>
            <w:color w:val="1155CC"/>
            <w:highlight w:val="white"/>
            <w:u w:val="single"/>
          </w:rPr>
          <w:t>://dx.doi.org/10.2139/ssrn.4959645</w:t>
        </w:r>
      </w:hyperlink>
      <w:r>
        <w:rPr>
          <w:color w:val="222222"/>
          <w:highlight w:val="white"/>
        </w:rPr>
        <w:t xml:space="preserve"> </w:t>
      </w:r>
    </w:p>
    <w:p w14:paraId="7EA6F1E2" w14:textId="77777777" w:rsidR="00A70B58" w:rsidRDefault="00F252D5">
      <w:pPr>
        <w:spacing w:before="0" w:after="0"/>
        <w:rPr>
          <w:color w:val="222222"/>
          <w:highlight w:val="white"/>
        </w:rPr>
      </w:pPr>
      <w:r>
        <w:rPr>
          <w:color w:val="222222"/>
          <w:highlight w:val="white"/>
        </w:rPr>
        <w:t xml:space="preserve">Astley, R., Campbell, B., Collis, B., Einarsson, A., Gastonguay, C., Hernandez-Grisanti, V., Kineon, J., Mitchell, C., Putrino, C., Rojas, N. and </w:t>
      </w:r>
      <w:proofErr w:type="spellStart"/>
      <w:r>
        <w:rPr>
          <w:color w:val="222222"/>
          <w:highlight w:val="white"/>
        </w:rPr>
        <w:t>Scupholm</w:t>
      </w:r>
      <w:proofErr w:type="spellEnd"/>
      <w:r>
        <w:rPr>
          <w:color w:val="222222"/>
          <w:highlight w:val="white"/>
        </w:rPr>
        <w:t xml:space="preserve">, D., (2024). ‘2024 Crummer Truist Portfolio Recommendations’: Crummer Investment Management 25th </w:t>
      </w:r>
      <w:proofErr w:type="spellStart"/>
      <w:r>
        <w:rPr>
          <w:color w:val="222222"/>
          <w:highlight w:val="white"/>
        </w:rPr>
        <w:t>Anniversary.</w:t>
      </w:r>
      <w:hyperlink r:id="rId32">
        <w:r w:rsidR="00A70B58">
          <w:rPr>
            <w:color w:val="1155CC"/>
            <w:highlight w:val="white"/>
            <w:u w:val="single"/>
          </w:rPr>
          <w:t>https</w:t>
        </w:r>
        <w:proofErr w:type="spellEnd"/>
        <w:r w:rsidR="00A70B58">
          <w:rPr>
            <w:color w:val="1155CC"/>
            <w:highlight w:val="white"/>
            <w:u w:val="single"/>
          </w:rPr>
          <w:t>://scholarship.rollins.edu/</w:t>
        </w:r>
        <w:proofErr w:type="spellStart"/>
        <w:r w:rsidR="00A70B58">
          <w:rPr>
            <w:color w:val="1155CC"/>
            <w:highlight w:val="white"/>
            <w:u w:val="single"/>
          </w:rPr>
          <w:t>suntrust</w:t>
        </w:r>
        <w:proofErr w:type="spellEnd"/>
        <w:r w:rsidR="00A70B58">
          <w:rPr>
            <w:color w:val="1155CC"/>
            <w:highlight w:val="white"/>
            <w:u w:val="single"/>
          </w:rPr>
          <w:t>/38/</w:t>
        </w:r>
      </w:hyperlink>
      <w:r>
        <w:rPr>
          <w:color w:val="222222"/>
          <w:highlight w:val="white"/>
        </w:rPr>
        <w:t xml:space="preserve">  </w:t>
      </w:r>
    </w:p>
    <w:p w14:paraId="659A5C77" w14:textId="77777777" w:rsidR="00A70B58" w:rsidRDefault="00F252D5">
      <w:pPr>
        <w:spacing w:before="0" w:after="0"/>
        <w:rPr>
          <w:color w:val="222222"/>
          <w:highlight w:val="white"/>
        </w:rPr>
      </w:pPr>
      <w:r>
        <w:rPr>
          <w:color w:val="222222"/>
          <w:highlight w:val="white"/>
        </w:rPr>
        <w:t xml:space="preserve">Bae, S.C. and Kwon, T.H., (2023). ‘Exchange rate risk management using currency derivatives: the case of exposures to Japanese Yen’. </w:t>
      </w:r>
      <w:r>
        <w:rPr>
          <w:i/>
          <w:iCs/>
          <w:color w:val="222222"/>
          <w:highlight w:val="white"/>
        </w:rPr>
        <w:t>Asia-Pacific Financial Markets</w:t>
      </w:r>
      <w:r>
        <w:rPr>
          <w:color w:val="222222"/>
          <w:highlight w:val="white"/>
        </w:rPr>
        <w:t xml:space="preserve">, </w:t>
      </w:r>
      <w:r>
        <w:rPr>
          <w:i/>
          <w:iCs/>
          <w:color w:val="222222"/>
          <w:highlight w:val="white"/>
        </w:rPr>
        <w:t>30</w:t>
      </w:r>
      <w:r>
        <w:rPr>
          <w:color w:val="222222"/>
          <w:highlight w:val="white"/>
        </w:rPr>
        <w:t>(3), pp.621-647.</w:t>
      </w:r>
      <w:hyperlink r:id="rId33">
        <w:r w:rsidR="00A70B58">
          <w:rPr>
            <w:color w:val="1155CC"/>
            <w:highlight w:val="white"/>
            <w:u w:val="single"/>
          </w:rPr>
          <w:t>https://doi.org/10.1007/s10690-022-09391-7</w:t>
        </w:r>
      </w:hyperlink>
      <w:r>
        <w:rPr>
          <w:color w:val="222222"/>
          <w:highlight w:val="white"/>
        </w:rPr>
        <w:t xml:space="preserve"> </w:t>
      </w:r>
    </w:p>
    <w:p w14:paraId="6DDA3AB0" w14:textId="77777777" w:rsidR="00A70B58" w:rsidRDefault="00F252D5">
      <w:pPr>
        <w:spacing w:before="0" w:after="0"/>
        <w:rPr>
          <w:color w:val="222222"/>
          <w:highlight w:val="white"/>
        </w:rPr>
      </w:pPr>
      <w:proofErr w:type="spellStart"/>
      <w:r>
        <w:rPr>
          <w:color w:val="222222"/>
          <w:highlight w:val="white"/>
        </w:rPr>
        <w:t>Bhattacheryay</w:t>
      </w:r>
      <w:proofErr w:type="spellEnd"/>
      <w:r>
        <w:rPr>
          <w:color w:val="222222"/>
          <w:highlight w:val="white"/>
        </w:rPr>
        <w:t xml:space="preserve">, S., (2023). Multinational working capital management a study on Toyota Motor Corporation. </w:t>
      </w:r>
      <w:r>
        <w:rPr>
          <w:i/>
          <w:iCs/>
          <w:color w:val="222222"/>
          <w:highlight w:val="white"/>
        </w:rPr>
        <w:t>International Journal of Finance &amp; Economics</w:t>
      </w:r>
      <w:r>
        <w:rPr>
          <w:color w:val="222222"/>
          <w:highlight w:val="white"/>
        </w:rPr>
        <w:t xml:space="preserve">, </w:t>
      </w:r>
      <w:r>
        <w:rPr>
          <w:i/>
          <w:iCs/>
          <w:color w:val="222222"/>
          <w:highlight w:val="white"/>
        </w:rPr>
        <w:t>28</w:t>
      </w:r>
      <w:r>
        <w:rPr>
          <w:color w:val="222222"/>
          <w:highlight w:val="white"/>
        </w:rPr>
        <w:t xml:space="preserve">(1), pp.236-256. </w:t>
      </w:r>
      <w:hyperlink r:id="rId34">
        <w:r w:rsidR="00A70B58">
          <w:rPr>
            <w:color w:val="1155CC"/>
            <w:highlight w:val="white"/>
            <w:u w:val="single"/>
          </w:rPr>
          <w:t>https://onlinelibrary.wiley.com/doi/abs/10.1002/ijfe.2418</w:t>
        </w:r>
      </w:hyperlink>
      <w:r>
        <w:rPr>
          <w:color w:val="222222"/>
          <w:highlight w:val="white"/>
        </w:rPr>
        <w:t xml:space="preserve"> </w:t>
      </w:r>
    </w:p>
    <w:p w14:paraId="680A5CA2" w14:textId="77777777" w:rsidR="00A70B58" w:rsidRDefault="00F252D5">
      <w:pPr>
        <w:spacing w:before="0" w:after="0"/>
        <w:rPr>
          <w:color w:val="222222"/>
          <w:highlight w:val="white"/>
        </w:rPr>
      </w:pPr>
      <w:proofErr w:type="spellStart"/>
      <w:r>
        <w:rPr>
          <w:color w:val="222222"/>
          <w:highlight w:val="white"/>
        </w:rPr>
        <w:t>Burawat</w:t>
      </w:r>
      <w:proofErr w:type="spellEnd"/>
      <w:r>
        <w:rPr>
          <w:color w:val="222222"/>
          <w:highlight w:val="white"/>
        </w:rPr>
        <w:t xml:space="preserve">, P., (2025). ‘Improvement of productivity by </w:t>
      </w:r>
      <w:proofErr w:type="spellStart"/>
      <w:r>
        <w:rPr>
          <w:color w:val="222222"/>
          <w:highlight w:val="white"/>
        </w:rPr>
        <w:t>utilising</w:t>
      </w:r>
      <w:proofErr w:type="spellEnd"/>
      <w:r>
        <w:rPr>
          <w:color w:val="222222"/>
          <w:highlight w:val="white"/>
        </w:rPr>
        <w:t xml:space="preserve"> lean manufacturing, just in time and production technology in the Thai SME manufacturing industry’. </w:t>
      </w:r>
      <w:r>
        <w:rPr>
          <w:i/>
          <w:iCs/>
          <w:color w:val="222222"/>
          <w:highlight w:val="white"/>
        </w:rPr>
        <w:t>International Journal of Organizational Analysis</w:t>
      </w:r>
      <w:r>
        <w:rPr>
          <w:color w:val="222222"/>
          <w:highlight w:val="white"/>
        </w:rPr>
        <w:t>, pp.1-17.</w:t>
      </w:r>
      <w:hyperlink r:id="rId35">
        <w:r w:rsidR="00A70B58">
          <w:rPr>
            <w:color w:val="1155CC"/>
            <w:highlight w:val="white"/>
            <w:u w:val="single"/>
          </w:rPr>
          <w:t>https://doi.org/10.1108/IJOA-05-2025-5504</w:t>
        </w:r>
      </w:hyperlink>
      <w:r>
        <w:rPr>
          <w:color w:val="222222"/>
          <w:highlight w:val="white"/>
        </w:rPr>
        <w:t xml:space="preserve"> </w:t>
      </w:r>
    </w:p>
    <w:p w14:paraId="7090A5DD" w14:textId="77777777" w:rsidR="00A70B58" w:rsidRDefault="00F252D5">
      <w:pPr>
        <w:spacing w:before="0" w:after="0"/>
        <w:rPr>
          <w:color w:val="222222"/>
          <w:highlight w:val="white"/>
        </w:rPr>
      </w:pPr>
      <w:r>
        <w:rPr>
          <w:color w:val="222222"/>
          <w:highlight w:val="white"/>
        </w:rPr>
        <w:t xml:space="preserve">Di, L., Jiang, W., Mao, J. and Zeng, Y., (2024). Managing liquidity along the supply chain: Supplier‐base concentration and corporate cash policy. </w:t>
      </w:r>
      <w:r>
        <w:rPr>
          <w:i/>
          <w:iCs/>
          <w:color w:val="222222"/>
          <w:highlight w:val="white"/>
        </w:rPr>
        <w:t>European Financial Management</w:t>
      </w:r>
      <w:r>
        <w:rPr>
          <w:color w:val="222222"/>
          <w:highlight w:val="white"/>
        </w:rPr>
        <w:t xml:space="preserve">, </w:t>
      </w:r>
      <w:r>
        <w:rPr>
          <w:i/>
          <w:iCs/>
          <w:color w:val="222222"/>
          <w:highlight w:val="white"/>
        </w:rPr>
        <w:t>30</w:t>
      </w:r>
      <w:r>
        <w:rPr>
          <w:color w:val="222222"/>
          <w:highlight w:val="white"/>
        </w:rPr>
        <w:t xml:space="preserve">(4), pp.2376-2421. </w:t>
      </w:r>
      <w:hyperlink r:id="rId36">
        <w:r w:rsidR="00A70B58">
          <w:rPr>
            <w:color w:val="1155CC"/>
            <w:highlight w:val="white"/>
            <w:u w:val="single"/>
          </w:rPr>
          <w:t>https://onlinelibrary.wiley.com/doi/abs/10.1111/eufm.12479</w:t>
        </w:r>
      </w:hyperlink>
      <w:r>
        <w:rPr>
          <w:color w:val="222222"/>
          <w:highlight w:val="white"/>
        </w:rPr>
        <w:t xml:space="preserve"> </w:t>
      </w:r>
    </w:p>
    <w:p w14:paraId="78380884" w14:textId="77777777" w:rsidR="00A70B58" w:rsidRDefault="00F252D5">
      <w:pPr>
        <w:spacing w:before="0" w:after="0"/>
        <w:rPr>
          <w:color w:val="222222"/>
          <w:highlight w:val="white"/>
        </w:rPr>
      </w:pPr>
      <w:r>
        <w:rPr>
          <w:color w:val="222222"/>
          <w:highlight w:val="white"/>
        </w:rPr>
        <w:t xml:space="preserve"> </w:t>
      </w:r>
      <w:proofErr w:type="spellStart"/>
      <w:r>
        <w:rPr>
          <w:color w:val="222222"/>
          <w:highlight w:val="white"/>
        </w:rPr>
        <w:t>Erozan</w:t>
      </w:r>
      <w:proofErr w:type="spellEnd"/>
      <w:r>
        <w:rPr>
          <w:color w:val="222222"/>
          <w:highlight w:val="white"/>
        </w:rPr>
        <w:t xml:space="preserve">, İ. and </w:t>
      </w:r>
      <w:proofErr w:type="spellStart"/>
      <w:r>
        <w:rPr>
          <w:color w:val="222222"/>
          <w:highlight w:val="white"/>
        </w:rPr>
        <w:t>Erozan</w:t>
      </w:r>
      <w:proofErr w:type="spellEnd"/>
      <w:r>
        <w:rPr>
          <w:color w:val="222222"/>
          <w:highlight w:val="white"/>
        </w:rPr>
        <w:t xml:space="preserve">, A., (2025). ‘An examination of the effects of inflation on a pull-based production system’. </w:t>
      </w:r>
      <w:r>
        <w:rPr>
          <w:i/>
          <w:iCs/>
          <w:color w:val="222222"/>
          <w:highlight w:val="white"/>
        </w:rPr>
        <w:t>Operations Management Research</w:t>
      </w:r>
      <w:r>
        <w:rPr>
          <w:color w:val="222222"/>
          <w:highlight w:val="white"/>
        </w:rPr>
        <w:t xml:space="preserve">, </w:t>
      </w:r>
      <w:r>
        <w:rPr>
          <w:i/>
          <w:iCs/>
          <w:color w:val="222222"/>
          <w:highlight w:val="white"/>
        </w:rPr>
        <w:t>18</w:t>
      </w:r>
      <w:r>
        <w:rPr>
          <w:color w:val="222222"/>
          <w:highlight w:val="white"/>
        </w:rPr>
        <w:t>(4), pp.1208-1225.</w:t>
      </w:r>
      <w:hyperlink r:id="rId37">
        <w:r w:rsidR="00A70B58">
          <w:rPr>
            <w:color w:val="1155CC"/>
            <w:highlight w:val="white"/>
            <w:u w:val="single"/>
          </w:rPr>
          <w:t>https://doi.org/10.1007/s12063-025-00562-z</w:t>
        </w:r>
      </w:hyperlink>
      <w:r>
        <w:rPr>
          <w:color w:val="222222"/>
          <w:highlight w:val="white"/>
        </w:rPr>
        <w:t xml:space="preserve"> </w:t>
      </w:r>
    </w:p>
    <w:p w14:paraId="18ABAC43" w14:textId="77777777" w:rsidR="00A70B58" w:rsidRDefault="00F252D5">
      <w:pPr>
        <w:spacing w:before="0" w:after="0"/>
        <w:rPr>
          <w:color w:val="222222"/>
          <w:highlight w:val="white"/>
        </w:rPr>
      </w:pPr>
      <w:r>
        <w:rPr>
          <w:color w:val="222222"/>
          <w:highlight w:val="white"/>
        </w:rPr>
        <w:t xml:space="preserve">Garcia-Ortega, B., Galan-Cubillo, J. and de-Miguel-Molina, B., (2022). ‘CSR and CEO’s Moral Reasoning in the Automotive Industry in the Era of COVID-19’. </w:t>
      </w:r>
      <w:r>
        <w:rPr>
          <w:i/>
          <w:iCs/>
          <w:color w:val="222222"/>
          <w:highlight w:val="white"/>
        </w:rPr>
        <w:t>SAGE Open</w:t>
      </w:r>
      <w:r>
        <w:rPr>
          <w:color w:val="222222"/>
          <w:highlight w:val="white"/>
        </w:rPr>
        <w:t xml:space="preserve">, </w:t>
      </w:r>
      <w:r>
        <w:rPr>
          <w:i/>
          <w:iCs/>
          <w:color w:val="222222"/>
          <w:highlight w:val="white"/>
        </w:rPr>
        <w:t>12</w:t>
      </w:r>
      <w:r>
        <w:rPr>
          <w:color w:val="222222"/>
          <w:highlight w:val="white"/>
        </w:rPr>
        <w:t>(2), p.21582440221097377.</w:t>
      </w:r>
      <w:hyperlink r:id="rId38">
        <w:r w:rsidR="00A70B58">
          <w:rPr>
            <w:color w:val="1155CC"/>
            <w:highlight w:val="white"/>
            <w:u w:val="single"/>
          </w:rPr>
          <w:t>https://doi.org/10.1177/21582440221097377</w:t>
        </w:r>
      </w:hyperlink>
      <w:r>
        <w:rPr>
          <w:color w:val="222222"/>
          <w:highlight w:val="white"/>
        </w:rPr>
        <w:t xml:space="preserve"> </w:t>
      </w:r>
    </w:p>
    <w:p w14:paraId="0CFC4702" w14:textId="77777777" w:rsidR="00A70B58" w:rsidRDefault="00F252D5">
      <w:pPr>
        <w:spacing w:before="0" w:after="0"/>
      </w:pPr>
      <w:r>
        <w:rPr>
          <w:color w:val="222222"/>
          <w:highlight w:val="white"/>
        </w:rPr>
        <w:t xml:space="preserve">Huang, J., Xie, D., Qiu, Y., Wang, J. and Song, J., (2024). ‘Green supply chain management: A renewable energy planning and dynamic inventory operations for perishable </w:t>
      </w:r>
      <w:proofErr w:type="gramStart"/>
      <w:r>
        <w:rPr>
          <w:color w:val="222222"/>
          <w:highlight w:val="white"/>
        </w:rPr>
        <w:t>products’</w:t>
      </w:r>
      <w:proofErr w:type="gramEnd"/>
      <w:r>
        <w:rPr>
          <w:color w:val="222222"/>
          <w:highlight w:val="white"/>
        </w:rPr>
        <w:t xml:space="preserve">. </w:t>
      </w:r>
      <w:r>
        <w:rPr>
          <w:i/>
          <w:iCs/>
          <w:color w:val="222222"/>
          <w:highlight w:val="white"/>
        </w:rPr>
        <w:lastRenderedPageBreak/>
        <w:t>International Journal of Production Research</w:t>
      </w:r>
      <w:r>
        <w:rPr>
          <w:color w:val="222222"/>
          <w:highlight w:val="white"/>
        </w:rPr>
        <w:t xml:space="preserve">, </w:t>
      </w:r>
      <w:r>
        <w:rPr>
          <w:i/>
          <w:iCs/>
          <w:color w:val="222222"/>
          <w:highlight w:val="white"/>
        </w:rPr>
        <w:t>62</w:t>
      </w:r>
      <w:r>
        <w:rPr>
          <w:color w:val="222222"/>
          <w:highlight w:val="white"/>
        </w:rPr>
        <w:t>(24), pp.8924-8951.</w:t>
      </w:r>
      <w:hyperlink r:id="rId39">
        <w:r w:rsidR="00A70B58">
          <w:rPr>
            <w:color w:val="1155CC"/>
            <w:highlight w:val="white"/>
            <w:u w:val="single"/>
          </w:rPr>
          <w:t>https://doi.org/10.1080/00207543.2023.2220047</w:t>
        </w:r>
      </w:hyperlink>
      <w:r>
        <w:t xml:space="preserve"> </w:t>
      </w:r>
    </w:p>
    <w:p w14:paraId="453CC1D6" w14:textId="77777777" w:rsidR="00A70B58" w:rsidRDefault="00F252D5">
      <w:pPr>
        <w:spacing w:before="0" w:after="0"/>
        <w:rPr>
          <w:color w:val="222222"/>
          <w:highlight w:val="white"/>
        </w:rPr>
      </w:pPr>
      <w:r>
        <w:rPr>
          <w:color w:val="222222"/>
          <w:highlight w:val="white"/>
        </w:rPr>
        <w:t xml:space="preserve">Joffe, M., (2025). ‘Profit rate dynamics in US manufacturing’. In </w:t>
      </w:r>
      <w:r>
        <w:rPr>
          <w:i/>
          <w:iCs/>
          <w:color w:val="222222"/>
          <w:highlight w:val="white"/>
        </w:rPr>
        <w:t>Edith Penrose’s Legacy</w:t>
      </w:r>
      <w:r>
        <w:rPr>
          <w:color w:val="222222"/>
          <w:highlight w:val="white"/>
        </w:rPr>
        <w:t xml:space="preserve"> (pp. 193-222). Routledge.10.4324/9781003587132-11 </w:t>
      </w:r>
    </w:p>
    <w:p w14:paraId="46E50BBA" w14:textId="77777777" w:rsidR="00A70B58" w:rsidRDefault="00F252D5">
      <w:pPr>
        <w:spacing w:before="0" w:after="0"/>
        <w:rPr>
          <w:color w:val="222222"/>
          <w:highlight w:val="white"/>
        </w:rPr>
      </w:pPr>
      <w:r>
        <w:rPr>
          <w:color w:val="222222"/>
          <w:highlight w:val="white"/>
        </w:rPr>
        <w:t xml:space="preserve">Kannan, N., (2025). ‘A Financial Analysis and Valuation of DIAGEO PLC’. </w:t>
      </w:r>
      <w:r>
        <w:rPr>
          <w:i/>
          <w:iCs/>
          <w:color w:val="222222"/>
          <w:highlight w:val="white"/>
        </w:rPr>
        <w:t>Available at SSRN 5468586</w:t>
      </w:r>
      <w:r>
        <w:rPr>
          <w:color w:val="222222"/>
          <w:highlight w:val="white"/>
        </w:rPr>
        <w:t>.</w:t>
      </w:r>
      <w:hyperlink r:id="rId40">
        <w:r w:rsidR="00A70B58">
          <w:rPr>
            <w:color w:val="1155CC"/>
            <w:highlight w:val="white"/>
            <w:u w:val="single"/>
          </w:rPr>
          <w:t>https://dx.doi.org/10.2139/ssrn.5468586</w:t>
        </w:r>
      </w:hyperlink>
      <w:r>
        <w:rPr>
          <w:color w:val="222222"/>
          <w:highlight w:val="white"/>
        </w:rPr>
        <w:t xml:space="preserve"> </w:t>
      </w:r>
    </w:p>
    <w:p w14:paraId="5BFFC85E" w14:textId="77777777" w:rsidR="00A70B58" w:rsidRDefault="00F252D5">
      <w:pPr>
        <w:spacing w:before="0" w:after="0"/>
        <w:rPr>
          <w:color w:val="323F4F"/>
          <w:highlight w:val="white"/>
        </w:rPr>
      </w:pPr>
      <w:r>
        <w:rPr>
          <w:color w:val="222222"/>
          <w:highlight w:val="white"/>
        </w:rPr>
        <w:t xml:space="preserve">Moshier, D., </w:t>
      </w:r>
      <w:proofErr w:type="spellStart"/>
      <w:r>
        <w:rPr>
          <w:color w:val="222222"/>
          <w:highlight w:val="white"/>
        </w:rPr>
        <w:t>Susec</w:t>
      </w:r>
      <w:proofErr w:type="spellEnd"/>
      <w:r>
        <w:rPr>
          <w:color w:val="222222"/>
          <w:highlight w:val="white"/>
        </w:rPr>
        <w:t xml:space="preserve">, M., Butterfield, S., Laskowski, J., Disa, N., Morales, M.C., Mills, J. and Abed, Z., (2023). ‘Crummer Truist Portfolio Recommendations’: Crummer Investment Management 24th </w:t>
      </w:r>
      <w:proofErr w:type="spellStart"/>
      <w:r>
        <w:rPr>
          <w:color w:val="222222"/>
          <w:highlight w:val="white"/>
        </w:rPr>
        <w:t>Anniversary.</w:t>
      </w:r>
      <w:hyperlink r:id="rId41">
        <w:r w:rsidR="00A70B58">
          <w:rPr>
            <w:color w:val="1155CC"/>
            <w:highlight w:val="white"/>
            <w:u w:val="single"/>
          </w:rPr>
          <w:t>https</w:t>
        </w:r>
        <w:proofErr w:type="spellEnd"/>
        <w:r w:rsidR="00A70B58">
          <w:rPr>
            <w:color w:val="1155CC"/>
            <w:highlight w:val="white"/>
            <w:u w:val="single"/>
          </w:rPr>
          <w:t>://scholarship.rollins.edu/</w:t>
        </w:r>
        <w:proofErr w:type="spellStart"/>
        <w:r w:rsidR="00A70B58">
          <w:rPr>
            <w:color w:val="1155CC"/>
            <w:highlight w:val="white"/>
            <w:u w:val="single"/>
          </w:rPr>
          <w:t>suntrust</w:t>
        </w:r>
        <w:proofErr w:type="spellEnd"/>
        <w:r w:rsidR="00A70B58">
          <w:rPr>
            <w:color w:val="1155CC"/>
            <w:highlight w:val="white"/>
            <w:u w:val="single"/>
          </w:rPr>
          <w:t>/37</w:t>
        </w:r>
      </w:hyperlink>
      <w:r>
        <w:rPr>
          <w:color w:val="323F4F"/>
          <w:highlight w:val="white"/>
        </w:rPr>
        <w:t xml:space="preserve"> </w:t>
      </w:r>
    </w:p>
    <w:p w14:paraId="7EB6AA44" w14:textId="77777777" w:rsidR="00A70B58" w:rsidRDefault="00F252D5">
      <w:pPr>
        <w:spacing w:before="0" w:after="0"/>
        <w:rPr>
          <w:color w:val="222222"/>
          <w:highlight w:val="white"/>
        </w:rPr>
      </w:pPr>
      <w:r>
        <w:rPr>
          <w:color w:val="222222"/>
          <w:highlight w:val="white"/>
        </w:rPr>
        <w:t xml:space="preserve">Mrak, J., (2025). ‘Equity valuation’: Moncler </w:t>
      </w:r>
      <w:proofErr w:type="spellStart"/>
      <w:r>
        <w:rPr>
          <w:color w:val="222222"/>
          <w:highlight w:val="white"/>
        </w:rPr>
        <w:t>SpA.</w:t>
      </w:r>
      <w:hyperlink r:id="rId42">
        <w:r w:rsidR="00A70B58">
          <w:rPr>
            <w:color w:val="1155CC"/>
            <w:highlight w:val="white"/>
            <w:u w:val="single"/>
          </w:rPr>
          <w:t>http</w:t>
        </w:r>
        <w:proofErr w:type="spellEnd"/>
        <w:r w:rsidR="00A70B58">
          <w:rPr>
            <w:color w:val="1155CC"/>
            <w:highlight w:val="white"/>
            <w:u w:val="single"/>
          </w:rPr>
          <w:t>://hdl.handle.net/10400.14/56283</w:t>
        </w:r>
      </w:hyperlink>
      <w:r>
        <w:rPr>
          <w:color w:val="222222"/>
          <w:highlight w:val="white"/>
        </w:rPr>
        <w:t xml:space="preserve"> </w:t>
      </w:r>
    </w:p>
    <w:p w14:paraId="40AEF707" w14:textId="77777777" w:rsidR="00A70B58" w:rsidRDefault="00F252D5">
      <w:pPr>
        <w:spacing w:before="0" w:after="0"/>
        <w:rPr>
          <w:color w:val="222222"/>
          <w:highlight w:val="white"/>
        </w:rPr>
      </w:pPr>
      <w:r>
        <w:rPr>
          <w:color w:val="222222"/>
          <w:highlight w:val="white"/>
        </w:rPr>
        <w:t xml:space="preserve">Muller, B.A., (2025). ‘Sectoral financial analysis of the automotive industry’: insights into financial and operational </w:t>
      </w:r>
      <w:proofErr w:type="spellStart"/>
      <w:r>
        <w:rPr>
          <w:color w:val="222222"/>
          <w:highlight w:val="white"/>
        </w:rPr>
        <w:t>dynamics.</w:t>
      </w:r>
      <w:hyperlink r:id="rId43">
        <w:r w:rsidR="00A70B58">
          <w:rPr>
            <w:color w:val="1155CC"/>
            <w:highlight w:val="white"/>
            <w:u w:val="single"/>
          </w:rPr>
          <w:t>http</w:t>
        </w:r>
        <w:proofErr w:type="spellEnd"/>
        <w:r w:rsidR="00A70B58">
          <w:rPr>
            <w:color w:val="1155CC"/>
            <w:highlight w:val="white"/>
            <w:u w:val="single"/>
          </w:rPr>
          <w:t>://hdl.handle.net/10362/201040</w:t>
        </w:r>
      </w:hyperlink>
      <w:r>
        <w:rPr>
          <w:color w:val="222222"/>
          <w:highlight w:val="white"/>
        </w:rPr>
        <w:t xml:space="preserve"> </w:t>
      </w:r>
    </w:p>
    <w:p w14:paraId="134798FE" w14:textId="77777777" w:rsidR="00A70B58" w:rsidRDefault="00F252D5">
      <w:pPr>
        <w:spacing w:before="0" w:after="0"/>
        <w:rPr>
          <w:color w:val="222222"/>
          <w:highlight w:val="white"/>
        </w:rPr>
      </w:pPr>
      <w:r>
        <w:rPr>
          <w:color w:val="222222"/>
          <w:highlight w:val="white"/>
        </w:rPr>
        <w:t xml:space="preserve">Reyad, H.M., </w:t>
      </w:r>
      <w:proofErr w:type="spellStart"/>
      <w:r>
        <w:rPr>
          <w:color w:val="222222"/>
          <w:highlight w:val="white"/>
        </w:rPr>
        <w:t>Zariyawati</w:t>
      </w:r>
      <w:proofErr w:type="spellEnd"/>
      <w:r>
        <w:rPr>
          <w:color w:val="222222"/>
          <w:highlight w:val="white"/>
        </w:rPr>
        <w:t xml:space="preserve">, M.A., Ong, T.S. and Muhamad, H., (2022). The impact of macroeconomic risk factors, the adoption of financial derivatives on working capital management, and firm performance. </w:t>
      </w:r>
      <w:r>
        <w:rPr>
          <w:i/>
          <w:iCs/>
          <w:color w:val="222222"/>
          <w:highlight w:val="white"/>
        </w:rPr>
        <w:t>Sustainability</w:t>
      </w:r>
      <w:r>
        <w:rPr>
          <w:color w:val="222222"/>
          <w:highlight w:val="white"/>
        </w:rPr>
        <w:t xml:space="preserve">, </w:t>
      </w:r>
      <w:r>
        <w:rPr>
          <w:i/>
          <w:iCs/>
          <w:color w:val="222222"/>
          <w:highlight w:val="white"/>
        </w:rPr>
        <w:t>14</w:t>
      </w:r>
      <w:r>
        <w:rPr>
          <w:color w:val="222222"/>
          <w:highlight w:val="white"/>
        </w:rPr>
        <w:t xml:space="preserve">(21), p.14447. </w:t>
      </w:r>
      <w:hyperlink r:id="rId44">
        <w:r w:rsidR="00A70B58">
          <w:rPr>
            <w:color w:val="1155CC"/>
            <w:highlight w:val="white"/>
            <w:u w:val="single"/>
          </w:rPr>
          <w:t>https://doi.org/10.3390/su142114447</w:t>
        </w:r>
      </w:hyperlink>
      <w:r>
        <w:rPr>
          <w:color w:val="222222"/>
          <w:highlight w:val="white"/>
        </w:rPr>
        <w:t xml:space="preserve"> </w:t>
      </w:r>
    </w:p>
    <w:p w14:paraId="3CC50CC2" w14:textId="77777777" w:rsidR="00A70B58" w:rsidRDefault="00F252D5">
      <w:pPr>
        <w:spacing w:before="0" w:after="0"/>
        <w:rPr>
          <w:color w:val="222222"/>
          <w:highlight w:val="white"/>
        </w:rPr>
      </w:pPr>
      <w:r>
        <w:rPr>
          <w:color w:val="222222"/>
          <w:highlight w:val="white"/>
        </w:rPr>
        <w:t xml:space="preserve">Runkel, C., (2022). ‘European Central Bank: Term Refinancing Operations’. </w:t>
      </w:r>
      <w:r>
        <w:rPr>
          <w:i/>
          <w:iCs/>
          <w:color w:val="222222"/>
          <w:highlight w:val="white"/>
        </w:rPr>
        <w:t>Runkel, Corey</w:t>
      </w:r>
      <w:r>
        <w:rPr>
          <w:color w:val="222222"/>
          <w:highlight w:val="white"/>
        </w:rPr>
        <w:t>, (2022), pp.817-843.</w:t>
      </w:r>
      <w:hyperlink r:id="rId45">
        <w:r w:rsidR="00A70B58">
          <w:rPr>
            <w:color w:val="1155CC"/>
            <w:highlight w:val="white"/>
            <w:u w:val="single"/>
          </w:rPr>
          <w:t>https://ssrn.com/abstract=4174265</w:t>
        </w:r>
      </w:hyperlink>
      <w:r>
        <w:rPr>
          <w:color w:val="222222"/>
          <w:highlight w:val="white"/>
        </w:rPr>
        <w:t xml:space="preserve"> </w:t>
      </w:r>
    </w:p>
    <w:p w14:paraId="6E874910" w14:textId="77777777" w:rsidR="00A70B58" w:rsidRDefault="00F252D5">
      <w:pPr>
        <w:spacing w:before="0" w:after="0"/>
        <w:rPr>
          <w:color w:val="222222"/>
          <w:highlight w:val="white"/>
        </w:rPr>
      </w:pPr>
      <w:r>
        <w:rPr>
          <w:color w:val="222222"/>
          <w:highlight w:val="white"/>
        </w:rPr>
        <w:t xml:space="preserve">Salimi, M., Hosseinpour, M. and N. Borhani, T., (2022). ‘The role of clean hydrogen value chain in a successful energy transition of Japan’. </w:t>
      </w:r>
      <w:r>
        <w:rPr>
          <w:i/>
          <w:iCs/>
          <w:color w:val="222222"/>
          <w:highlight w:val="white"/>
        </w:rPr>
        <w:t>Energies</w:t>
      </w:r>
      <w:r>
        <w:rPr>
          <w:color w:val="222222"/>
          <w:highlight w:val="white"/>
        </w:rPr>
        <w:t xml:space="preserve">, </w:t>
      </w:r>
      <w:r>
        <w:rPr>
          <w:i/>
          <w:iCs/>
          <w:color w:val="222222"/>
          <w:highlight w:val="white"/>
        </w:rPr>
        <w:t>15</w:t>
      </w:r>
      <w:r>
        <w:rPr>
          <w:color w:val="222222"/>
          <w:highlight w:val="white"/>
        </w:rPr>
        <w:t>(16), p.6064.</w:t>
      </w:r>
      <w:hyperlink r:id="rId46">
        <w:r w:rsidR="00A70B58">
          <w:rPr>
            <w:color w:val="1155CC"/>
            <w:highlight w:val="white"/>
            <w:u w:val="single"/>
          </w:rPr>
          <w:t>https://doi.org/10.3390/en15166064</w:t>
        </w:r>
      </w:hyperlink>
      <w:r>
        <w:rPr>
          <w:color w:val="222222"/>
          <w:highlight w:val="white"/>
        </w:rPr>
        <w:t xml:space="preserve"> </w:t>
      </w:r>
    </w:p>
    <w:p w14:paraId="570ADBCE" w14:textId="77777777" w:rsidR="00A70B58" w:rsidRDefault="00F252D5">
      <w:pPr>
        <w:spacing w:before="0" w:after="0"/>
        <w:rPr>
          <w:color w:val="222222"/>
          <w:highlight w:val="white"/>
        </w:rPr>
      </w:pPr>
      <w:r>
        <w:rPr>
          <w:color w:val="222222"/>
          <w:highlight w:val="white"/>
        </w:rPr>
        <w:t xml:space="preserve">Sardo, F., </w:t>
      </w:r>
      <w:proofErr w:type="spellStart"/>
      <w:r>
        <w:rPr>
          <w:color w:val="222222"/>
          <w:highlight w:val="white"/>
        </w:rPr>
        <w:t>Serrasqueiro</w:t>
      </w:r>
      <w:proofErr w:type="spellEnd"/>
      <w:r>
        <w:rPr>
          <w:color w:val="222222"/>
          <w:highlight w:val="white"/>
        </w:rPr>
        <w:t xml:space="preserve">, Z., Vieira, E. and Armada, M.R., (2022). ‘Is financial distress risk important for manufacturing SMEs to rebalance the short-term debt ratio?’. </w:t>
      </w:r>
      <w:r>
        <w:rPr>
          <w:i/>
          <w:iCs/>
          <w:color w:val="222222"/>
          <w:highlight w:val="white"/>
        </w:rPr>
        <w:t>The Journal of Risk Finance</w:t>
      </w:r>
      <w:r>
        <w:rPr>
          <w:color w:val="222222"/>
          <w:highlight w:val="white"/>
        </w:rPr>
        <w:t xml:space="preserve">, </w:t>
      </w:r>
      <w:r>
        <w:rPr>
          <w:i/>
          <w:iCs/>
          <w:color w:val="222222"/>
          <w:highlight w:val="white"/>
        </w:rPr>
        <w:t>23</w:t>
      </w:r>
      <w:r>
        <w:rPr>
          <w:color w:val="222222"/>
          <w:highlight w:val="white"/>
        </w:rPr>
        <w:t>(5), pp.516-534.</w:t>
      </w:r>
      <w:hyperlink r:id="rId47">
        <w:r w:rsidR="00A70B58">
          <w:rPr>
            <w:color w:val="1155CC"/>
            <w:highlight w:val="white"/>
            <w:u w:val="single"/>
          </w:rPr>
          <w:t>https://doi.org/10.1108/JRF-12-2021-0207</w:t>
        </w:r>
      </w:hyperlink>
      <w:r>
        <w:rPr>
          <w:color w:val="222222"/>
          <w:highlight w:val="white"/>
        </w:rPr>
        <w:t xml:space="preserve"> </w:t>
      </w:r>
    </w:p>
    <w:p w14:paraId="569F4461" w14:textId="77777777" w:rsidR="00A70B58" w:rsidRDefault="00F252D5">
      <w:pPr>
        <w:spacing w:before="0" w:after="0"/>
        <w:rPr>
          <w:color w:val="222222"/>
          <w:highlight w:val="white"/>
        </w:rPr>
      </w:pPr>
      <w:r>
        <w:rPr>
          <w:color w:val="222222"/>
          <w:highlight w:val="white"/>
        </w:rPr>
        <w:t xml:space="preserve">Soni, S., (2024). ‘Titan Company Ltd-Valuation Report’. </w:t>
      </w:r>
      <w:r>
        <w:rPr>
          <w:i/>
          <w:iCs/>
          <w:color w:val="222222"/>
          <w:highlight w:val="white"/>
        </w:rPr>
        <w:t>Available at SSRN 5241023</w:t>
      </w:r>
      <w:r>
        <w:rPr>
          <w:color w:val="222222"/>
          <w:highlight w:val="white"/>
        </w:rPr>
        <w:t>.</w:t>
      </w:r>
      <w:hyperlink r:id="rId48">
        <w:r w:rsidR="00A70B58">
          <w:rPr>
            <w:color w:val="1155CC"/>
            <w:highlight w:val="white"/>
            <w:u w:val="single"/>
          </w:rPr>
          <w:t>https://dx.doi.org/10.2139/ssrn.5241023</w:t>
        </w:r>
      </w:hyperlink>
      <w:r>
        <w:rPr>
          <w:color w:val="222222"/>
          <w:highlight w:val="white"/>
        </w:rPr>
        <w:t xml:space="preserve"> </w:t>
      </w:r>
    </w:p>
    <w:p w14:paraId="370F0F36" w14:textId="77777777" w:rsidR="00A70B58" w:rsidRDefault="00F252D5">
      <w:pPr>
        <w:rPr>
          <w:color w:val="1155CC"/>
          <w:u w:val="single"/>
        </w:rPr>
      </w:pPr>
      <w:r>
        <w:t xml:space="preserve">Toyota, (2026). </w:t>
      </w:r>
      <w:proofErr w:type="spellStart"/>
      <w:r>
        <w:rPr>
          <w:i/>
          <w:iCs/>
        </w:rPr>
        <w:t>Orgasnisation</w:t>
      </w:r>
      <w:proofErr w:type="spellEnd"/>
      <w:r>
        <w:rPr>
          <w:i/>
          <w:iCs/>
        </w:rPr>
        <w:t xml:space="preserve"> overview. </w:t>
      </w:r>
      <w:hyperlink r:id="rId49">
        <w:r w:rsidR="00A70B58">
          <w:rPr>
            <w:color w:val="1155CC"/>
            <w:u w:val="single"/>
          </w:rPr>
          <w:t>https://www.toyota.co.uk/</w:t>
        </w:r>
      </w:hyperlink>
    </w:p>
    <w:p w14:paraId="5A9D0C34" w14:textId="26A9ABD6" w:rsidR="00042E00" w:rsidRDefault="00042E00">
      <w:r w:rsidRPr="00042E00">
        <w:t>Toyota Annual Report, 2024</w:t>
      </w:r>
      <w:r>
        <w:t xml:space="preserve">. </w:t>
      </w:r>
      <w:hyperlink r:id="rId50" w:history="1">
        <w:r w:rsidRPr="00B67C9D">
          <w:rPr>
            <w:rStyle w:val="Hyperlink"/>
          </w:rPr>
          <w:t>https://www.annualreports.com/HostedData/AnnualReports/PDF/NYSE_TM_2024.pdf</w:t>
        </w:r>
      </w:hyperlink>
      <w:r>
        <w:t xml:space="preserve"> </w:t>
      </w:r>
    </w:p>
    <w:p w14:paraId="57C75984" w14:textId="77777777" w:rsidR="00A70B58" w:rsidRDefault="00F252D5">
      <w:pPr>
        <w:spacing w:before="0" w:after="0"/>
        <w:rPr>
          <w:color w:val="1155CC"/>
          <w:highlight w:val="white"/>
          <w:u w:val="single"/>
        </w:rPr>
      </w:pPr>
      <w:r>
        <w:rPr>
          <w:color w:val="222222"/>
          <w:highlight w:val="white"/>
        </w:rPr>
        <w:lastRenderedPageBreak/>
        <w:t xml:space="preserve"> van Zyl, W. and Uliana, E., (2022). ‘Fixing diluted earnings per share: </w:t>
      </w:r>
      <w:proofErr w:type="spellStart"/>
      <w:r>
        <w:rPr>
          <w:color w:val="222222"/>
          <w:highlight w:val="white"/>
        </w:rPr>
        <w:t>Recognising</w:t>
      </w:r>
      <w:proofErr w:type="spellEnd"/>
      <w:r>
        <w:rPr>
          <w:color w:val="222222"/>
          <w:highlight w:val="white"/>
        </w:rPr>
        <w:t xml:space="preserve"> the dilutive effects of employee stock </w:t>
      </w:r>
      <w:proofErr w:type="gramStart"/>
      <w:r>
        <w:rPr>
          <w:color w:val="222222"/>
          <w:highlight w:val="white"/>
        </w:rPr>
        <w:t>options’</w:t>
      </w:r>
      <w:proofErr w:type="gramEnd"/>
      <w:r>
        <w:rPr>
          <w:color w:val="222222"/>
          <w:highlight w:val="white"/>
        </w:rPr>
        <w:t xml:space="preserve">. </w:t>
      </w:r>
      <w:r>
        <w:rPr>
          <w:i/>
          <w:iCs/>
          <w:color w:val="222222"/>
          <w:highlight w:val="white"/>
        </w:rPr>
        <w:t>Accounting &amp; Finance</w:t>
      </w:r>
      <w:r>
        <w:rPr>
          <w:color w:val="222222"/>
          <w:highlight w:val="white"/>
        </w:rPr>
        <w:t xml:space="preserve">, </w:t>
      </w:r>
      <w:r>
        <w:rPr>
          <w:i/>
          <w:iCs/>
          <w:color w:val="222222"/>
          <w:highlight w:val="white"/>
        </w:rPr>
        <w:t>62</w:t>
      </w:r>
      <w:r>
        <w:rPr>
          <w:color w:val="222222"/>
          <w:highlight w:val="white"/>
        </w:rPr>
        <w:t>(2), pp.2993-3019.</w:t>
      </w:r>
      <w:hyperlink r:id="rId51">
        <w:r w:rsidR="00A70B58">
          <w:rPr>
            <w:color w:val="1155CC"/>
            <w:highlight w:val="white"/>
            <w:u w:val="single"/>
          </w:rPr>
          <w:t>https://doi.org/10.1111/acfi.12927</w:t>
        </w:r>
      </w:hyperlink>
    </w:p>
    <w:p w14:paraId="6B89480E" w14:textId="77777777" w:rsidR="00DB3A4F" w:rsidRDefault="00DB3A4F">
      <w:pPr>
        <w:spacing w:before="0" w:after="0"/>
        <w:rPr>
          <w:color w:val="222222"/>
          <w:highlight w:val="white"/>
        </w:rPr>
      </w:pPr>
    </w:p>
    <w:p w14:paraId="15C2010F" w14:textId="77777777" w:rsidR="00A70B58" w:rsidRDefault="00F252D5">
      <w:r>
        <w:br w:type="page"/>
      </w:r>
    </w:p>
    <w:p w14:paraId="4EAF69B3" w14:textId="77777777" w:rsidR="00A70B58" w:rsidRDefault="00F252D5">
      <w:pPr>
        <w:pStyle w:val="Heading1"/>
      </w:pPr>
      <w:bookmarkStart w:id="87" w:name="_axcdx4o6p9bf" w:colFirst="0" w:colLast="0"/>
      <w:bookmarkStart w:id="88" w:name="_Toc227747755"/>
      <w:bookmarkEnd w:id="87"/>
      <w:r>
        <w:lastRenderedPageBreak/>
        <w:t>Appendices</w:t>
      </w:r>
      <w:bookmarkEnd w:id="88"/>
      <w:r>
        <w:t xml:space="preserve"> </w:t>
      </w:r>
    </w:p>
    <w:p w14:paraId="3A76DC48" w14:textId="77777777" w:rsidR="00A70B58" w:rsidRDefault="00F252D5">
      <w:pPr>
        <w:jc w:val="center"/>
      </w:pPr>
      <w:r>
        <w:rPr>
          <w:noProof/>
        </w:rPr>
        <w:drawing>
          <wp:inline distT="114300" distB="114300" distL="114300" distR="114300" wp14:anchorId="384EDBE5" wp14:editId="4456A4E7">
            <wp:extent cx="5943600" cy="2882900"/>
            <wp:effectExtent l="25400" t="25400" r="25400" b="25400"/>
            <wp:docPr id="29" name="image10.png"/>
            <wp:cNvGraphicFramePr/>
            <a:graphic xmlns:a="http://schemas.openxmlformats.org/drawingml/2006/main">
              <a:graphicData uri="http://schemas.openxmlformats.org/drawingml/2006/picture">
                <pic:pic xmlns:pic="http://schemas.openxmlformats.org/drawingml/2006/picture">
                  <pic:nvPicPr>
                    <pic:cNvPr id="29" name="image10.png"/>
                    <pic:cNvPicPr preferRelativeResize="0"/>
                  </pic:nvPicPr>
                  <pic:blipFill>
                    <a:blip r:embed="rId8"/>
                    <a:srcRect/>
                    <a:stretch>
                      <a:fillRect/>
                    </a:stretch>
                  </pic:blipFill>
                  <pic:spPr>
                    <a:xfrm>
                      <a:off x="0" y="0"/>
                      <a:ext cx="5943600" cy="2882900"/>
                    </a:xfrm>
                    <a:prstGeom prst="rect">
                      <a:avLst/>
                    </a:prstGeom>
                    <a:ln w="25400">
                      <a:solidFill>
                        <a:srgbClr val="000000"/>
                      </a:solidFill>
                      <a:prstDash val="solid"/>
                    </a:ln>
                  </pic:spPr>
                </pic:pic>
              </a:graphicData>
            </a:graphic>
          </wp:inline>
        </w:drawing>
      </w:r>
    </w:p>
    <w:p w14:paraId="7CED9157" w14:textId="77777777" w:rsidR="00A70B58" w:rsidRDefault="00F252D5">
      <w:pPr>
        <w:jc w:val="center"/>
        <w:rPr>
          <w:b/>
          <w:bCs/>
        </w:rPr>
      </w:pPr>
      <w:r>
        <w:rPr>
          <w:b/>
          <w:bCs/>
        </w:rPr>
        <w:t xml:space="preserve">Raw financial data </w:t>
      </w:r>
    </w:p>
    <w:p w14:paraId="40EDB8FB" w14:textId="77777777" w:rsidR="00A70B58" w:rsidRDefault="00F252D5">
      <w:pPr>
        <w:jc w:val="center"/>
      </w:pPr>
      <w:r>
        <w:t>(Source: Created in Excel)</w:t>
      </w:r>
    </w:p>
    <w:p w14:paraId="7ADE511E" w14:textId="77777777" w:rsidR="00A70B58" w:rsidRDefault="00F252D5">
      <w:pPr>
        <w:jc w:val="center"/>
      </w:pPr>
      <w:r>
        <w:rPr>
          <w:noProof/>
        </w:rPr>
        <w:drawing>
          <wp:inline distT="114300" distB="114300" distL="114300" distR="114300" wp14:anchorId="4B00FB0C" wp14:editId="7FABDFFC">
            <wp:extent cx="5943600" cy="1422400"/>
            <wp:effectExtent l="25400" t="25400" r="25400" b="25400"/>
            <wp:docPr id="7" name="image15.png"/>
            <wp:cNvGraphicFramePr/>
            <a:graphic xmlns:a="http://schemas.openxmlformats.org/drawingml/2006/main">
              <a:graphicData uri="http://schemas.openxmlformats.org/drawingml/2006/picture">
                <pic:pic xmlns:pic="http://schemas.openxmlformats.org/drawingml/2006/picture">
                  <pic:nvPicPr>
                    <pic:cNvPr id="7" name="image15.png"/>
                    <pic:cNvPicPr preferRelativeResize="0"/>
                  </pic:nvPicPr>
                  <pic:blipFill>
                    <a:blip r:embed="rId9"/>
                    <a:srcRect/>
                    <a:stretch>
                      <a:fillRect/>
                    </a:stretch>
                  </pic:blipFill>
                  <pic:spPr>
                    <a:xfrm>
                      <a:off x="0" y="0"/>
                      <a:ext cx="5943600" cy="1422400"/>
                    </a:xfrm>
                    <a:prstGeom prst="rect">
                      <a:avLst/>
                    </a:prstGeom>
                    <a:ln w="25400">
                      <a:solidFill>
                        <a:srgbClr val="000000"/>
                      </a:solidFill>
                      <a:prstDash val="solid"/>
                    </a:ln>
                  </pic:spPr>
                </pic:pic>
              </a:graphicData>
            </a:graphic>
          </wp:inline>
        </w:drawing>
      </w:r>
    </w:p>
    <w:p w14:paraId="3DDAE73B" w14:textId="77777777" w:rsidR="00A70B58" w:rsidRDefault="00F252D5">
      <w:pPr>
        <w:jc w:val="center"/>
        <w:rPr>
          <w:b/>
          <w:bCs/>
        </w:rPr>
      </w:pPr>
      <w:r>
        <w:rPr>
          <w:b/>
          <w:bCs/>
        </w:rPr>
        <w:t>PROFITABILITY RATIOS</w:t>
      </w:r>
    </w:p>
    <w:p w14:paraId="11E59BAD" w14:textId="77777777" w:rsidR="00A70B58" w:rsidRDefault="00F252D5">
      <w:pPr>
        <w:jc w:val="center"/>
        <w:rPr>
          <w:b/>
          <w:bCs/>
        </w:rPr>
      </w:pPr>
      <w:r>
        <w:t>(Source: Created in Excel)</w:t>
      </w:r>
    </w:p>
    <w:p w14:paraId="3091FC23" w14:textId="77777777" w:rsidR="00A70B58" w:rsidRDefault="00F252D5">
      <w:r>
        <w:rPr>
          <w:noProof/>
        </w:rPr>
        <w:drawing>
          <wp:inline distT="114300" distB="114300" distL="114300" distR="114300" wp14:anchorId="7FBCC493" wp14:editId="07CE2953">
            <wp:extent cx="5943600" cy="1028700"/>
            <wp:effectExtent l="25400" t="25400" r="25400" b="25400"/>
            <wp:docPr id="13" name="image9.png"/>
            <wp:cNvGraphicFramePr/>
            <a:graphic xmlns:a="http://schemas.openxmlformats.org/drawingml/2006/main">
              <a:graphicData uri="http://schemas.openxmlformats.org/drawingml/2006/picture">
                <pic:pic xmlns:pic="http://schemas.openxmlformats.org/drawingml/2006/picture">
                  <pic:nvPicPr>
                    <pic:cNvPr id="13" name="image9.png"/>
                    <pic:cNvPicPr preferRelativeResize="0"/>
                  </pic:nvPicPr>
                  <pic:blipFill>
                    <a:blip r:embed="rId10"/>
                    <a:srcRect/>
                    <a:stretch>
                      <a:fillRect/>
                    </a:stretch>
                  </pic:blipFill>
                  <pic:spPr>
                    <a:xfrm>
                      <a:off x="0" y="0"/>
                      <a:ext cx="5943600" cy="1028700"/>
                    </a:xfrm>
                    <a:prstGeom prst="rect">
                      <a:avLst/>
                    </a:prstGeom>
                    <a:ln w="25400">
                      <a:solidFill>
                        <a:srgbClr val="000000"/>
                      </a:solidFill>
                      <a:prstDash val="solid"/>
                    </a:ln>
                  </pic:spPr>
                </pic:pic>
              </a:graphicData>
            </a:graphic>
          </wp:inline>
        </w:drawing>
      </w:r>
    </w:p>
    <w:p w14:paraId="6B829EB5" w14:textId="77777777" w:rsidR="00A70B58" w:rsidRDefault="00F252D5">
      <w:pPr>
        <w:jc w:val="center"/>
        <w:rPr>
          <w:b/>
          <w:bCs/>
        </w:rPr>
      </w:pPr>
      <w:r>
        <w:rPr>
          <w:b/>
          <w:bCs/>
        </w:rPr>
        <w:lastRenderedPageBreak/>
        <w:t>LIQUIDITY RATIOS</w:t>
      </w:r>
    </w:p>
    <w:p w14:paraId="0D0F7759" w14:textId="77777777" w:rsidR="00A70B58" w:rsidRDefault="00F252D5">
      <w:pPr>
        <w:jc w:val="center"/>
      </w:pPr>
      <w:r>
        <w:t>(Source: Created in Excel)</w:t>
      </w:r>
    </w:p>
    <w:p w14:paraId="256252E5" w14:textId="77777777" w:rsidR="00A70B58" w:rsidRDefault="00F252D5">
      <w:pPr>
        <w:jc w:val="center"/>
      </w:pPr>
      <w:r>
        <w:rPr>
          <w:noProof/>
        </w:rPr>
        <w:drawing>
          <wp:inline distT="114300" distB="114300" distL="114300" distR="114300" wp14:anchorId="0B141A9D" wp14:editId="1D4DBB20">
            <wp:extent cx="5943600" cy="1447800"/>
            <wp:effectExtent l="25400" t="25400" r="25400" b="25400"/>
            <wp:docPr id="1" name="image14.png"/>
            <wp:cNvGraphicFramePr/>
            <a:graphic xmlns:a="http://schemas.openxmlformats.org/drawingml/2006/main">
              <a:graphicData uri="http://schemas.openxmlformats.org/drawingml/2006/picture">
                <pic:pic xmlns:pic="http://schemas.openxmlformats.org/drawingml/2006/picture">
                  <pic:nvPicPr>
                    <pic:cNvPr id="1" name="image14.png"/>
                    <pic:cNvPicPr preferRelativeResize="0"/>
                  </pic:nvPicPr>
                  <pic:blipFill>
                    <a:blip r:embed="rId11"/>
                    <a:srcRect/>
                    <a:stretch>
                      <a:fillRect/>
                    </a:stretch>
                  </pic:blipFill>
                  <pic:spPr>
                    <a:xfrm>
                      <a:off x="0" y="0"/>
                      <a:ext cx="5943600" cy="1447800"/>
                    </a:xfrm>
                    <a:prstGeom prst="rect">
                      <a:avLst/>
                    </a:prstGeom>
                    <a:ln w="25400">
                      <a:solidFill>
                        <a:srgbClr val="000000"/>
                      </a:solidFill>
                      <a:prstDash val="solid"/>
                    </a:ln>
                  </pic:spPr>
                </pic:pic>
              </a:graphicData>
            </a:graphic>
          </wp:inline>
        </w:drawing>
      </w:r>
    </w:p>
    <w:p w14:paraId="4812F28F" w14:textId="77777777" w:rsidR="00A70B58" w:rsidRDefault="00F252D5">
      <w:pPr>
        <w:jc w:val="center"/>
        <w:rPr>
          <w:b/>
          <w:bCs/>
        </w:rPr>
      </w:pPr>
      <w:r>
        <w:rPr>
          <w:b/>
          <w:bCs/>
        </w:rPr>
        <w:t>EFFICIENCY RATIOS</w:t>
      </w:r>
    </w:p>
    <w:p w14:paraId="19F029D9" w14:textId="77777777" w:rsidR="00A70B58" w:rsidRDefault="00F252D5">
      <w:pPr>
        <w:jc w:val="center"/>
        <w:rPr>
          <w:b/>
          <w:bCs/>
        </w:rPr>
      </w:pPr>
      <w:r>
        <w:t>(Source: Created in Excel)</w:t>
      </w:r>
    </w:p>
    <w:p w14:paraId="2D8231C4" w14:textId="77777777" w:rsidR="00A70B58" w:rsidRDefault="00F252D5">
      <w:pPr>
        <w:jc w:val="center"/>
      </w:pPr>
      <w:r>
        <w:rPr>
          <w:noProof/>
        </w:rPr>
        <w:drawing>
          <wp:inline distT="114300" distB="114300" distL="114300" distR="114300" wp14:anchorId="4A10760B" wp14:editId="748D5F68">
            <wp:extent cx="5943600" cy="1320800"/>
            <wp:effectExtent l="25400" t="25400" r="25400" b="25400"/>
            <wp:docPr id="14" name="image6.png"/>
            <wp:cNvGraphicFramePr/>
            <a:graphic xmlns:a="http://schemas.openxmlformats.org/drawingml/2006/main">
              <a:graphicData uri="http://schemas.openxmlformats.org/drawingml/2006/picture">
                <pic:pic xmlns:pic="http://schemas.openxmlformats.org/drawingml/2006/picture">
                  <pic:nvPicPr>
                    <pic:cNvPr id="14" name="image6.png"/>
                    <pic:cNvPicPr preferRelativeResize="0"/>
                  </pic:nvPicPr>
                  <pic:blipFill>
                    <a:blip r:embed="rId12"/>
                    <a:srcRect/>
                    <a:stretch>
                      <a:fillRect/>
                    </a:stretch>
                  </pic:blipFill>
                  <pic:spPr>
                    <a:xfrm>
                      <a:off x="0" y="0"/>
                      <a:ext cx="5943600" cy="1320800"/>
                    </a:xfrm>
                    <a:prstGeom prst="rect">
                      <a:avLst/>
                    </a:prstGeom>
                    <a:ln w="25400">
                      <a:solidFill>
                        <a:srgbClr val="000000"/>
                      </a:solidFill>
                      <a:prstDash val="solid"/>
                    </a:ln>
                  </pic:spPr>
                </pic:pic>
              </a:graphicData>
            </a:graphic>
          </wp:inline>
        </w:drawing>
      </w:r>
    </w:p>
    <w:p w14:paraId="76BBEE10" w14:textId="77777777" w:rsidR="00A70B58" w:rsidRDefault="00F252D5">
      <w:pPr>
        <w:jc w:val="center"/>
        <w:rPr>
          <w:b/>
          <w:bCs/>
        </w:rPr>
      </w:pPr>
      <w:r>
        <w:rPr>
          <w:b/>
          <w:bCs/>
        </w:rPr>
        <w:t>GEARING / LEVERAGE RATIOS</w:t>
      </w:r>
    </w:p>
    <w:p w14:paraId="22A8CF0E" w14:textId="77777777" w:rsidR="00A70B58" w:rsidRDefault="00F252D5">
      <w:r>
        <w:rPr>
          <w:noProof/>
        </w:rPr>
        <w:drawing>
          <wp:inline distT="114300" distB="114300" distL="114300" distR="114300" wp14:anchorId="6E9209B2" wp14:editId="738AE7AC">
            <wp:extent cx="5943600" cy="876300"/>
            <wp:effectExtent l="25400" t="25400" r="25400" b="25400"/>
            <wp:docPr id="25" name="image18.png"/>
            <wp:cNvGraphicFramePr/>
            <a:graphic xmlns:a="http://schemas.openxmlformats.org/drawingml/2006/main">
              <a:graphicData uri="http://schemas.openxmlformats.org/drawingml/2006/picture">
                <pic:pic xmlns:pic="http://schemas.openxmlformats.org/drawingml/2006/picture">
                  <pic:nvPicPr>
                    <pic:cNvPr id="25" name="image18.png"/>
                    <pic:cNvPicPr preferRelativeResize="0"/>
                  </pic:nvPicPr>
                  <pic:blipFill>
                    <a:blip r:embed="rId13"/>
                    <a:srcRect/>
                    <a:stretch>
                      <a:fillRect/>
                    </a:stretch>
                  </pic:blipFill>
                  <pic:spPr>
                    <a:xfrm>
                      <a:off x="0" y="0"/>
                      <a:ext cx="5943600" cy="876300"/>
                    </a:xfrm>
                    <a:prstGeom prst="rect">
                      <a:avLst/>
                    </a:prstGeom>
                    <a:ln w="25400">
                      <a:solidFill>
                        <a:srgbClr val="000000"/>
                      </a:solidFill>
                      <a:prstDash val="solid"/>
                    </a:ln>
                  </pic:spPr>
                </pic:pic>
              </a:graphicData>
            </a:graphic>
          </wp:inline>
        </w:drawing>
      </w:r>
    </w:p>
    <w:p w14:paraId="411C0DA6" w14:textId="77777777" w:rsidR="00A70B58" w:rsidRDefault="00F252D5">
      <w:pPr>
        <w:jc w:val="center"/>
        <w:rPr>
          <w:b/>
          <w:bCs/>
        </w:rPr>
      </w:pPr>
      <w:r>
        <w:rPr>
          <w:b/>
          <w:bCs/>
        </w:rPr>
        <w:t>INVESTMENT / MARKET RATIOS</w:t>
      </w:r>
    </w:p>
    <w:p w14:paraId="6C4470AB" w14:textId="77777777" w:rsidR="00A70B58" w:rsidRDefault="00F252D5">
      <w:pPr>
        <w:jc w:val="center"/>
      </w:pPr>
      <w:r>
        <w:rPr>
          <w:noProof/>
        </w:rPr>
        <w:drawing>
          <wp:inline distT="114300" distB="114300" distL="114300" distR="114300" wp14:anchorId="32E6B4FC" wp14:editId="57B9F8FE">
            <wp:extent cx="5943600" cy="939800"/>
            <wp:effectExtent l="25400" t="25400" r="25400" b="25400"/>
            <wp:docPr id="8" name="image11.png"/>
            <wp:cNvGraphicFramePr/>
            <a:graphic xmlns:a="http://schemas.openxmlformats.org/drawingml/2006/main">
              <a:graphicData uri="http://schemas.openxmlformats.org/drawingml/2006/picture">
                <pic:pic xmlns:pic="http://schemas.openxmlformats.org/drawingml/2006/picture">
                  <pic:nvPicPr>
                    <pic:cNvPr id="8" name="image11.png"/>
                    <pic:cNvPicPr preferRelativeResize="0"/>
                  </pic:nvPicPr>
                  <pic:blipFill>
                    <a:blip r:embed="rId14"/>
                    <a:srcRect/>
                    <a:stretch>
                      <a:fillRect/>
                    </a:stretch>
                  </pic:blipFill>
                  <pic:spPr>
                    <a:xfrm>
                      <a:off x="0" y="0"/>
                      <a:ext cx="5943600" cy="939800"/>
                    </a:xfrm>
                    <a:prstGeom prst="rect">
                      <a:avLst/>
                    </a:prstGeom>
                    <a:ln w="25400">
                      <a:solidFill>
                        <a:srgbClr val="000000"/>
                      </a:solidFill>
                      <a:prstDash val="solid"/>
                    </a:ln>
                  </pic:spPr>
                </pic:pic>
              </a:graphicData>
            </a:graphic>
          </wp:inline>
        </w:drawing>
      </w:r>
    </w:p>
    <w:p w14:paraId="18A34862" w14:textId="77777777" w:rsidR="00A70B58" w:rsidRDefault="00F252D5">
      <w:pPr>
        <w:jc w:val="center"/>
        <w:rPr>
          <w:b/>
          <w:bCs/>
        </w:rPr>
      </w:pPr>
      <w:r>
        <w:rPr>
          <w:b/>
          <w:bCs/>
        </w:rPr>
        <w:lastRenderedPageBreak/>
        <w:t xml:space="preserve">Revenue Trend data </w:t>
      </w:r>
    </w:p>
    <w:p w14:paraId="4B1C9F9B" w14:textId="77777777" w:rsidR="00A70B58" w:rsidRDefault="00F252D5">
      <w:pPr>
        <w:jc w:val="center"/>
      </w:pPr>
      <w:r>
        <w:t>(Source: Created in Excel)</w:t>
      </w:r>
    </w:p>
    <w:p w14:paraId="2423EC81" w14:textId="77777777" w:rsidR="00A70B58" w:rsidRDefault="00F252D5">
      <w:pPr>
        <w:jc w:val="center"/>
      </w:pPr>
      <w:r>
        <w:rPr>
          <w:noProof/>
        </w:rPr>
        <w:drawing>
          <wp:inline distT="114300" distB="114300" distL="114300" distR="114300" wp14:anchorId="14921320" wp14:editId="42F466DA">
            <wp:extent cx="5943600" cy="3835400"/>
            <wp:effectExtent l="25400" t="25400" r="25400" b="25400"/>
            <wp:docPr id="18" name="image13.png"/>
            <wp:cNvGraphicFramePr/>
            <a:graphic xmlns:a="http://schemas.openxmlformats.org/drawingml/2006/main">
              <a:graphicData uri="http://schemas.openxmlformats.org/drawingml/2006/picture">
                <pic:pic xmlns:pic="http://schemas.openxmlformats.org/drawingml/2006/picture">
                  <pic:nvPicPr>
                    <pic:cNvPr id="18" name="image13.png"/>
                    <pic:cNvPicPr preferRelativeResize="0"/>
                  </pic:nvPicPr>
                  <pic:blipFill>
                    <a:blip r:embed="rId15"/>
                    <a:srcRect/>
                    <a:stretch>
                      <a:fillRect/>
                    </a:stretch>
                  </pic:blipFill>
                  <pic:spPr>
                    <a:xfrm>
                      <a:off x="0" y="0"/>
                      <a:ext cx="5943600" cy="3835400"/>
                    </a:xfrm>
                    <a:prstGeom prst="rect">
                      <a:avLst/>
                    </a:prstGeom>
                    <a:ln w="25400">
                      <a:solidFill>
                        <a:srgbClr val="000000"/>
                      </a:solidFill>
                      <a:prstDash val="solid"/>
                    </a:ln>
                  </pic:spPr>
                </pic:pic>
              </a:graphicData>
            </a:graphic>
          </wp:inline>
        </w:drawing>
      </w:r>
    </w:p>
    <w:p w14:paraId="1134D99F" w14:textId="77777777" w:rsidR="00A70B58" w:rsidRDefault="00F252D5">
      <w:pPr>
        <w:jc w:val="center"/>
        <w:rPr>
          <w:b/>
          <w:bCs/>
        </w:rPr>
      </w:pPr>
      <w:r>
        <w:rPr>
          <w:b/>
          <w:bCs/>
        </w:rPr>
        <w:t xml:space="preserve">Total sales revenue </w:t>
      </w:r>
    </w:p>
    <w:p w14:paraId="338D6A8D" w14:textId="77777777" w:rsidR="00A70B58" w:rsidRDefault="00F252D5">
      <w:pPr>
        <w:jc w:val="center"/>
      </w:pPr>
      <w:r>
        <w:t>(Source: Created in Excel)</w:t>
      </w:r>
    </w:p>
    <w:p w14:paraId="533D6921" w14:textId="77777777" w:rsidR="00A70B58" w:rsidRDefault="00F252D5">
      <w:pPr>
        <w:jc w:val="center"/>
      </w:pPr>
      <w:r>
        <w:rPr>
          <w:noProof/>
        </w:rPr>
        <w:drawing>
          <wp:inline distT="114300" distB="114300" distL="114300" distR="114300" wp14:anchorId="351A83D3" wp14:editId="55400C32">
            <wp:extent cx="5943600" cy="1168400"/>
            <wp:effectExtent l="25400" t="25400" r="25400" b="25400"/>
            <wp:docPr id="20" name="image5.png"/>
            <wp:cNvGraphicFramePr/>
            <a:graphic xmlns:a="http://schemas.openxmlformats.org/drawingml/2006/main">
              <a:graphicData uri="http://schemas.openxmlformats.org/drawingml/2006/picture">
                <pic:pic xmlns:pic="http://schemas.openxmlformats.org/drawingml/2006/picture">
                  <pic:nvPicPr>
                    <pic:cNvPr id="20" name="image5.png"/>
                    <pic:cNvPicPr preferRelativeResize="0"/>
                  </pic:nvPicPr>
                  <pic:blipFill>
                    <a:blip r:embed="rId16"/>
                    <a:srcRect/>
                    <a:stretch>
                      <a:fillRect/>
                    </a:stretch>
                  </pic:blipFill>
                  <pic:spPr>
                    <a:xfrm>
                      <a:off x="0" y="0"/>
                      <a:ext cx="5943600" cy="1168400"/>
                    </a:xfrm>
                    <a:prstGeom prst="rect">
                      <a:avLst/>
                    </a:prstGeom>
                    <a:ln w="25400">
                      <a:solidFill>
                        <a:srgbClr val="000000"/>
                      </a:solidFill>
                      <a:prstDash val="solid"/>
                    </a:ln>
                  </pic:spPr>
                </pic:pic>
              </a:graphicData>
            </a:graphic>
          </wp:inline>
        </w:drawing>
      </w:r>
    </w:p>
    <w:p w14:paraId="75F702E2" w14:textId="77777777" w:rsidR="00A70B58" w:rsidRDefault="00F252D5">
      <w:pPr>
        <w:jc w:val="center"/>
        <w:rPr>
          <w:b/>
          <w:bCs/>
        </w:rPr>
      </w:pPr>
      <w:r>
        <w:rPr>
          <w:b/>
          <w:bCs/>
        </w:rPr>
        <w:t xml:space="preserve">Net income trend </w:t>
      </w:r>
    </w:p>
    <w:p w14:paraId="20368786" w14:textId="77777777" w:rsidR="00A70B58" w:rsidRDefault="00F252D5">
      <w:pPr>
        <w:jc w:val="center"/>
        <w:rPr>
          <w:b/>
          <w:bCs/>
        </w:rPr>
      </w:pPr>
      <w:r>
        <w:t>(Source: Created in Excel)</w:t>
      </w:r>
    </w:p>
    <w:p w14:paraId="66F9D70D" w14:textId="77777777" w:rsidR="00A70B58" w:rsidRDefault="00F252D5">
      <w:pPr>
        <w:jc w:val="center"/>
      </w:pPr>
      <w:r>
        <w:rPr>
          <w:noProof/>
        </w:rPr>
        <w:lastRenderedPageBreak/>
        <w:drawing>
          <wp:inline distT="114300" distB="114300" distL="114300" distR="114300" wp14:anchorId="1520AC23" wp14:editId="2178899E">
            <wp:extent cx="5943600" cy="4191000"/>
            <wp:effectExtent l="25400" t="25400" r="25400" b="25400"/>
            <wp:docPr id="33" name="image22.png"/>
            <wp:cNvGraphicFramePr/>
            <a:graphic xmlns:a="http://schemas.openxmlformats.org/drawingml/2006/main">
              <a:graphicData uri="http://schemas.openxmlformats.org/drawingml/2006/picture">
                <pic:pic xmlns:pic="http://schemas.openxmlformats.org/drawingml/2006/picture">
                  <pic:nvPicPr>
                    <pic:cNvPr id="33" name="image22.png"/>
                    <pic:cNvPicPr preferRelativeResize="0"/>
                  </pic:nvPicPr>
                  <pic:blipFill>
                    <a:blip r:embed="rId17"/>
                    <a:srcRect/>
                    <a:stretch>
                      <a:fillRect/>
                    </a:stretch>
                  </pic:blipFill>
                  <pic:spPr>
                    <a:xfrm>
                      <a:off x="0" y="0"/>
                      <a:ext cx="5943600" cy="4191000"/>
                    </a:xfrm>
                    <a:prstGeom prst="rect">
                      <a:avLst/>
                    </a:prstGeom>
                    <a:ln w="25400">
                      <a:solidFill>
                        <a:srgbClr val="000000"/>
                      </a:solidFill>
                      <a:prstDash val="solid"/>
                    </a:ln>
                  </pic:spPr>
                </pic:pic>
              </a:graphicData>
            </a:graphic>
          </wp:inline>
        </w:drawing>
      </w:r>
    </w:p>
    <w:p w14:paraId="19BBF07B" w14:textId="77777777" w:rsidR="00A70B58" w:rsidRDefault="00F252D5">
      <w:pPr>
        <w:jc w:val="center"/>
        <w:rPr>
          <w:b/>
          <w:bCs/>
        </w:rPr>
      </w:pPr>
      <w:r>
        <w:rPr>
          <w:b/>
          <w:bCs/>
        </w:rPr>
        <w:t xml:space="preserve">Net income trend graph </w:t>
      </w:r>
    </w:p>
    <w:p w14:paraId="5A056198" w14:textId="77777777" w:rsidR="00A70B58" w:rsidRDefault="00F252D5">
      <w:pPr>
        <w:jc w:val="center"/>
      </w:pPr>
      <w:r>
        <w:t>(Source: Created in Excel)</w:t>
      </w:r>
    </w:p>
    <w:p w14:paraId="1B7DE5EE" w14:textId="77777777" w:rsidR="00A70B58" w:rsidRDefault="00A70B58"/>
    <w:p w14:paraId="47EA898B" w14:textId="1735F3E3" w:rsidR="00DB3A4F" w:rsidRDefault="00DB3A4F">
      <w:pPr>
        <w:spacing w:before="0" w:after="0" w:line="240" w:lineRule="auto"/>
        <w:jc w:val="left"/>
        <w:rPr>
          <w:sz w:val="23"/>
          <w:szCs w:val="23"/>
        </w:rPr>
      </w:pPr>
      <w:r>
        <w:rPr>
          <w:sz w:val="23"/>
          <w:szCs w:val="23"/>
        </w:rPr>
        <w:br w:type="page"/>
      </w:r>
    </w:p>
    <w:p w14:paraId="6ACB3973" w14:textId="77777777" w:rsidR="00DB3A4F" w:rsidRPr="00DB3A4F" w:rsidRDefault="00DB3A4F" w:rsidP="00DB3A4F">
      <w:pPr>
        <w:pStyle w:val="Heading1"/>
        <w:rPr>
          <w:lang w:val="en-IN"/>
        </w:rPr>
      </w:pPr>
      <w:bookmarkStart w:id="89" w:name="_Toc227747756"/>
      <w:r w:rsidRPr="00DB3A4F">
        <w:rPr>
          <w:lang w:val="en-IN"/>
        </w:rPr>
        <w:lastRenderedPageBreak/>
        <w:t>AI Acknowledgement</w:t>
      </w:r>
      <w:bookmarkEnd w:id="89"/>
    </w:p>
    <w:p w14:paraId="1167D4F6" w14:textId="77777777" w:rsidR="00DB3A4F" w:rsidRPr="00DB3A4F" w:rsidRDefault="00DB3A4F" w:rsidP="00DB3A4F">
      <w:pPr>
        <w:spacing w:before="0" w:after="0"/>
        <w:rPr>
          <w:sz w:val="23"/>
          <w:szCs w:val="23"/>
          <w:lang w:val="en-IN"/>
        </w:rPr>
      </w:pPr>
      <w:r w:rsidRPr="00DB3A4F">
        <w:rPr>
          <w:sz w:val="23"/>
          <w:szCs w:val="23"/>
          <w:lang w:val="en-IN"/>
        </w:rPr>
        <w:t>This report has been compiled without the use of AI software. Financial information, computations, analyses, and insights contained herein have been derived independently by me from credible sources, such as the annual reports of Toyota Motor Corporation and pertinent academic literature.</w:t>
      </w:r>
    </w:p>
    <w:p w14:paraId="0BDA1BB7" w14:textId="77777777" w:rsidR="00A70B58" w:rsidRDefault="00A70B58">
      <w:pPr>
        <w:spacing w:before="0" w:after="0"/>
        <w:rPr>
          <w:sz w:val="23"/>
          <w:szCs w:val="23"/>
        </w:rPr>
      </w:pPr>
    </w:p>
    <w:p w14:paraId="0BAB682D" w14:textId="77777777" w:rsidR="00A70B58" w:rsidRDefault="00A70B58"/>
    <w:sectPr w:rsidR="00A70B58">
      <w:footerReference w:type="default" r:id="rId5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96D29" w14:textId="77777777" w:rsidR="00B06EE8" w:rsidRDefault="00B06EE8">
      <w:pPr>
        <w:spacing w:line="240" w:lineRule="auto"/>
      </w:pPr>
      <w:r>
        <w:separator/>
      </w:r>
    </w:p>
  </w:endnote>
  <w:endnote w:type="continuationSeparator" w:id="0">
    <w:p w14:paraId="2996EDAA" w14:textId="77777777" w:rsidR="00B06EE8" w:rsidRDefault="00B06E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D6E21300-41B8-5444-8032-86A0BABD4842}"/>
    <w:embedBold r:id="rId2" w:fontKey="{0904F0AD-1EA8-2540-A38A-183D74CFD148}"/>
    <w:embedItalic r:id="rId3" w:fontKey="{804EBA98-3033-CF41-A8C7-A68B595257CE}"/>
  </w:font>
  <w:font w:name="Arial">
    <w:panose1 w:val="020B0604020202020204"/>
    <w:charset w:val="00"/>
    <w:family w:val="swiss"/>
    <w:pitch w:val="variable"/>
    <w:sig w:usb0="E0002EFF" w:usb1="C000785B" w:usb2="00000009" w:usb3="00000000" w:csb0="000001FF" w:csb1="00000000"/>
    <w:embedRegular r:id="rId4" w:fontKey="{5E6749E6-F1E9-8B4C-9CB2-CBFFCBCD31D7}"/>
  </w:font>
  <w:font w:name="Calibri">
    <w:panose1 w:val="020F0502020204030204"/>
    <w:charset w:val="00"/>
    <w:family w:val="swiss"/>
    <w:pitch w:val="variable"/>
    <w:sig w:usb0="E4002EFF" w:usb1="C200247B" w:usb2="00000009" w:usb3="00000000" w:csb0="000001FF" w:csb1="00000000"/>
    <w:embedRegular r:id="rId5" w:fontKey="{06D1E328-8EC2-D142-BF99-035C943B637A}"/>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6" w:fontKey="{9D0416B9-DF0A-6B47-AFC3-42A157BB1E3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4377584"/>
      <w:docPartObj>
        <w:docPartGallery w:val="AutoText"/>
      </w:docPartObj>
    </w:sdtPr>
    <w:sdtEndPr>
      <w:rPr>
        <w:sz w:val="20"/>
        <w:szCs w:val="20"/>
      </w:rPr>
    </w:sdtEndPr>
    <w:sdtContent>
      <w:p w14:paraId="6722402E" w14:textId="77777777" w:rsidR="00A70B58" w:rsidRDefault="00F252D5">
        <w:pPr>
          <w:pStyle w:val="Footer"/>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sz w:val="20"/>
            <w:szCs w:val="20"/>
          </w:rPr>
          <w:t>2</w:t>
        </w:r>
        <w:r>
          <w:rPr>
            <w:sz w:val="20"/>
            <w:szCs w:val="20"/>
          </w:rPr>
          <w:fldChar w:fldCharType="end"/>
        </w:r>
      </w:p>
    </w:sdtContent>
  </w:sdt>
  <w:p w14:paraId="2805158E" w14:textId="77777777" w:rsidR="00A70B58" w:rsidRDefault="00A70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E3182" w14:textId="77777777" w:rsidR="00B06EE8" w:rsidRDefault="00B06EE8">
      <w:pPr>
        <w:spacing w:before="0" w:after="0"/>
      </w:pPr>
      <w:r>
        <w:separator/>
      </w:r>
    </w:p>
  </w:footnote>
  <w:footnote w:type="continuationSeparator" w:id="0">
    <w:p w14:paraId="7F6C0CCB" w14:textId="77777777" w:rsidR="00B06EE8" w:rsidRDefault="00B06EE8">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07D0"/>
    <w:rsid w:val="00012826"/>
    <w:rsid w:val="00042E00"/>
    <w:rsid w:val="00053ED7"/>
    <w:rsid w:val="00067843"/>
    <w:rsid w:val="000943B9"/>
    <w:rsid w:val="000B7256"/>
    <w:rsid w:val="000D34E0"/>
    <w:rsid w:val="00136DAA"/>
    <w:rsid w:val="001941B7"/>
    <w:rsid w:val="0029659E"/>
    <w:rsid w:val="003351D8"/>
    <w:rsid w:val="00347B2A"/>
    <w:rsid w:val="00361D4E"/>
    <w:rsid w:val="00393D36"/>
    <w:rsid w:val="003E35CC"/>
    <w:rsid w:val="004D7E00"/>
    <w:rsid w:val="00580204"/>
    <w:rsid w:val="005931F0"/>
    <w:rsid w:val="00595F77"/>
    <w:rsid w:val="005A1681"/>
    <w:rsid w:val="005C07D0"/>
    <w:rsid w:val="005C5F27"/>
    <w:rsid w:val="005D5AA8"/>
    <w:rsid w:val="006910FE"/>
    <w:rsid w:val="006B2907"/>
    <w:rsid w:val="006E08F4"/>
    <w:rsid w:val="007A0F47"/>
    <w:rsid w:val="007F2FB4"/>
    <w:rsid w:val="007F530F"/>
    <w:rsid w:val="00893CDA"/>
    <w:rsid w:val="009B22C9"/>
    <w:rsid w:val="009E6861"/>
    <w:rsid w:val="00A70B58"/>
    <w:rsid w:val="00AB0D89"/>
    <w:rsid w:val="00AF2726"/>
    <w:rsid w:val="00B037DE"/>
    <w:rsid w:val="00B06EE8"/>
    <w:rsid w:val="00B262D3"/>
    <w:rsid w:val="00B73896"/>
    <w:rsid w:val="00C14FD1"/>
    <w:rsid w:val="00C335B4"/>
    <w:rsid w:val="00C97C30"/>
    <w:rsid w:val="00D0633F"/>
    <w:rsid w:val="00D35E80"/>
    <w:rsid w:val="00D401A0"/>
    <w:rsid w:val="00D77FDF"/>
    <w:rsid w:val="00DB3A4F"/>
    <w:rsid w:val="00DE03C3"/>
    <w:rsid w:val="00E22199"/>
    <w:rsid w:val="00E74C53"/>
    <w:rsid w:val="00E87756"/>
    <w:rsid w:val="00EA76E1"/>
    <w:rsid w:val="00EE0D34"/>
    <w:rsid w:val="00F11253"/>
    <w:rsid w:val="00F252D5"/>
    <w:rsid w:val="00F9054D"/>
    <w:rsid w:val="00FB7EB2"/>
    <w:rsid w:val="00FD3657"/>
    <w:rsid w:val="44872A8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52119"/>
  <w15:docId w15:val="{3B403E2B-57F8-4CE7-96FC-A9D825D0C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240" w:after="240" w:line="360" w:lineRule="auto"/>
      <w:jc w:val="both"/>
    </w:pPr>
    <w:rPr>
      <w:sz w:val="24"/>
      <w:szCs w:val="24"/>
      <w:lang w:val="en"/>
    </w:rPr>
  </w:style>
  <w:style w:type="paragraph" w:styleId="Heading1">
    <w:name w:val="heading 1"/>
    <w:basedOn w:val="Normal"/>
    <w:next w:val="Normal"/>
    <w:uiPriority w:val="9"/>
    <w:qFormat/>
    <w:pPr>
      <w:keepNext/>
      <w:keepLines/>
      <w:spacing w:before="280" w:after="80"/>
      <w:outlineLvl w:val="0"/>
    </w:pPr>
    <w:rPr>
      <w:b/>
      <w:bCs/>
      <w:sz w:val="28"/>
      <w:szCs w:val="28"/>
    </w:rPr>
  </w:style>
  <w:style w:type="paragraph" w:styleId="Heading2">
    <w:name w:val="heading 2"/>
    <w:basedOn w:val="Normal"/>
    <w:next w:val="Normal"/>
    <w:uiPriority w:val="9"/>
    <w:unhideWhenUsed/>
    <w:qFormat/>
    <w:pPr>
      <w:keepNext/>
      <w:keepLines/>
      <w:spacing w:after="40"/>
      <w:outlineLvl w:val="1"/>
    </w:pPr>
    <w:rPr>
      <w:b/>
      <w:bCs/>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C14FD1"/>
    <w:pPr>
      <w:keepNext/>
      <w:keepLines/>
      <w:spacing w:before="280" w:after="80"/>
      <w:jc w:val="center"/>
      <w:outlineLvl w:val="3"/>
    </w:pPr>
    <w:rPr>
      <w:b/>
      <w:color w:val="000000" w:themeColor="text1"/>
      <w:lang w:val="en-IN"/>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before="0" w:after="0" w:line="240" w:lineRule="auto"/>
    </w:pPr>
  </w:style>
  <w:style w:type="paragraph" w:styleId="Header">
    <w:name w:val="header"/>
    <w:basedOn w:val="Normal"/>
    <w:link w:val="HeaderChar"/>
    <w:uiPriority w:val="99"/>
    <w:unhideWhenUsed/>
    <w:qFormat/>
    <w:pPr>
      <w:tabs>
        <w:tab w:val="center" w:pos="4513"/>
        <w:tab w:val="right" w:pos="9026"/>
      </w:tabs>
      <w:spacing w:before="0"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before="0"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table" w:customStyle="1" w:styleId="TableNormal0">
    <w:name w:val="TableNormal"/>
    <w:qFormat/>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character" w:styleId="UnresolvedMention">
    <w:name w:val="Unresolved Mention"/>
    <w:basedOn w:val="DefaultParagraphFont"/>
    <w:uiPriority w:val="99"/>
    <w:semiHidden/>
    <w:unhideWhenUsed/>
    <w:rsid w:val="00042E00"/>
    <w:rPr>
      <w:color w:val="605E5C"/>
      <w:shd w:val="clear" w:color="auto" w:fill="E1DFDD"/>
    </w:rPr>
  </w:style>
  <w:style w:type="paragraph" w:styleId="NormalWeb">
    <w:name w:val="Normal (Web)"/>
    <w:basedOn w:val="Normal"/>
    <w:uiPriority w:val="99"/>
    <w:semiHidden/>
    <w:unhideWhenUsed/>
    <w:rsid w:val="00042E00"/>
  </w:style>
  <w:style w:type="paragraph" w:styleId="TableofFigures">
    <w:name w:val="table of figures"/>
    <w:basedOn w:val="Normal"/>
    <w:next w:val="Normal"/>
    <w:uiPriority w:val="99"/>
    <w:unhideWhenUsed/>
    <w:rsid w:val="004D7E0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doi.org/10.1080/00207543.2023.2220047" TargetMode="External"/><Relationship Id="rId21" Type="http://schemas.openxmlformats.org/officeDocument/2006/relationships/image" Target="media/image15.png"/><Relationship Id="rId34" Type="http://schemas.openxmlformats.org/officeDocument/2006/relationships/hyperlink" Target="https://onlinelibrary.wiley.com/doi/abs/10.1002/ijfe.2418" TargetMode="External"/><Relationship Id="rId42" Type="http://schemas.openxmlformats.org/officeDocument/2006/relationships/hyperlink" Target="http://hdl.handle.net/10400.14/56283" TargetMode="External"/><Relationship Id="rId47" Type="http://schemas.openxmlformats.org/officeDocument/2006/relationships/hyperlink" Target="https://doi.org/10.1108/JRF-12-2021-0207" TargetMode="External"/><Relationship Id="rId50" Type="http://schemas.openxmlformats.org/officeDocument/2006/relationships/hyperlink" Target="https://www.annualreports.com/HostedData/AnnualReports/PDF/NYSE_TM_2024.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scholarship.rollins.edu/suntrust/38/" TargetMode="External"/><Relationship Id="rId37" Type="http://schemas.openxmlformats.org/officeDocument/2006/relationships/hyperlink" Target="https://doi.org/10.1007/s12063-025-00562-z" TargetMode="External"/><Relationship Id="rId40" Type="http://schemas.openxmlformats.org/officeDocument/2006/relationships/hyperlink" Target="https://dx.doi.org/10.2139/ssrn.5468586" TargetMode="External"/><Relationship Id="rId45" Type="http://schemas.openxmlformats.org/officeDocument/2006/relationships/hyperlink" Target="https://ssrn.com/abstract=4174265"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x.doi.org/10.2139/ssrn.4959645" TargetMode="External"/><Relationship Id="rId44" Type="http://schemas.openxmlformats.org/officeDocument/2006/relationships/hyperlink" Target="https://doi.org/10.3390/su142114447"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doi.org/10.1108/JEAS-07-2019-0074" TargetMode="External"/><Relationship Id="rId35" Type="http://schemas.openxmlformats.org/officeDocument/2006/relationships/hyperlink" Target="https://doi.org/10.1108/IJOA-05-2025-5504" TargetMode="External"/><Relationship Id="rId43" Type="http://schemas.openxmlformats.org/officeDocument/2006/relationships/hyperlink" Target="http://hdl.handle.net/10362/201040" TargetMode="External"/><Relationship Id="rId48" Type="http://schemas.openxmlformats.org/officeDocument/2006/relationships/hyperlink" Target="https://dx.doi.org/10.2139/ssrn.5241023" TargetMode="External"/><Relationship Id="rId8" Type="http://schemas.openxmlformats.org/officeDocument/2006/relationships/image" Target="media/image2.png"/><Relationship Id="rId51" Type="http://schemas.openxmlformats.org/officeDocument/2006/relationships/hyperlink" Target="https://doi.org/10.1111/acfi.12927"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oi.org/10.1007/s10690-022-09391-7" TargetMode="External"/><Relationship Id="rId38" Type="http://schemas.openxmlformats.org/officeDocument/2006/relationships/hyperlink" Target="https://doi.org/10.1177/21582440221097377" TargetMode="External"/><Relationship Id="rId46" Type="http://schemas.openxmlformats.org/officeDocument/2006/relationships/hyperlink" Target="https://doi.org/10.3390/en15166064" TargetMode="External"/><Relationship Id="rId20" Type="http://schemas.openxmlformats.org/officeDocument/2006/relationships/image" Target="media/image14.png"/><Relationship Id="rId41" Type="http://schemas.openxmlformats.org/officeDocument/2006/relationships/hyperlink" Target="https://scholarship.rollins.edu/suntrust/37"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onlinelibrary.wiley.com/doi/abs/10.1111/eufm.12479" TargetMode="External"/><Relationship Id="rId49" Type="http://schemas.openxmlformats.org/officeDocument/2006/relationships/hyperlink" Target="https://www.toyota.co.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0CB289-E12C-41BA-8AA6-CA9F79A9C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34</Pages>
  <Words>6887</Words>
  <Characters>39258</Characters>
  <Application>Microsoft Office Word</Application>
  <DocSecurity>0</DocSecurity>
  <Lines>327</Lines>
  <Paragraphs>92</Paragraphs>
  <ScaleCrop>false</ScaleCrop>
  <Company/>
  <LinksUpToDate>false</LinksUpToDate>
  <CharactersWithSpaces>46053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subha</dc:creator>
  <cp:lastModifiedBy>Dhruv Pansuriya</cp:lastModifiedBy>
  <cp:revision>47</cp:revision>
  <dcterms:created xsi:type="dcterms:W3CDTF">2026-04-19T18:11:00Z</dcterms:created>
  <dcterms:modified xsi:type="dcterms:W3CDTF">2026-04-22T13:09:00Z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eyJoZGlkIjoiMjcxN2I1MjNjZGIxMWZmZjBiMmQ1ZDQwNDdhOTc2ZjIifQ==</vt:lpwstr>
  </property>
  <property fmtid="{D5CDD505-2E9C-101B-9397-08002B2CF9AE}" pid="3" name="KSOProductBuildVer">
    <vt:lpwstr>1033-12.1.0.25242</vt:lpwstr>
  </property>
  <property fmtid="{D5CDD505-2E9C-101B-9397-08002B2CF9AE}" pid="4" name="ICV">
    <vt:lpwstr>2930176F7ED0446D9488CC6FD7D3BD9C_12</vt:lpwstr>
  </property>
</Properties>
</file>