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B23B6" w14:textId="77777777" w:rsidR="00B151A8" w:rsidRDefault="00B151A8"/>
    <w:p w14:paraId="4A3071FA" w14:textId="77777777" w:rsidR="0054062A" w:rsidRPr="0054062A" w:rsidRDefault="0054062A" w:rsidP="0054062A">
      <w:pPr>
        <w:jc w:val="right"/>
        <w:rPr>
          <w:rFonts w:ascii="Arial" w:hAnsi="Arial" w:cs="Arial"/>
          <w:b/>
          <w:bCs/>
          <w:i/>
          <w:iCs/>
          <w:sz w:val="24"/>
          <w:szCs w:val="24"/>
        </w:rPr>
      </w:pPr>
      <w:r w:rsidRPr="0054062A">
        <w:rPr>
          <w:rFonts w:ascii="Arial" w:hAnsi="Arial" w:cs="Arial"/>
          <w:b/>
          <w:bCs/>
          <w:i/>
          <w:iCs/>
          <w:sz w:val="24"/>
          <w:szCs w:val="24"/>
        </w:rPr>
        <w:t>Hotel Placement Research Project</w:t>
      </w:r>
    </w:p>
    <w:p w14:paraId="3F916693" w14:textId="77777777" w:rsidR="0054062A" w:rsidRPr="0054062A" w:rsidRDefault="0054062A" w:rsidP="0054062A">
      <w:pPr>
        <w:jc w:val="right"/>
        <w:rPr>
          <w:rFonts w:ascii="Arial" w:hAnsi="Arial" w:cs="Arial"/>
          <w:b/>
          <w:bCs/>
          <w:i/>
          <w:iCs/>
          <w:sz w:val="24"/>
          <w:szCs w:val="24"/>
        </w:rPr>
      </w:pPr>
      <w:r w:rsidRPr="0054062A">
        <w:rPr>
          <w:rFonts w:ascii="Arial" w:hAnsi="Arial" w:cs="Arial"/>
          <w:b/>
          <w:bCs/>
          <w:i/>
          <w:iCs/>
          <w:sz w:val="24"/>
          <w:szCs w:val="24"/>
        </w:rPr>
        <w:t>BMIH6008</w:t>
      </w:r>
    </w:p>
    <w:p w14:paraId="14D2AA5F" w14:textId="4818FEAD" w:rsidR="000A0EE7" w:rsidRPr="0054062A" w:rsidRDefault="0054062A" w:rsidP="0054062A">
      <w:pPr>
        <w:jc w:val="right"/>
        <w:rPr>
          <w:rFonts w:ascii="Arial" w:hAnsi="Arial" w:cs="Arial"/>
          <w:b/>
          <w:bCs/>
          <w:i/>
          <w:iCs/>
          <w:sz w:val="24"/>
          <w:szCs w:val="24"/>
        </w:rPr>
      </w:pPr>
      <w:r w:rsidRPr="0054062A">
        <w:rPr>
          <w:rFonts w:ascii="Arial" w:hAnsi="Arial" w:cs="Arial"/>
          <w:b/>
          <w:bCs/>
          <w:i/>
          <w:iCs/>
          <w:sz w:val="24"/>
          <w:szCs w:val="24"/>
        </w:rPr>
        <w:t>Hotel Research Project</w:t>
      </w:r>
    </w:p>
    <w:p w14:paraId="498F837D" w14:textId="77777777" w:rsidR="000A0EE7" w:rsidRPr="0054062A" w:rsidRDefault="000A0EE7" w:rsidP="0054062A">
      <w:pPr>
        <w:rPr>
          <w:rFonts w:ascii="Arial" w:hAnsi="Arial" w:cs="Arial"/>
          <w:b/>
          <w:bCs/>
          <w:i/>
          <w:iCs/>
          <w:sz w:val="24"/>
          <w:szCs w:val="24"/>
        </w:rPr>
      </w:pPr>
    </w:p>
    <w:p w14:paraId="2A1394C0" w14:textId="01C20EB8" w:rsidR="0054062A" w:rsidRDefault="0054062A" w:rsidP="0054062A">
      <w:pPr>
        <w:jc w:val="right"/>
        <w:rPr>
          <w:rFonts w:ascii="Arial" w:hAnsi="Arial" w:cs="Arial"/>
          <w:b/>
          <w:bCs/>
          <w:i/>
          <w:iCs/>
          <w:sz w:val="24"/>
          <w:szCs w:val="24"/>
        </w:rPr>
      </w:pPr>
      <w:r w:rsidRPr="0054062A">
        <w:rPr>
          <w:rFonts w:ascii="Arial" w:hAnsi="Arial" w:cs="Arial"/>
          <w:b/>
          <w:bCs/>
          <w:i/>
          <w:iCs/>
          <w:sz w:val="24"/>
          <w:szCs w:val="24"/>
        </w:rPr>
        <w:t>Reducing Buffet Food Waste through Low-Cost, Staff-Driven Interventions at the Hilton Garden Inn Doncaster Racecourse</w:t>
      </w:r>
    </w:p>
    <w:p w14:paraId="65C830B9" w14:textId="6D2A9E9F" w:rsidR="0054062A" w:rsidRDefault="0054062A" w:rsidP="0054062A">
      <w:pPr>
        <w:jc w:val="right"/>
        <w:rPr>
          <w:rFonts w:ascii="Arial" w:hAnsi="Arial" w:cs="Arial"/>
          <w:b/>
          <w:bCs/>
          <w:i/>
          <w:iCs/>
          <w:sz w:val="24"/>
          <w:szCs w:val="24"/>
        </w:rPr>
      </w:pPr>
      <w:r>
        <w:rPr>
          <w:rFonts w:ascii="Arial" w:hAnsi="Arial" w:cs="Arial"/>
          <w:b/>
          <w:bCs/>
          <w:i/>
          <w:iCs/>
          <w:sz w:val="24"/>
          <w:szCs w:val="24"/>
        </w:rPr>
        <w:t>Student id:</w:t>
      </w:r>
      <w:r w:rsidR="00494F95">
        <w:rPr>
          <w:rFonts w:ascii="Arial" w:hAnsi="Arial" w:cs="Arial"/>
          <w:b/>
          <w:bCs/>
          <w:i/>
          <w:iCs/>
          <w:sz w:val="24"/>
          <w:szCs w:val="24"/>
        </w:rPr>
        <w:t xml:space="preserve"> 2216057</w:t>
      </w:r>
    </w:p>
    <w:p w14:paraId="7870FF67" w14:textId="1B10030A" w:rsidR="0054062A" w:rsidRDefault="0054062A" w:rsidP="0054062A">
      <w:pPr>
        <w:jc w:val="right"/>
        <w:rPr>
          <w:rFonts w:ascii="Arial" w:hAnsi="Arial" w:cs="Arial"/>
          <w:b/>
          <w:bCs/>
          <w:i/>
          <w:iCs/>
          <w:sz w:val="24"/>
          <w:szCs w:val="24"/>
        </w:rPr>
      </w:pPr>
      <w:r>
        <w:rPr>
          <w:rFonts w:ascii="Arial" w:hAnsi="Arial" w:cs="Arial"/>
          <w:b/>
          <w:bCs/>
          <w:i/>
          <w:iCs/>
          <w:sz w:val="24"/>
          <w:szCs w:val="24"/>
        </w:rPr>
        <w:t xml:space="preserve">Student name: </w:t>
      </w:r>
      <w:r w:rsidR="00494F95">
        <w:rPr>
          <w:rFonts w:ascii="Arial" w:hAnsi="Arial" w:cs="Arial"/>
          <w:b/>
          <w:bCs/>
          <w:i/>
          <w:iCs/>
          <w:sz w:val="24"/>
          <w:szCs w:val="24"/>
        </w:rPr>
        <w:t>Amanioaei Eliza Andreea</w:t>
      </w:r>
    </w:p>
    <w:p w14:paraId="10AD361D" w14:textId="77777777" w:rsidR="007E6D76" w:rsidRDefault="007E6D76" w:rsidP="0054062A">
      <w:pPr>
        <w:jc w:val="right"/>
        <w:rPr>
          <w:rFonts w:ascii="Arial" w:hAnsi="Arial" w:cs="Arial"/>
          <w:b/>
          <w:bCs/>
          <w:i/>
          <w:iCs/>
          <w:sz w:val="24"/>
          <w:szCs w:val="24"/>
        </w:rPr>
      </w:pPr>
    </w:p>
    <w:p w14:paraId="5CF33F0B" w14:textId="77777777" w:rsidR="00494F95" w:rsidRDefault="00494F95" w:rsidP="0054062A">
      <w:pPr>
        <w:jc w:val="right"/>
        <w:rPr>
          <w:rFonts w:ascii="Arial" w:hAnsi="Arial" w:cs="Arial"/>
          <w:b/>
          <w:bCs/>
          <w:i/>
          <w:iCs/>
          <w:sz w:val="24"/>
          <w:szCs w:val="24"/>
        </w:rPr>
      </w:pPr>
    </w:p>
    <w:p w14:paraId="2C2B8AFA" w14:textId="77777777" w:rsidR="00494F95" w:rsidRDefault="00494F95" w:rsidP="0054062A">
      <w:pPr>
        <w:jc w:val="right"/>
        <w:rPr>
          <w:rFonts w:ascii="Arial" w:hAnsi="Arial" w:cs="Arial"/>
          <w:b/>
          <w:bCs/>
          <w:i/>
          <w:iCs/>
          <w:sz w:val="24"/>
          <w:szCs w:val="24"/>
        </w:rPr>
      </w:pPr>
    </w:p>
    <w:p w14:paraId="43CE1374" w14:textId="77777777" w:rsidR="0053582B" w:rsidRDefault="0053582B" w:rsidP="007E6D76">
      <w:pPr>
        <w:rPr>
          <w:rFonts w:ascii="Arial" w:hAnsi="Arial" w:cs="Arial"/>
          <w:b/>
          <w:bCs/>
          <w:i/>
          <w:iCs/>
          <w:sz w:val="24"/>
          <w:szCs w:val="24"/>
        </w:rPr>
      </w:pPr>
    </w:p>
    <w:p w14:paraId="7DE3BE73" w14:textId="77777777" w:rsidR="0053582B" w:rsidRDefault="0053582B" w:rsidP="007E6D76">
      <w:pPr>
        <w:rPr>
          <w:rFonts w:ascii="Arial" w:hAnsi="Arial" w:cs="Arial"/>
          <w:b/>
          <w:bCs/>
          <w:i/>
          <w:iCs/>
          <w:sz w:val="24"/>
          <w:szCs w:val="24"/>
        </w:rPr>
      </w:pPr>
    </w:p>
    <w:p w14:paraId="2E9BB0CB" w14:textId="77777777" w:rsidR="0053582B" w:rsidRDefault="0053582B" w:rsidP="007E6D76">
      <w:pPr>
        <w:rPr>
          <w:rFonts w:ascii="Arial" w:hAnsi="Arial" w:cs="Arial"/>
          <w:b/>
          <w:bCs/>
          <w:i/>
          <w:iCs/>
          <w:sz w:val="24"/>
          <w:szCs w:val="24"/>
        </w:rPr>
      </w:pPr>
    </w:p>
    <w:p w14:paraId="1935E24A" w14:textId="77777777" w:rsidR="0053582B" w:rsidRDefault="0053582B" w:rsidP="007E6D76">
      <w:pPr>
        <w:rPr>
          <w:rFonts w:ascii="Arial" w:hAnsi="Arial" w:cs="Arial"/>
          <w:b/>
          <w:bCs/>
          <w:i/>
          <w:iCs/>
          <w:sz w:val="24"/>
          <w:szCs w:val="24"/>
        </w:rPr>
      </w:pPr>
    </w:p>
    <w:p w14:paraId="307B1A33" w14:textId="77777777" w:rsidR="0053582B" w:rsidRDefault="0053582B" w:rsidP="007E6D76">
      <w:pPr>
        <w:rPr>
          <w:rFonts w:ascii="Arial" w:hAnsi="Arial" w:cs="Arial"/>
          <w:b/>
          <w:bCs/>
          <w:i/>
          <w:iCs/>
          <w:sz w:val="24"/>
          <w:szCs w:val="24"/>
        </w:rPr>
      </w:pPr>
    </w:p>
    <w:p w14:paraId="5567B454" w14:textId="77777777" w:rsidR="0053582B" w:rsidRDefault="0053582B" w:rsidP="007E6D76">
      <w:pPr>
        <w:rPr>
          <w:rFonts w:ascii="Arial" w:hAnsi="Arial" w:cs="Arial"/>
          <w:b/>
          <w:bCs/>
          <w:i/>
          <w:iCs/>
          <w:sz w:val="24"/>
          <w:szCs w:val="24"/>
        </w:rPr>
      </w:pPr>
    </w:p>
    <w:p w14:paraId="28528ACC" w14:textId="77777777" w:rsidR="0053582B" w:rsidRDefault="0053582B" w:rsidP="007E6D76">
      <w:pPr>
        <w:rPr>
          <w:rFonts w:ascii="Arial" w:hAnsi="Arial" w:cs="Arial"/>
          <w:b/>
          <w:bCs/>
          <w:i/>
          <w:iCs/>
          <w:sz w:val="24"/>
          <w:szCs w:val="24"/>
        </w:rPr>
      </w:pPr>
    </w:p>
    <w:p w14:paraId="771CBC64" w14:textId="77777777" w:rsidR="0053582B" w:rsidRDefault="0053582B" w:rsidP="007E6D76">
      <w:pPr>
        <w:rPr>
          <w:rFonts w:ascii="Arial" w:hAnsi="Arial" w:cs="Arial"/>
          <w:b/>
          <w:bCs/>
          <w:i/>
          <w:iCs/>
          <w:sz w:val="24"/>
          <w:szCs w:val="24"/>
        </w:rPr>
      </w:pPr>
    </w:p>
    <w:p w14:paraId="1AA2570B" w14:textId="77777777" w:rsidR="0053582B" w:rsidRDefault="0053582B" w:rsidP="007E6D76">
      <w:pPr>
        <w:rPr>
          <w:rFonts w:ascii="Arial" w:hAnsi="Arial" w:cs="Arial"/>
          <w:b/>
          <w:bCs/>
          <w:i/>
          <w:iCs/>
          <w:sz w:val="24"/>
          <w:szCs w:val="24"/>
        </w:rPr>
      </w:pPr>
    </w:p>
    <w:p w14:paraId="40B4CFAB" w14:textId="77777777" w:rsidR="0053582B" w:rsidRDefault="0053582B" w:rsidP="007E6D76">
      <w:pPr>
        <w:rPr>
          <w:rFonts w:ascii="Arial" w:hAnsi="Arial" w:cs="Arial"/>
          <w:b/>
          <w:bCs/>
          <w:i/>
          <w:iCs/>
          <w:sz w:val="24"/>
          <w:szCs w:val="24"/>
        </w:rPr>
      </w:pPr>
    </w:p>
    <w:p w14:paraId="68BD589E" w14:textId="77777777" w:rsidR="0053582B" w:rsidRDefault="0053582B" w:rsidP="007E6D76">
      <w:pPr>
        <w:rPr>
          <w:rFonts w:ascii="Arial" w:hAnsi="Arial" w:cs="Arial"/>
          <w:b/>
          <w:bCs/>
          <w:i/>
          <w:iCs/>
          <w:sz w:val="24"/>
          <w:szCs w:val="24"/>
        </w:rPr>
      </w:pPr>
    </w:p>
    <w:p w14:paraId="1393C6FD" w14:textId="77777777" w:rsidR="0053582B" w:rsidRDefault="0053582B" w:rsidP="007E6D76">
      <w:pPr>
        <w:rPr>
          <w:rFonts w:ascii="Arial" w:hAnsi="Arial" w:cs="Arial"/>
          <w:b/>
          <w:bCs/>
          <w:i/>
          <w:iCs/>
          <w:sz w:val="24"/>
          <w:szCs w:val="24"/>
        </w:rPr>
      </w:pPr>
    </w:p>
    <w:p w14:paraId="32F29BC6" w14:textId="77777777" w:rsidR="0053582B" w:rsidRDefault="0053582B" w:rsidP="007E6D76">
      <w:pPr>
        <w:rPr>
          <w:rFonts w:ascii="Arial" w:hAnsi="Arial" w:cs="Arial"/>
          <w:b/>
          <w:bCs/>
          <w:i/>
          <w:iCs/>
          <w:sz w:val="24"/>
          <w:szCs w:val="24"/>
        </w:rPr>
      </w:pPr>
    </w:p>
    <w:p w14:paraId="0B119D92" w14:textId="77777777" w:rsidR="0053582B" w:rsidRDefault="0053582B" w:rsidP="007E6D76">
      <w:pPr>
        <w:rPr>
          <w:rFonts w:ascii="Arial" w:hAnsi="Arial" w:cs="Arial"/>
          <w:b/>
          <w:bCs/>
          <w:i/>
          <w:iCs/>
          <w:sz w:val="24"/>
          <w:szCs w:val="24"/>
        </w:rPr>
      </w:pPr>
    </w:p>
    <w:p w14:paraId="6CF2A7CC" w14:textId="77777777" w:rsidR="0053582B" w:rsidRDefault="0053582B" w:rsidP="007E6D76">
      <w:pPr>
        <w:rPr>
          <w:rFonts w:ascii="Arial" w:hAnsi="Arial" w:cs="Arial"/>
          <w:b/>
          <w:bCs/>
          <w:i/>
          <w:iCs/>
          <w:sz w:val="24"/>
          <w:szCs w:val="24"/>
        </w:rPr>
      </w:pPr>
    </w:p>
    <w:p w14:paraId="364CE725" w14:textId="77777777" w:rsidR="0053582B" w:rsidRDefault="0053582B" w:rsidP="007E6D76">
      <w:pPr>
        <w:rPr>
          <w:rFonts w:ascii="Arial" w:hAnsi="Arial" w:cs="Arial"/>
          <w:b/>
          <w:bCs/>
          <w:i/>
          <w:iCs/>
          <w:sz w:val="24"/>
          <w:szCs w:val="24"/>
        </w:rPr>
      </w:pPr>
    </w:p>
    <w:p w14:paraId="6ABCADD7" w14:textId="77777777" w:rsidR="0053582B" w:rsidRDefault="0053582B" w:rsidP="007E6D76">
      <w:pPr>
        <w:rPr>
          <w:rFonts w:ascii="Arial" w:hAnsi="Arial" w:cs="Arial"/>
          <w:b/>
          <w:bCs/>
          <w:i/>
          <w:iCs/>
          <w:sz w:val="24"/>
          <w:szCs w:val="24"/>
        </w:rPr>
      </w:pPr>
    </w:p>
    <w:p w14:paraId="30195119" w14:textId="77777777" w:rsidR="0053582B" w:rsidRDefault="0053582B" w:rsidP="007E6D76">
      <w:pPr>
        <w:rPr>
          <w:rFonts w:ascii="Arial" w:hAnsi="Arial" w:cs="Arial"/>
          <w:b/>
          <w:bCs/>
          <w:i/>
          <w:iCs/>
          <w:sz w:val="24"/>
          <w:szCs w:val="24"/>
        </w:rPr>
      </w:pPr>
    </w:p>
    <w:p w14:paraId="47C5FF51" w14:textId="77777777" w:rsidR="0053582B" w:rsidRDefault="0053582B" w:rsidP="007E6D76">
      <w:pPr>
        <w:rPr>
          <w:rFonts w:ascii="Arial" w:hAnsi="Arial" w:cs="Arial"/>
          <w:b/>
          <w:bCs/>
          <w:i/>
          <w:iCs/>
          <w:sz w:val="24"/>
          <w:szCs w:val="24"/>
        </w:rPr>
      </w:pPr>
    </w:p>
    <w:p w14:paraId="6F7FD8BF" w14:textId="77777777" w:rsidR="0053582B" w:rsidRDefault="0053582B" w:rsidP="007E6D76">
      <w:pPr>
        <w:rPr>
          <w:rFonts w:ascii="Arial" w:hAnsi="Arial" w:cs="Arial"/>
          <w:b/>
          <w:bCs/>
          <w:i/>
          <w:iCs/>
          <w:sz w:val="24"/>
          <w:szCs w:val="24"/>
        </w:rPr>
      </w:pPr>
    </w:p>
    <w:p w14:paraId="3A3F49DA" w14:textId="77777777" w:rsidR="0053582B" w:rsidRDefault="0053582B" w:rsidP="007E6D76">
      <w:pPr>
        <w:rPr>
          <w:rFonts w:ascii="Arial" w:hAnsi="Arial" w:cs="Arial"/>
          <w:b/>
          <w:bCs/>
          <w:i/>
          <w:iCs/>
          <w:sz w:val="24"/>
          <w:szCs w:val="24"/>
        </w:rPr>
      </w:pPr>
    </w:p>
    <w:p w14:paraId="489F8FFE" w14:textId="16AB072F" w:rsidR="007E6D76" w:rsidRDefault="00494F95" w:rsidP="007E6D76">
      <w:pPr>
        <w:rPr>
          <w:rFonts w:ascii="Arial" w:hAnsi="Arial" w:cs="Arial"/>
          <w:b/>
          <w:bCs/>
          <w:i/>
          <w:iCs/>
          <w:sz w:val="24"/>
          <w:szCs w:val="24"/>
        </w:rPr>
      </w:pPr>
      <w:r>
        <w:rPr>
          <w:rFonts w:ascii="Arial" w:hAnsi="Arial" w:cs="Arial"/>
          <w:b/>
          <w:bCs/>
          <w:i/>
          <w:iCs/>
          <w:sz w:val="24"/>
          <w:szCs w:val="24"/>
        </w:rPr>
        <w:t xml:space="preserve">I would like to express my gratitude to my </w:t>
      </w:r>
      <w:proofErr w:type="gramStart"/>
      <w:r>
        <w:rPr>
          <w:rFonts w:ascii="Arial" w:hAnsi="Arial" w:cs="Arial"/>
          <w:b/>
          <w:bCs/>
          <w:i/>
          <w:iCs/>
          <w:sz w:val="24"/>
          <w:szCs w:val="24"/>
        </w:rPr>
        <w:t>family ,</w:t>
      </w:r>
      <w:proofErr w:type="gramEnd"/>
      <w:r>
        <w:rPr>
          <w:rFonts w:ascii="Arial" w:hAnsi="Arial" w:cs="Arial"/>
          <w:b/>
          <w:bCs/>
          <w:i/>
          <w:iCs/>
          <w:sz w:val="24"/>
          <w:szCs w:val="24"/>
        </w:rPr>
        <w:t xml:space="preserve"> </w:t>
      </w:r>
      <w:proofErr w:type="gramStart"/>
      <w:r>
        <w:rPr>
          <w:rFonts w:ascii="Arial" w:hAnsi="Arial" w:cs="Arial"/>
          <w:b/>
          <w:bCs/>
          <w:i/>
          <w:iCs/>
          <w:sz w:val="24"/>
          <w:szCs w:val="24"/>
        </w:rPr>
        <w:t>friends ,</w:t>
      </w:r>
      <w:proofErr w:type="gramEnd"/>
      <w:r>
        <w:rPr>
          <w:rFonts w:ascii="Arial" w:hAnsi="Arial" w:cs="Arial"/>
          <w:b/>
          <w:bCs/>
          <w:i/>
          <w:iCs/>
          <w:sz w:val="24"/>
          <w:szCs w:val="24"/>
        </w:rPr>
        <w:t xml:space="preserve"> professors and mentors for </w:t>
      </w:r>
      <w:proofErr w:type="gramStart"/>
      <w:r>
        <w:rPr>
          <w:rFonts w:ascii="Arial" w:hAnsi="Arial" w:cs="Arial"/>
          <w:b/>
          <w:bCs/>
          <w:i/>
          <w:iCs/>
          <w:sz w:val="24"/>
          <w:szCs w:val="24"/>
        </w:rPr>
        <w:t>guidance ,</w:t>
      </w:r>
      <w:proofErr w:type="gramEnd"/>
      <w:r>
        <w:rPr>
          <w:rFonts w:ascii="Arial" w:hAnsi="Arial" w:cs="Arial"/>
          <w:b/>
          <w:bCs/>
          <w:i/>
          <w:iCs/>
          <w:sz w:val="24"/>
          <w:szCs w:val="24"/>
        </w:rPr>
        <w:t xml:space="preserve"> patience and support in my educational </w:t>
      </w:r>
      <w:proofErr w:type="gramStart"/>
      <w:r>
        <w:rPr>
          <w:rFonts w:ascii="Arial" w:hAnsi="Arial" w:cs="Arial"/>
          <w:b/>
          <w:bCs/>
          <w:i/>
          <w:iCs/>
          <w:sz w:val="24"/>
          <w:szCs w:val="24"/>
        </w:rPr>
        <w:t>journey .</w:t>
      </w:r>
      <w:proofErr w:type="gramEnd"/>
      <w:r>
        <w:rPr>
          <w:rFonts w:ascii="Arial" w:hAnsi="Arial" w:cs="Arial"/>
          <w:b/>
          <w:bCs/>
          <w:i/>
          <w:iCs/>
          <w:sz w:val="24"/>
          <w:szCs w:val="24"/>
        </w:rPr>
        <w:t xml:space="preserve"> </w:t>
      </w:r>
      <w:r w:rsidR="007E6D76">
        <w:rPr>
          <w:rFonts w:ascii="Arial" w:hAnsi="Arial" w:cs="Arial"/>
          <w:b/>
          <w:bCs/>
          <w:i/>
          <w:iCs/>
          <w:sz w:val="24"/>
          <w:szCs w:val="24"/>
        </w:rPr>
        <w:t xml:space="preserve"> I </w:t>
      </w:r>
      <w:r>
        <w:rPr>
          <w:rFonts w:ascii="Arial" w:hAnsi="Arial" w:cs="Arial"/>
          <w:b/>
          <w:bCs/>
          <w:i/>
          <w:iCs/>
          <w:sz w:val="24"/>
          <w:szCs w:val="24"/>
        </w:rPr>
        <w:t>couldn’t do it without you</w:t>
      </w:r>
      <w:r w:rsidR="007E6D76">
        <w:rPr>
          <w:rFonts w:ascii="Arial" w:hAnsi="Arial" w:cs="Arial"/>
          <w:b/>
          <w:bCs/>
          <w:i/>
          <w:iCs/>
          <w:sz w:val="24"/>
          <w:szCs w:val="24"/>
        </w:rPr>
        <w:t>.</w:t>
      </w:r>
      <w:r>
        <w:rPr>
          <w:rFonts w:ascii="Arial" w:hAnsi="Arial" w:cs="Arial"/>
          <w:b/>
          <w:bCs/>
          <w:i/>
          <w:iCs/>
          <w:sz w:val="24"/>
          <w:szCs w:val="24"/>
        </w:rPr>
        <w:t xml:space="preserve"> </w:t>
      </w:r>
      <w:r w:rsidR="007E6D76">
        <w:rPr>
          <w:rFonts w:ascii="Arial" w:hAnsi="Arial" w:cs="Arial"/>
          <w:b/>
          <w:bCs/>
          <w:i/>
          <w:iCs/>
          <w:sz w:val="24"/>
          <w:szCs w:val="24"/>
        </w:rPr>
        <w:t xml:space="preserve"> </w:t>
      </w:r>
    </w:p>
    <w:p w14:paraId="3DE888DC" w14:textId="62A7561D" w:rsidR="00494F95" w:rsidRDefault="007E6D76" w:rsidP="007E6D76">
      <w:pPr>
        <w:rPr>
          <w:rFonts w:ascii="Arial" w:hAnsi="Arial" w:cs="Arial"/>
          <w:b/>
          <w:bCs/>
          <w:i/>
          <w:iCs/>
          <w:sz w:val="24"/>
          <w:szCs w:val="24"/>
        </w:rPr>
      </w:pPr>
      <w:r>
        <w:rPr>
          <w:rFonts w:ascii="Arial" w:hAnsi="Arial" w:cs="Arial"/>
          <w:b/>
          <w:bCs/>
          <w:i/>
          <w:iCs/>
          <w:sz w:val="24"/>
          <w:szCs w:val="24"/>
        </w:rPr>
        <w:t xml:space="preserve">Thank you all for being part of this </w:t>
      </w:r>
      <w:proofErr w:type="gramStart"/>
      <w:r>
        <w:rPr>
          <w:rFonts w:ascii="Arial" w:hAnsi="Arial" w:cs="Arial"/>
          <w:b/>
          <w:bCs/>
          <w:i/>
          <w:iCs/>
          <w:sz w:val="24"/>
          <w:szCs w:val="24"/>
        </w:rPr>
        <w:t>journey ,</w:t>
      </w:r>
      <w:proofErr w:type="gramEnd"/>
    </w:p>
    <w:p w14:paraId="39D8B2CA" w14:textId="77777777" w:rsidR="007E6D76" w:rsidRDefault="007E6D76" w:rsidP="007E6D76">
      <w:pPr>
        <w:rPr>
          <w:rFonts w:ascii="Arial" w:hAnsi="Arial" w:cs="Arial"/>
          <w:b/>
          <w:bCs/>
          <w:i/>
          <w:iCs/>
          <w:sz w:val="24"/>
          <w:szCs w:val="24"/>
        </w:rPr>
      </w:pPr>
    </w:p>
    <w:p w14:paraId="14C7C2CE" w14:textId="77777777" w:rsidR="007E6D76" w:rsidRDefault="007E6D76" w:rsidP="007E6D76">
      <w:pPr>
        <w:rPr>
          <w:rFonts w:ascii="Arial" w:hAnsi="Arial" w:cs="Arial"/>
          <w:b/>
          <w:bCs/>
          <w:i/>
          <w:iCs/>
          <w:sz w:val="24"/>
          <w:szCs w:val="24"/>
        </w:rPr>
      </w:pPr>
    </w:p>
    <w:p w14:paraId="2D9D84A0" w14:textId="77777777" w:rsidR="00494F95" w:rsidRPr="0054062A" w:rsidRDefault="00494F95" w:rsidP="0054062A">
      <w:pPr>
        <w:jc w:val="right"/>
        <w:rPr>
          <w:rFonts w:ascii="Arial" w:hAnsi="Arial" w:cs="Arial"/>
          <w:b/>
          <w:bCs/>
          <w:i/>
          <w:iCs/>
          <w:sz w:val="24"/>
          <w:szCs w:val="24"/>
        </w:rPr>
      </w:pPr>
    </w:p>
    <w:p w14:paraId="4C3E61B7" w14:textId="77777777" w:rsidR="0054062A" w:rsidRDefault="0054062A" w:rsidP="0054062A"/>
    <w:p w14:paraId="10378CC4" w14:textId="77777777" w:rsidR="0054062A" w:rsidRDefault="0054062A" w:rsidP="0054062A"/>
    <w:p w14:paraId="5954A7AD" w14:textId="77777777" w:rsidR="0053582B" w:rsidRDefault="0053582B" w:rsidP="00FB4A6C">
      <w:pPr>
        <w:jc w:val="center"/>
      </w:pPr>
    </w:p>
    <w:p w14:paraId="79D86B44" w14:textId="77777777" w:rsidR="0053582B" w:rsidRDefault="0053582B" w:rsidP="00FB4A6C">
      <w:pPr>
        <w:jc w:val="center"/>
      </w:pPr>
    </w:p>
    <w:p w14:paraId="26DE54B0" w14:textId="77777777" w:rsidR="0053582B" w:rsidRDefault="0053582B" w:rsidP="00FB4A6C">
      <w:pPr>
        <w:jc w:val="center"/>
      </w:pPr>
    </w:p>
    <w:p w14:paraId="1CE4EA74" w14:textId="77777777" w:rsidR="0053582B" w:rsidRDefault="0053582B" w:rsidP="00FB4A6C">
      <w:pPr>
        <w:jc w:val="center"/>
      </w:pPr>
    </w:p>
    <w:p w14:paraId="3570FA42" w14:textId="77777777" w:rsidR="0053582B" w:rsidRDefault="0053582B" w:rsidP="00FB4A6C">
      <w:pPr>
        <w:jc w:val="center"/>
      </w:pPr>
    </w:p>
    <w:p w14:paraId="343F3391" w14:textId="77777777" w:rsidR="0053582B" w:rsidRDefault="0053582B" w:rsidP="00FB4A6C">
      <w:pPr>
        <w:jc w:val="center"/>
      </w:pPr>
    </w:p>
    <w:p w14:paraId="54392543" w14:textId="77777777" w:rsidR="0053582B" w:rsidRDefault="0053582B" w:rsidP="00FB4A6C">
      <w:pPr>
        <w:jc w:val="center"/>
      </w:pPr>
    </w:p>
    <w:p w14:paraId="458B0A73" w14:textId="77777777" w:rsidR="0053582B" w:rsidRDefault="0053582B" w:rsidP="00FB4A6C">
      <w:pPr>
        <w:jc w:val="center"/>
      </w:pPr>
    </w:p>
    <w:p w14:paraId="242729C7" w14:textId="77777777" w:rsidR="0053582B" w:rsidRDefault="0053582B" w:rsidP="00FB4A6C">
      <w:pPr>
        <w:jc w:val="center"/>
      </w:pPr>
    </w:p>
    <w:p w14:paraId="2EF9D23D" w14:textId="77777777" w:rsidR="0053582B" w:rsidRDefault="0053582B" w:rsidP="00FB4A6C">
      <w:pPr>
        <w:jc w:val="center"/>
      </w:pPr>
    </w:p>
    <w:p w14:paraId="34F3E4ED" w14:textId="77777777" w:rsidR="0053582B" w:rsidRDefault="0053582B" w:rsidP="00FB4A6C">
      <w:pPr>
        <w:jc w:val="center"/>
      </w:pPr>
    </w:p>
    <w:p w14:paraId="648E61F5" w14:textId="77777777" w:rsidR="0053582B" w:rsidRDefault="0053582B" w:rsidP="00FB4A6C">
      <w:pPr>
        <w:jc w:val="center"/>
      </w:pPr>
    </w:p>
    <w:p w14:paraId="4B84E025" w14:textId="77777777" w:rsidR="0053582B" w:rsidRDefault="0053582B" w:rsidP="00FB4A6C">
      <w:pPr>
        <w:jc w:val="center"/>
      </w:pPr>
    </w:p>
    <w:p w14:paraId="3E1FE22B" w14:textId="4550E598" w:rsidR="0054062A" w:rsidRDefault="00FB4A6C" w:rsidP="00FB4A6C">
      <w:pPr>
        <w:jc w:val="center"/>
      </w:pPr>
      <w:r w:rsidRPr="00FB4A6C">
        <w:rPr>
          <w:noProof/>
        </w:rPr>
        <w:lastRenderedPageBreak/>
        <w:drawing>
          <wp:inline distT="0" distB="0" distL="0" distR="0" wp14:anchorId="7CE029C0" wp14:editId="3C2B091B">
            <wp:extent cx="5464137" cy="3568700"/>
            <wp:effectExtent l="0" t="0" r="3810" b="0"/>
            <wp:docPr id="1620490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490750" name=""/>
                    <pic:cNvPicPr/>
                  </pic:nvPicPr>
                  <pic:blipFill>
                    <a:blip r:embed="rId8"/>
                    <a:stretch>
                      <a:fillRect/>
                    </a:stretch>
                  </pic:blipFill>
                  <pic:spPr>
                    <a:xfrm>
                      <a:off x="0" y="0"/>
                      <a:ext cx="5466957" cy="3570542"/>
                    </a:xfrm>
                    <a:prstGeom prst="rect">
                      <a:avLst/>
                    </a:prstGeom>
                  </pic:spPr>
                </pic:pic>
              </a:graphicData>
            </a:graphic>
          </wp:inline>
        </w:drawing>
      </w:r>
    </w:p>
    <w:p w14:paraId="6834507A" w14:textId="77777777" w:rsidR="0054062A" w:rsidRDefault="0054062A" w:rsidP="0054062A"/>
    <w:p w14:paraId="3A0055C0" w14:textId="77777777" w:rsidR="0054062A" w:rsidRDefault="0054062A" w:rsidP="0054062A"/>
    <w:p w14:paraId="39E68323" w14:textId="77777777" w:rsidR="0054062A" w:rsidRDefault="0054062A" w:rsidP="0054062A"/>
    <w:p w14:paraId="5B41AE21" w14:textId="77777777" w:rsidR="0054062A" w:rsidRDefault="0054062A" w:rsidP="0054062A"/>
    <w:p w14:paraId="1945F716" w14:textId="77777777" w:rsidR="000A0EE7" w:rsidRDefault="000A0EE7"/>
    <w:p w14:paraId="1AE99E8C" w14:textId="77777777" w:rsidR="000A0EE7" w:rsidRDefault="000A0EE7"/>
    <w:p w14:paraId="79A21F7C" w14:textId="77777777" w:rsidR="000A0EE7" w:rsidRDefault="000A0EE7"/>
    <w:p w14:paraId="74B8E500" w14:textId="7D599E08" w:rsidR="000A0EE7" w:rsidRPr="0054062A" w:rsidRDefault="0054062A" w:rsidP="0054062A">
      <w:pPr>
        <w:pStyle w:val="EU"/>
        <w:spacing w:line="360" w:lineRule="auto"/>
        <w:rPr>
          <w:color w:val="000000" w:themeColor="text1"/>
        </w:rPr>
      </w:pPr>
      <w:bookmarkStart w:id="0" w:name="_Toc200658227"/>
      <w:r w:rsidRPr="0054062A">
        <w:rPr>
          <w:color w:val="000000" w:themeColor="text1"/>
        </w:rPr>
        <w:t>Executive summary</w:t>
      </w:r>
      <w:bookmarkEnd w:id="0"/>
      <w:r w:rsidRPr="0054062A">
        <w:rPr>
          <w:color w:val="000000" w:themeColor="text1"/>
        </w:rPr>
        <w:t xml:space="preserve"> </w:t>
      </w:r>
    </w:p>
    <w:p w14:paraId="3D05D0CD" w14:textId="1E06880F" w:rsidR="0054062A" w:rsidRPr="0054062A" w:rsidRDefault="0054062A" w:rsidP="0054062A">
      <w:pPr>
        <w:spacing w:line="360" w:lineRule="auto"/>
        <w:jc w:val="both"/>
        <w:rPr>
          <w:rFonts w:ascii="Arial" w:hAnsi="Arial" w:cs="Arial"/>
          <w:color w:val="000000" w:themeColor="text1"/>
          <w:sz w:val="24"/>
          <w:szCs w:val="24"/>
        </w:rPr>
      </w:pPr>
      <w:r w:rsidRPr="0054062A">
        <w:rPr>
          <w:rFonts w:ascii="Arial" w:hAnsi="Arial" w:cs="Arial"/>
          <w:color w:val="000000" w:themeColor="text1"/>
          <w:sz w:val="24"/>
          <w:szCs w:val="24"/>
        </w:rPr>
        <w:t>This research project examined buffet food waste at the Hilton Garden Inn Doncaster Racecourse and identified practical, low-cost strategies to reduce surplus without affecting guest experience or operational efficiency. Buffet operations worldwide generate between twenty and thirty per cent waste of prepared food, leading to significant financial losses and environmental impacts. Fixed service hours, staffing constraints and traditional forecasting methods make it difficult for mid-scale hotels to adapt portion sizes and menu offerings in real time.</w:t>
      </w:r>
    </w:p>
    <w:p w14:paraId="549F7568" w14:textId="370D8DD2" w:rsidR="0054062A" w:rsidRPr="0054062A" w:rsidRDefault="0054062A" w:rsidP="0054062A">
      <w:pPr>
        <w:spacing w:line="360" w:lineRule="auto"/>
        <w:jc w:val="both"/>
        <w:rPr>
          <w:rFonts w:ascii="Arial" w:hAnsi="Arial" w:cs="Arial"/>
          <w:color w:val="000000" w:themeColor="text1"/>
          <w:sz w:val="24"/>
          <w:szCs w:val="24"/>
        </w:rPr>
      </w:pPr>
      <w:r w:rsidRPr="0054062A">
        <w:rPr>
          <w:rFonts w:ascii="Arial" w:hAnsi="Arial" w:cs="Arial"/>
          <w:color w:val="000000" w:themeColor="text1"/>
          <w:sz w:val="24"/>
          <w:szCs w:val="24"/>
        </w:rPr>
        <w:t xml:space="preserve">A mixed-methods approach combined direct waste audits, </w:t>
      </w:r>
      <w:proofErr w:type="spellStart"/>
      <w:r w:rsidRPr="0054062A">
        <w:rPr>
          <w:rFonts w:ascii="Arial" w:hAnsi="Arial" w:cs="Arial"/>
          <w:color w:val="000000" w:themeColor="text1"/>
          <w:sz w:val="24"/>
          <w:szCs w:val="24"/>
        </w:rPr>
        <w:t>netnographic</w:t>
      </w:r>
      <w:proofErr w:type="spellEnd"/>
      <w:r w:rsidRPr="0054062A">
        <w:rPr>
          <w:rFonts w:ascii="Arial" w:hAnsi="Arial" w:cs="Arial"/>
          <w:color w:val="000000" w:themeColor="text1"/>
          <w:sz w:val="24"/>
          <w:szCs w:val="24"/>
        </w:rPr>
        <w:t xml:space="preserve"> analysis of ten to twenty recent guest reviews and staff interviews with a review of industry best practices. Waste audits recorded surplus at pre-service, mid-service and post-service </w:t>
      </w:r>
      <w:r w:rsidRPr="0054062A">
        <w:rPr>
          <w:rFonts w:ascii="Arial" w:hAnsi="Arial" w:cs="Arial"/>
          <w:color w:val="000000" w:themeColor="text1"/>
          <w:sz w:val="24"/>
          <w:szCs w:val="24"/>
        </w:rPr>
        <w:lastRenderedPageBreak/>
        <w:t xml:space="preserve">intervals over four weeks, revealing an average of 225 g edible surplus per guest and peaks of 320 g during high-occupancy periods. </w:t>
      </w:r>
      <w:proofErr w:type="spellStart"/>
      <w:r w:rsidRPr="0054062A">
        <w:rPr>
          <w:rFonts w:ascii="Arial" w:hAnsi="Arial" w:cs="Arial"/>
          <w:color w:val="000000" w:themeColor="text1"/>
          <w:sz w:val="24"/>
          <w:szCs w:val="24"/>
        </w:rPr>
        <w:t>Netnographic</w:t>
      </w:r>
      <w:proofErr w:type="spellEnd"/>
      <w:r w:rsidRPr="0054062A">
        <w:rPr>
          <w:rFonts w:ascii="Arial" w:hAnsi="Arial" w:cs="Arial"/>
          <w:color w:val="000000" w:themeColor="text1"/>
          <w:sz w:val="24"/>
          <w:szCs w:val="24"/>
        </w:rPr>
        <w:t xml:space="preserve"> findings highlighted guest frustrations with oversized portions and positive reactions to behavioural cues such as “take only what you can eat” signage. Staff interviews underscored the importance of simple measurement tools and empowerment in driving change.</w:t>
      </w:r>
    </w:p>
    <w:p w14:paraId="257DB34B" w14:textId="7B9E67F6" w:rsidR="0054062A" w:rsidRPr="0054062A" w:rsidRDefault="0054062A" w:rsidP="0054062A">
      <w:pPr>
        <w:spacing w:line="360" w:lineRule="auto"/>
        <w:jc w:val="both"/>
        <w:rPr>
          <w:rFonts w:ascii="Arial" w:hAnsi="Arial" w:cs="Arial"/>
          <w:color w:val="000000" w:themeColor="text1"/>
          <w:sz w:val="24"/>
          <w:szCs w:val="24"/>
        </w:rPr>
      </w:pPr>
      <w:r w:rsidRPr="0054062A">
        <w:rPr>
          <w:rFonts w:ascii="Arial" w:hAnsi="Arial" w:cs="Arial"/>
          <w:color w:val="000000" w:themeColor="text1"/>
          <w:sz w:val="24"/>
          <w:szCs w:val="24"/>
        </w:rPr>
        <w:t>Four core interventions demonstrated the greatest potential: reducing plate size by approximately 10 per cent to encourage smaller initial servings; installing calibrated digital scales for routine buffet audits and using audit data to adjust procurement orders; conducting brief, in-house workshops to engage frontline teams in identifying “hot spots” and trialling replenishment schedules and portioning tools; and establishing partnerships to redirect safe surplus—either to staff meals or local charities—thereby capturing residual value and reducing disposal costs. Each intervention requires minimal investment in replacement dinnerware, scales, signage and training time yet leverages proven behavioural-economics principles and data-driven decision making.</w:t>
      </w:r>
    </w:p>
    <w:p w14:paraId="62540FD9" w14:textId="77777777" w:rsidR="0054062A" w:rsidRPr="0054062A" w:rsidRDefault="0054062A" w:rsidP="0054062A">
      <w:pPr>
        <w:spacing w:line="360" w:lineRule="auto"/>
        <w:jc w:val="both"/>
        <w:rPr>
          <w:rFonts w:ascii="Arial" w:hAnsi="Arial" w:cs="Arial"/>
          <w:color w:val="000000" w:themeColor="text1"/>
          <w:sz w:val="24"/>
          <w:szCs w:val="24"/>
        </w:rPr>
      </w:pPr>
      <w:r w:rsidRPr="0054062A">
        <w:rPr>
          <w:rFonts w:ascii="Arial" w:hAnsi="Arial" w:cs="Arial"/>
          <w:color w:val="000000" w:themeColor="text1"/>
          <w:sz w:val="24"/>
          <w:szCs w:val="24"/>
        </w:rPr>
        <w:t>Pilot implementations of these measures achieved waste reductions of 15–30 per cent within weeks, recouping thousands of pounds in avoidable food costs and aligning food-cost targets with corporate benchmarks. Environmental benefits include lower greenhouse-gas emissions from diverted surplus and enhanced progress toward global goals to halve per-capita food waste by 2030. Qualitative feedback showed that guests responded positively to visible sustainability efforts, and staff reported increased ownership and morale when involved in solution design.</w:t>
      </w:r>
    </w:p>
    <w:p w14:paraId="4DF0DC3C" w14:textId="77777777" w:rsidR="0054062A" w:rsidRPr="0054062A" w:rsidRDefault="0054062A" w:rsidP="0054062A">
      <w:pPr>
        <w:spacing w:line="360" w:lineRule="auto"/>
        <w:jc w:val="both"/>
        <w:rPr>
          <w:rFonts w:ascii="Arial" w:hAnsi="Arial" w:cs="Arial"/>
          <w:color w:val="000000" w:themeColor="text1"/>
          <w:sz w:val="24"/>
          <w:szCs w:val="24"/>
        </w:rPr>
      </w:pPr>
    </w:p>
    <w:p w14:paraId="5DCE0C6D" w14:textId="2C3DD2EC" w:rsidR="000A0EE7" w:rsidRPr="0054062A" w:rsidRDefault="0054062A" w:rsidP="0054062A">
      <w:pPr>
        <w:spacing w:line="360" w:lineRule="auto"/>
        <w:jc w:val="both"/>
        <w:rPr>
          <w:rFonts w:ascii="Arial" w:hAnsi="Arial" w:cs="Arial"/>
          <w:color w:val="000000" w:themeColor="text1"/>
          <w:sz w:val="24"/>
          <w:szCs w:val="24"/>
        </w:rPr>
      </w:pPr>
      <w:r w:rsidRPr="0054062A">
        <w:rPr>
          <w:rFonts w:ascii="Arial" w:hAnsi="Arial" w:cs="Arial"/>
          <w:color w:val="000000" w:themeColor="text1"/>
          <w:sz w:val="24"/>
          <w:szCs w:val="24"/>
        </w:rPr>
        <w:t>This framework offers a replicable model for mid-scale branded hotels seeking to balance guest satisfaction with responsible resource management. By embedding simple behavioural nudges, routine measurement, team empowerment and surplus redistribution into daily operations, the Hilton Garden Inn Doncaster Racecourse can transform buffet service from a waste-intensive function into a driver of cost savings, environmental stewardship and enhanced brand reputation. continuous monitoring and iterative refinement will ensure long-term success and alignment with sustainability objectives.</w:t>
      </w:r>
    </w:p>
    <w:p w14:paraId="06D5F103" w14:textId="77777777" w:rsidR="000A0EE7" w:rsidRDefault="000A0EE7"/>
    <w:p w14:paraId="052C340E" w14:textId="77777777" w:rsidR="000A0EE7" w:rsidRDefault="000A0EE7"/>
    <w:p w14:paraId="1FD7D681" w14:textId="77777777" w:rsidR="000A0EE7" w:rsidRDefault="000A0EE7"/>
    <w:p w14:paraId="3CC8ED9A" w14:textId="77777777" w:rsidR="000A0EE7" w:rsidRDefault="000A0EE7"/>
    <w:p w14:paraId="30211EB1" w14:textId="77777777" w:rsidR="000A0EE7" w:rsidRDefault="000A0EE7"/>
    <w:p w14:paraId="6FB57C87" w14:textId="77777777" w:rsidR="000A0EE7" w:rsidRDefault="000A0EE7"/>
    <w:p w14:paraId="177CE110" w14:textId="77777777" w:rsidR="000A0EE7" w:rsidRDefault="000A0EE7"/>
    <w:p w14:paraId="3056BC57" w14:textId="77777777" w:rsidR="000A0EE7" w:rsidRDefault="000A0EE7"/>
    <w:p w14:paraId="093FFB11" w14:textId="77777777" w:rsidR="000A0EE7" w:rsidRDefault="000A0EE7"/>
    <w:p w14:paraId="79C5551E" w14:textId="77777777" w:rsidR="000A0EE7" w:rsidRDefault="000A0EE7"/>
    <w:p w14:paraId="4035D459" w14:textId="77777777" w:rsidR="000A0EE7" w:rsidRDefault="000A0EE7"/>
    <w:p w14:paraId="2961BA76" w14:textId="77777777" w:rsidR="000A0EE7" w:rsidRDefault="000A0EE7"/>
    <w:p w14:paraId="65547C41" w14:textId="77777777" w:rsidR="000A0EE7" w:rsidRDefault="000A0EE7"/>
    <w:p w14:paraId="43250234" w14:textId="77777777" w:rsidR="000A0EE7" w:rsidRDefault="000A0EE7"/>
    <w:p w14:paraId="0C046C8A" w14:textId="77777777" w:rsidR="000A0EE7" w:rsidRDefault="000A0EE7"/>
    <w:p w14:paraId="30CB47C3" w14:textId="77777777" w:rsidR="000A0EE7" w:rsidRDefault="000A0EE7"/>
    <w:p w14:paraId="101C1C2F" w14:textId="77777777" w:rsidR="000A0EE7" w:rsidRDefault="000A0EE7"/>
    <w:p w14:paraId="2CCF62E9" w14:textId="77777777" w:rsidR="000A0EE7" w:rsidRDefault="000A0EE7"/>
    <w:p w14:paraId="7A0BE4CC" w14:textId="77777777" w:rsidR="000A0EE7" w:rsidRDefault="000A0EE7"/>
    <w:p w14:paraId="296C5F77" w14:textId="77777777" w:rsidR="000A0EE7" w:rsidRDefault="000A0EE7"/>
    <w:p w14:paraId="677AC6FC" w14:textId="77777777" w:rsidR="000A0EE7" w:rsidRDefault="000A0EE7"/>
    <w:p w14:paraId="1E37BCF1" w14:textId="77777777" w:rsidR="000A0EE7" w:rsidRDefault="000A0EE7"/>
    <w:sdt>
      <w:sdtPr>
        <w:rPr>
          <w:rFonts w:ascii="Arial" w:eastAsiaTheme="minorHAnsi" w:hAnsi="Arial" w:cs="Arial"/>
          <w:color w:val="auto"/>
          <w:kern w:val="2"/>
          <w:sz w:val="22"/>
          <w:szCs w:val="22"/>
          <w:lang w:val="en-GB"/>
          <w14:ligatures w14:val="standardContextual"/>
        </w:rPr>
        <w:id w:val="-355426957"/>
        <w:docPartObj>
          <w:docPartGallery w:val="Table of Contents"/>
          <w:docPartUnique/>
        </w:docPartObj>
      </w:sdtPr>
      <w:sdtEndPr>
        <w:rPr>
          <w:b/>
          <w:bCs/>
          <w:noProof/>
        </w:rPr>
      </w:sdtEndPr>
      <w:sdtContent>
        <w:p w14:paraId="30DB3BCB" w14:textId="23C5C6CF" w:rsidR="0054062A" w:rsidRPr="0054062A" w:rsidRDefault="0054062A" w:rsidP="0054062A">
          <w:pPr>
            <w:pStyle w:val="TOCHeading"/>
            <w:spacing w:line="360" w:lineRule="auto"/>
            <w:jc w:val="both"/>
            <w:rPr>
              <w:rFonts w:ascii="Arial" w:hAnsi="Arial" w:cs="Arial"/>
            </w:rPr>
          </w:pPr>
          <w:r w:rsidRPr="0054062A">
            <w:rPr>
              <w:rFonts w:ascii="Arial" w:hAnsi="Arial" w:cs="Arial"/>
            </w:rPr>
            <w:t>Table of Contents</w:t>
          </w:r>
        </w:p>
        <w:p w14:paraId="7DDC81FE" w14:textId="290237A1" w:rsidR="0054062A" w:rsidRPr="0054062A" w:rsidRDefault="0054062A" w:rsidP="0054062A">
          <w:pPr>
            <w:pStyle w:val="TOC1"/>
            <w:tabs>
              <w:tab w:val="right" w:leader="dot" w:pos="9016"/>
            </w:tabs>
            <w:spacing w:line="360" w:lineRule="auto"/>
            <w:jc w:val="both"/>
            <w:rPr>
              <w:rFonts w:ascii="Arial" w:eastAsiaTheme="minorEastAsia" w:hAnsi="Arial" w:cs="Arial"/>
              <w:noProof/>
              <w:sz w:val="24"/>
              <w:szCs w:val="24"/>
              <w:lang w:eastAsia="en-GB"/>
            </w:rPr>
          </w:pPr>
          <w:r w:rsidRPr="0054062A">
            <w:rPr>
              <w:rFonts w:ascii="Arial" w:hAnsi="Arial" w:cs="Arial"/>
            </w:rPr>
            <w:fldChar w:fldCharType="begin"/>
          </w:r>
          <w:r w:rsidRPr="0054062A">
            <w:rPr>
              <w:rFonts w:ascii="Arial" w:hAnsi="Arial" w:cs="Arial"/>
            </w:rPr>
            <w:instrText xml:space="preserve"> TOC \o "1-3" \h \z \u </w:instrText>
          </w:r>
          <w:r w:rsidRPr="0054062A">
            <w:rPr>
              <w:rFonts w:ascii="Arial" w:hAnsi="Arial" w:cs="Arial"/>
            </w:rPr>
            <w:fldChar w:fldCharType="separate"/>
          </w:r>
          <w:hyperlink w:anchor="_Toc200658227" w:history="1">
            <w:r w:rsidRPr="0054062A">
              <w:rPr>
                <w:rStyle w:val="Hyperlink"/>
                <w:rFonts w:ascii="Arial" w:hAnsi="Arial" w:cs="Arial"/>
                <w:noProof/>
              </w:rPr>
              <w:t>Executive summary</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_Toc200658227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2</w:t>
            </w:r>
            <w:r w:rsidRPr="0054062A">
              <w:rPr>
                <w:rFonts w:ascii="Arial" w:hAnsi="Arial" w:cs="Arial"/>
                <w:noProof/>
                <w:webHidden/>
              </w:rPr>
              <w:fldChar w:fldCharType="end"/>
            </w:r>
          </w:hyperlink>
        </w:p>
        <w:p w14:paraId="0F73D979" w14:textId="509264FE" w:rsidR="0054062A" w:rsidRPr="0054062A" w:rsidRDefault="0054062A" w:rsidP="0054062A">
          <w:pPr>
            <w:pStyle w:val="TOC1"/>
            <w:tabs>
              <w:tab w:val="left" w:pos="480"/>
              <w:tab w:val="right" w:leader="dot" w:pos="9016"/>
            </w:tabs>
            <w:spacing w:line="360" w:lineRule="auto"/>
            <w:jc w:val="both"/>
            <w:rPr>
              <w:rFonts w:ascii="Arial" w:eastAsiaTheme="minorEastAsia" w:hAnsi="Arial" w:cs="Arial"/>
              <w:noProof/>
              <w:sz w:val="24"/>
              <w:szCs w:val="24"/>
              <w:lang w:eastAsia="en-GB"/>
            </w:rPr>
          </w:pPr>
          <w:hyperlink w:anchor="_Toc200658228" w:history="1">
            <w:r w:rsidRPr="0054062A">
              <w:rPr>
                <w:rStyle w:val="Hyperlink"/>
                <w:rFonts w:ascii="Arial" w:hAnsi="Arial" w:cs="Arial"/>
                <w:noProof/>
              </w:rPr>
              <w:t>1.</w:t>
            </w:r>
            <w:r w:rsidRPr="0054062A">
              <w:rPr>
                <w:rFonts w:ascii="Arial" w:eastAsiaTheme="minorEastAsia" w:hAnsi="Arial" w:cs="Arial"/>
                <w:noProof/>
                <w:sz w:val="24"/>
                <w:szCs w:val="24"/>
                <w:lang w:eastAsia="en-GB"/>
              </w:rPr>
              <w:tab/>
            </w:r>
            <w:r w:rsidRPr="0054062A">
              <w:rPr>
                <w:rStyle w:val="Hyperlink"/>
                <w:rFonts w:ascii="Arial" w:hAnsi="Arial" w:cs="Arial"/>
                <w:noProof/>
              </w:rPr>
              <w:t>Introduction</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_Toc200658228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5</w:t>
            </w:r>
            <w:r w:rsidRPr="0054062A">
              <w:rPr>
                <w:rFonts w:ascii="Arial" w:hAnsi="Arial" w:cs="Arial"/>
                <w:noProof/>
                <w:webHidden/>
              </w:rPr>
              <w:fldChar w:fldCharType="end"/>
            </w:r>
          </w:hyperlink>
        </w:p>
        <w:p w14:paraId="6A6AB585" w14:textId="7E8C4AA4" w:rsidR="0054062A" w:rsidRPr="0054062A" w:rsidRDefault="0054062A" w:rsidP="0054062A">
          <w:pPr>
            <w:pStyle w:val="TOC1"/>
            <w:tabs>
              <w:tab w:val="left" w:pos="480"/>
              <w:tab w:val="right" w:leader="dot" w:pos="9016"/>
            </w:tabs>
            <w:spacing w:line="360" w:lineRule="auto"/>
            <w:jc w:val="both"/>
            <w:rPr>
              <w:rFonts w:ascii="Arial" w:eastAsiaTheme="minorEastAsia" w:hAnsi="Arial" w:cs="Arial"/>
              <w:noProof/>
              <w:sz w:val="24"/>
              <w:szCs w:val="24"/>
              <w:lang w:eastAsia="en-GB"/>
            </w:rPr>
          </w:pPr>
          <w:hyperlink w:anchor="_Toc200658229" w:history="1">
            <w:r w:rsidRPr="0054062A">
              <w:rPr>
                <w:rStyle w:val="Hyperlink"/>
                <w:rFonts w:ascii="Arial" w:hAnsi="Arial" w:cs="Arial"/>
                <w:noProof/>
              </w:rPr>
              <w:t>2.</w:t>
            </w:r>
            <w:r w:rsidRPr="0054062A">
              <w:rPr>
                <w:rFonts w:ascii="Arial" w:eastAsiaTheme="minorEastAsia" w:hAnsi="Arial" w:cs="Arial"/>
                <w:noProof/>
                <w:sz w:val="24"/>
                <w:szCs w:val="24"/>
                <w:lang w:eastAsia="en-GB"/>
              </w:rPr>
              <w:tab/>
            </w:r>
            <w:r w:rsidRPr="0054062A">
              <w:rPr>
                <w:rStyle w:val="Hyperlink"/>
                <w:rFonts w:ascii="Arial" w:hAnsi="Arial" w:cs="Arial"/>
                <w:noProof/>
              </w:rPr>
              <w:t>Literature Review</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_Toc200658229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6</w:t>
            </w:r>
            <w:r w:rsidRPr="0054062A">
              <w:rPr>
                <w:rFonts w:ascii="Arial" w:hAnsi="Arial" w:cs="Arial"/>
                <w:noProof/>
                <w:webHidden/>
              </w:rPr>
              <w:fldChar w:fldCharType="end"/>
            </w:r>
          </w:hyperlink>
        </w:p>
        <w:p w14:paraId="1AC2A2DC" w14:textId="328A92E3" w:rsidR="0054062A" w:rsidRPr="0054062A" w:rsidRDefault="0054062A" w:rsidP="0054062A">
          <w:pPr>
            <w:pStyle w:val="TOC1"/>
            <w:tabs>
              <w:tab w:val="left" w:pos="480"/>
              <w:tab w:val="right" w:leader="dot" w:pos="9016"/>
            </w:tabs>
            <w:spacing w:line="360" w:lineRule="auto"/>
            <w:jc w:val="both"/>
            <w:rPr>
              <w:rFonts w:ascii="Arial" w:eastAsiaTheme="minorEastAsia" w:hAnsi="Arial" w:cs="Arial"/>
              <w:noProof/>
              <w:sz w:val="24"/>
              <w:szCs w:val="24"/>
              <w:lang w:eastAsia="en-GB"/>
            </w:rPr>
          </w:pPr>
          <w:hyperlink w:anchor="_Toc200658230" w:history="1">
            <w:r w:rsidRPr="0054062A">
              <w:rPr>
                <w:rStyle w:val="Hyperlink"/>
                <w:rFonts w:ascii="Arial" w:hAnsi="Arial" w:cs="Arial"/>
                <w:noProof/>
              </w:rPr>
              <w:t>3.</w:t>
            </w:r>
            <w:r w:rsidRPr="0054062A">
              <w:rPr>
                <w:rFonts w:ascii="Arial" w:eastAsiaTheme="minorEastAsia" w:hAnsi="Arial" w:cs="Arial"/>
                <w:noProof/>
                <w:sz w:val="24"/>
                <w:szCs w:val="24"/>
                <w:lang w:eastAsia="en-GB"/>
              </w:rPr>
              <w:tab/>
            </w:r>
            <w:r w:rsidRPr="0054062A">
              <w:rPr>
                <w:rStyle w:val="Hyperlink"/>
                <w:rFonts w:ascii="Arial" w:hAnsi="Arial" w:cs="Arial"/>
                <w:noProof/>
              </w:rPr>
              <w:t>Methods</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_Toc200658230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8</w:t>
            </w:r>
            <w:r w:rsidRPr="0054062A">
              <w:rPr>
                <w:rFonts w:ascii="Arial" w:hAnsi="Arial" w:cs="Arial"/>
                <w:noProof/>
                <w:webHidden/>
              </w:rPr>
              <w:fldChar w:fldCharType="end"/>
            </w:r>
          </w:hyperlink>
        </w:p>
        <w:p w14:paraId="37EE88D8" w14:textId="58DAFED4" w:rsidR="0054062A" w:rsidRPr="0054062A" w:rsidRDefault="0054062A" w:rsidP="0054062A">
          <w:pPr>
            <w:pStyle w:val="TOC1"/>
            <w:tabs>
              <w:tab w:val="left" w:pos="480"/>
              <w:tab w:val="right" w:leader="dot" w:pos="9016"/>
            </w:tabs>
            <w:spacing w:line="360" w:lineRule="auto"/>
            <w:jc w:val="both"/>
            <w:rPr>
              <w:rFonts w:ascii="Arial" w:eastAsiaTheme="minorEastAsia" w:hAnsi="Arial" w:cs="Arial"/>
              <w:noProof/>
              <w:sz w:val="24"/>
              <w:szCs w:val="24"/>
              <w:lang w:eastAsia="en-GB"/>
            </w:rPr>
          </w:pPr>
          <w:hyperlink w:anchor="_Toc200658231" w:history="1">
            <w:r w:rsidRPr="0054062A">
              <w:rPr>
                <w:rStyle w:val="Hyperlink"/>
                <w:rFonts w:ascii="Arial" w:hAnsi="Arial" w:cs="Arial"/>
                <w:noProof/>
              </w:rPr>
              <w:t>4.</w:t>
            </w:r>
            <w:r w:rsidRPr="0054062A">
              <w:rPr>
                <w:rFonts w:ascii="Arial" w:eastAsiaTheme="minorEastAsia" w:hAnsi="Arial" w:cs="Arial"/>
                <w:noProof/>
                <w:sz w:val="24"/>
                <w:szCs w:val="24"/>
                <w:lang w:eastAsia="en-GB"/>
              </w:rPr>
              <w:tab/>
            </w:r>
            <w:r w:rsidRPr="0054062A">
              <w:rPr>
                <w:rStyle w:val="Hyperlink"/>
                <w:rFonts w:ascii="Arial" w:hAnsi="Arial" w:cs="Arial"/>
                <w:noProof/>
              </w:rPr>
              <w:t>Hotel Overview and Findings</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_Toc200658231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10</w:t>
            </w:r>
            <w:r w:rsidRPr="0054062A">
              <w:rPr>
                <w:rFonts w:ascii="Arial" w:hAnsi="Arial" w:cs="Arial"/>
                <w:noProof/>
                <w:webHidden/>
              </w:rPr>
              <w:fldChar w:fldCharType="end"/>
            </w:r>
          </w:hyperlink>
        </w:p>
        <w:p w14:paraId="5504A5C7" w14:textId="0EEF447B" w:rsidR="0054062A" w:rsidRPr="0054062A" w:rsidRDefault="0054062A" w:rsidP="0054062A">
          <w:pPr>
            <w:pStyle w:val="TOC1"/>
            <w:tabs>
              <w:tab w:val="left" w:pos="720"/>
              <w:tab w:val="right" w:leader="dot" w:pos="9016"/>
            </w:tabs>
            <w:spacing w:line="360" w:lineRule="auto"/>
            <w:jc w:val="both"/>
            <w:rPr>
              <w:rFonts w:ascii="Arial" w:eastAsiaTheme="minorEastAsia" w:hAnsi="Arial" w:cs="Arial"/>
              <w:noProof/>
              <w:sz w:val="24"/>
              <w:szCs w:val="24"/>
              <w:lang w:eastAsia="en-GB"/>
            </w:rPr>
          </w:pPr>
          <w:hyperlink w:anchor="_Toc200658232" w:history="1">
            <w:r w:rsidRPr="0054062A">
              <w:rPr>
                <w:rStyle w:val="Hyperlink"/>
                <w:rFonts w:ascii="Arial" w:hAnsi="Arial" w:cs="Arial"/>
                <w:noProof/>
              </w:rPr>
              <w:t>4.1.</w:t>
            </w:r>
            <w:r w:rsidRPr="0054062A">
              <w:rPr>
                <w:rFonts w:ascii="Arial" w:eastAsiaTheme="minorEastAsia" w:hAnsi="Arial" w:cs="Arial"/>
                <w:noProof/>
                <w:sz w:val="24"/>
                <w:szCs w:val="24"/>
                <w:lang w:eastAsia="en-GB"/>
              </w:rPr>
              <w:tab/>
            </w:r>
            <w:r w:rsidRPr="0054062A">
              <w:rPr>
                <w:rStyle w:val="Hyperlink"/>
                <w:rFonts w:ascii="Arial" w:hAnsi="Arial" w:cs="Arial"/>
                <w:noProof/>
              </w:rPr>
              <w:t>SWOT Analysis</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_Toc200658232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11</w:t>
            </w:r>
            <w:r w:rsidRPr="0054062A">
              <w:rPr>
                <w:rFonts w:ascii="Arial" w:hAnsi="Arial" w:cs="Arial"/>
                <w:noProof/>
                <w:webHidden/>
              </w:rPr>
              <w:fldChar w:fldCharType="end"/>
            </w:r>
          </w:hyperlink>
        </w:p>
        <w:p w14:paraId="2E589EEF" w14:textId="31DD3948" w:rsidR="0054062A" w:rsidRPr="0054062A" w:rsidRDefault="0054062A" w:rsidP="0054062A">
          <w:pPr>
            <w:pStyle w:val="TOC1"/>
            <w:tabs>
              <w:tab w:val="left" w:pos="720"/>
              <w:tab w:val="right" w:leader="dot" w:pos="9016"/>
            </w:tabs>
            <w:spacing w:line="360" w:lineRule="auto"/>
            <w:jc w:val="both"/>
            <w:rPr>
              <w:rFonts w:ascii="Arial" w:eastAsiaTheme="minorEastAsia" w:hAnsi="Arial" w:cs="Arial"/>
              <w:noProof/>
              <w:sz w:val="24"/>
              <w:szCs w:val="24"/>
              <w:lang w:eastAsia="en-GB"/>
            </w:rPr>
          </w:pPr>
          <w:hyperlink w:anchor="_Toc200658233" w:history="1">
            <w:r w:rsidRPr="0054062A">
              <w:rPr>
                <w:rStyle w:val="Hyperlink"/>
                <w:rFonts w:ascii="Arial" w:hAnsi="Arial" w:cs="Arial"/>
                <w:noProof/>
              </w:rPr>
              <w:t>4.2.</w:t>
            </w:r>
            <w:r w:rsidRPr="0054062A">
              <w:rPr>
                <w:rFonts w:ascii="Arial" w:eastAsiaTheme="minorEastAsia" w:hAnsi="Arial" w:cs="Arial"/>
                <w:noProof/>
                <w:sz w:val="24"/>
                <w:szCs w:val="24"/>
                <w:lang w:eastAsia="en-GB"/>
              </w:rPr>
              <w:tab/>
            </w:r>
            <w:r w:rsidRPr="0054062A">
              <w:rPr>
                <w:rStyle w:val="Hyperlink"/>
                <w:rFonts w:ascii="Arial" w:hAnsi="Arial" w:cs="Arial"/>
                <w:noProof/>
              </w:rPr>
              <w:t>PESTLE</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_Toc200658233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12</w:t>
            </w:r>
            <w:r w:rsidRPr="0054062A">
              <w:rPr>
                <w:rFonts w:ascii="Arial" w:hAnsi="Arial" w:cs="Arial"/>
                <w:noProof/>
                <w:webHidden/>
              </w:rPr>
              <w:fldChar w:fldCharType="end"/>
            </w:r>
          </w:hyperlink>
        </w:p>
        <w:p w14:paraId="18D5EFEC" w14:textId="71DC8D2F" w:rsidR="0054062A" w:rsidRPr="0054062A" w:rsidRDefault="0054062A" w:rsidP="0054062A">
          <w:pPr>
            <w:pStyle w:val="TOC1"/>
            <w:tabs>
              <w:tab w:val="left" w:pos="720"/>
              <w:tab w:val="right" w:leader="dot" w:pos="9016"/>
            </w:tabs>
            <w:spacing w:line="360" w:lineRule="auto"/>
            <w:jc w:val="both"/>
            <w:rPr>
              <w:rFonts w:ascii="Arial" w:eastAsiaTheme="minorEastAsia" w:hAnsi="Arial" w:cs="Arial"/>
              <w:noProof/>
              <w:sz w:val="24"/>
              <w:szCs w:val="24"/>
              <w:lang w:eastAsia="en-GB"/>
            </w:rPr>
          </w:pPr>
          <w:hyperlink w:anchor="_Toc200658234" w:history="1">
            <w:r w:rsidRPr="0054062A">
              <w:rPr>
                <w:rStyle w:val="Hyperlink"/>
                <w:rFonts w:ascii="Arial" w:hAnsi="Arial" w:cs="Arial"/>
                <w:noProof/>
              </w:rPr>
              <w:t>4.3.</w:t>
            </w:r>
            <w:r w:rsidRPr="0054062A">
              <w:rPr>
                <w:rFonts w:ascii="Arial" w:eastAsiaTheme="minorEastAsia" w:hAnsi="Arial" w:cs="Arial"/>
                <w:noProof/>
                <w:sz w:val="24"/>
                <w:szCs w:val="24"/>
                <w:lang w:eastAsia="en-GB"/>
              </w:rPr>
              <w:tab/>
            </w:r>
            <w:r w:rsidRPr="0054062A">
              <w:rPr>
                <w:rStyle w:val="Hyperlink"/>
                <w:rFonts w:ascii="Arial" w:hAnsi="Arial" w:cs="Arial"/>
                <w:noProof/>
              </w:rPr>
              <w:t>Competitive landscape</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_Toc200658234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15</w:t>
            </w:r>
            <w:r w:rsidRPr="0054062A">
              <w:rPr>
                <w:rFonts w:ascii="Arial" w:hAnsi="Arial" w:cs="Arial"/>
                <w:noProof/>
                <w:webHidden/>
              </w:rPr>
              <w:fldChar w:fldCharType="end"/>
            </w:r>
          </w:hyperlink>
        </w:p>
        <w:p w14:paraId="6261F3F1" w14:textId="54097A5F" w:rsidR="0054062A" w:rsidRPr="0054062A" w:rsidRDefault="0054062A" w:rsidP="0054062A">
          <w:pPr>
            <w:pStyle w:val="TOC1"/>
            <w:tabs>
              <w:tab w:val="left" w:pos="720"/>
              <w:tab w:val="right" w:leader="dot" w:pos="9016"/>
            </w:tabs>
            <w:spacing w:line="360" w:lineRule="auto"/>
            <w:jc w:val="both"/>
            <w:rPr>
              <w:rFonts w:ascii="Arial" w:eastAsiaTheme="minorEastAsia" w:hAnsi="Arial" w:cs="Arial"/>
              <w:noProof/>
              <w:sz w:val="24"/>
              <w:szCs w:val="24"/>
              <w:lang w:eastAsia="en-GB"/>
            </w:rPr>
          </w:pPr>
          <w:hyperlink w:anchor="_Toc200658235" w:history="1">
            <w:r w:rsidRPr="0054062A">
              <w:rPr>
                <w:rStyle w:val="Hyperlink"/>
                <w:rFonts w:ascii="Arial" w:hAnsi="Arial" w:cs="Arial"/>
                <w:noProof/>
              </w:rPr>
              <w:t>4.4.</w:t>
            </w:r>
            <w:r w:rsidRPr="0054062A">
              <w:rPr>
                <w:rFonts w:ascii="Arial" w:eastAsiaTheme="minorEastAsia" w:hAnsi="Arial" w:cs="Arial"/>
                <w:noProof/>
                <w:sz w:val="24"/>
                <w:szCs w:val="24"/>
                <w:lang w:eastAsia="en-GB"/>
              </w:rPr>
              <w:tab/>
            </w:r>
            <w:r w:rsidRPr="0054062A">
              <w:rPr>
                <w:rStyle w:val="Hyperlink"/>
                <w:rFonts w:ascii="Arial" w:hAnsi="Arial" w:cs="Arial"/>
                <w:noProof/>
              </w:rPr>
              <w:t>Netnography</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_Toc200658235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16</w:t>
            </w:r>
            <w:r w:rsidRPr="0054062A">
              <w:rPr>
                <w:rFonts w:ascii="Arial" w:hAnsi="Arial" w:cs="Arial"/>
                <w:noProof/>
                <w:webHidden/>
              </w:rPr>
              <w:fldChar w:fldCharType="end"/>
            </w:r>
          </w:hyperlink>
        </w:p>
        <w:p w14:paraId="62D86221" w14:textId="78DAC052" w:rsidR="0054062A" w:rsidRPr="0054062A" w:rsidRDefault="0054062A" w:rsidP="0054062A">
          <w:pPr>
            <w:pStyle w:val="TOC1"/>
            <w:tabs>
              <w:tab w:val="left" w:pos="480"/>
              <w:tab w:val="right" w:leader="dot" w:pos="9016"/>
            </w:tabs>
            <w:spacing w:line="360" w:lineRule="auto"/>
            <w:jc w:val="both"/>
            <w:rPr>
              <w:rFonts w:ascii="Arial" w:eastAsiaTheme="minorEastAsia" w:hAnsi="Arial" w:cs="Arial"/>
              <w:noProof/>
              <w:sz w:val="24"/>
              <w:szCs w:val="24"/>
              <w:lang w:eastAsia="en-GB"/>
            </w:rPr>
          </w:pPr>
          <w:hyperlink w:anchor="_Toc200658236" w:history="1">
            <w:r w:rsidRPr="0054062A">
              <w:rPr>
                <w:rStyle w:val="Hyperlink"/>
                <w:rFonts w:ascii="Arial" w:hAnsi="Arial" w:cs="Arial"/>
                <w:noProof/>
              </w:rPr>
              <w:t>5.</w:t>
            </w:r>
            <w:r w:rsidRPr="0054062A">
              <w:rPr>
                <w:rFonts w:ascii="Arial" w:eastAsiaTheme="minorEastAsia" w:hAnsi="Arial" w:cs="Arial"/>
                <w:noProof/>
                <w:sz w:val="24"/>
                <w:szCs w:val="24"/>
                <w:lang w:eastAsia="en-GB"/>
              </w:rPr>
              <w:tab/>
            </w:r>
            <w:r w:rsidRPr="0054062A">
              <w:rPr>
                <w:rStyle w:val="Hyperlink"/>
                <w:rFonts w:ascii="Arial" w:hAnsi="Arial" w:cs="Arial"/>
                <w:noProof/>
              </w:rPr>
              <w:t>Discussion</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_Toc200658236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17</w:t>
            </w:r>
            <w:r w:rsidRPr="0054062A">
              <w:rPr>
                <w:rFonts w:ascii="Arial" w:hAnsi="Arial" w:cs="Arial"/>
                <w:noProof/>
                <w:webHidden/>
              </w:rPr>
              <w:fldChar w:fldCharType="end"/>
            </w:r>
          </w:hyperlink>
        </w:p>
        <w:p w14:paraId="22397650" w14:textId="593775BE" w:rsidR="0054062A" w:rsidRPr="0054062A" w:rsidRDefault="0054062A" w:rsidP="0054062A">
          <w:pPr>
            <w:pStyle w:val="TOC1"/>
            <w:tabs>
              <w:tab w:val="left" w:pos="480"/>
              <w:tab w:val="right" w:leader="dot" w:pos="9016"/>
            </w:tabs>
            <w:spacing w:line="360" w:lineRule="auto"/>
            <w:jc w:val="both"/>
            <w:rPr>
              <w:rFonts w:ascii="Arial" w:eastAsiaTheme="minorEastAsia" w:hAnsi="Arial" w:cs="Arial"/>
              <w:noProof/>
              <w:sz w:val="24"/>
              <w:szCs w:val="24"/>
              <w:lang w:eastAsia="en-GB"/>
            </w:rPr>
          </w:pPr>
          <w:hyperlink w:anchor="_Toc200658237" w:history="1">
            <w:r w:rsidRPr="0054062A">
              <w:rPr>
                <w:rStyle w:val="Hyperlink"/>
                <w:rFonts w:ascii="Arial" w:hAnsi="Arial" w:cs="Arial"/>
                <w:noProof/>
              </w:rPr>
              <w:t>6.</w:t>
            </w:r>
            <w:r w:rsidRPr="0054062A">
              <w:rPr>
                <w:rFonts w:ascii="Arial" w:eastAsiaTheme="minorEastAsia" w:hAnsi="Arial" w:cs="Arial"/>
                <w:noProof/>
                <w:sz w:val="24"/>
                <w:szCs w:val="24"/>
                <w:lang w:eastAsia="en-GB"/>
              </w:rPr>
              <w:tab/>
            </w:r>
            <w:r w:rsidRPr="0054062A">
              <w:rPr>
                <w:rStyle w:val="Hyperlink"/>
                <w:rFonts w:ascii="Arial" w:hAnsi="Arial" w:cs="Arial"/>
                <w:noProof/>
              </w:rPr>
              <w:t>Conclusion</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_Toc200658237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23</w:t>
            </w:r>
            <w:r w:rsidRPr="0054062A">
              <w:rPr>
                <w:rFonts w:ascii="Arial" w:hAnsi="Arial" w:cs="Arial"/>
                <w:noProof/>
                <w:webHidden/>
              </w:rPr>
              <w:fldChar w:fldCharType="end"/>
            </w:r>
          </w:hyperlink>
        </w:p>
        <w:p w14:paraId="117CAB3D" w14:textId="68536866" w:rsidR="0054062A" w:rsidRPr="0054062A" w:rsidRDefault="0054062A" w:rsidP="0054062A">
          <w:pPr>
            <w:pStyle w:val="TOC1"/>
            <w:tabs>
              <w:tab w:val="left" w:pos="480"/>
              <w:tab w:val="right" w:leader="dot" w:pos="9016"/>
            </w:tabs>
            <w:spacing w:line="360" w:lineRule="auto"/>
            <w:jc w:val="both"/>
            <w:rPr>
              <w:rFonts w:ascii="Arial" w:eastAsiaTheme="minorEastAsia" w:hAnsi="Arial" w:cs="Arial"/>
              <w:noProof/>
              <w:sz w:val="24"/>
              <w:szCs w:val="24"/>
              <w:lang w:eastAsia="en-GB"/>
            </w:rPr>
          </w:pPr>
          <w:hyperlink w:anchor="_Toc200658238" w:history="1">
            <w:r w:rsidRPr="0054062A">
              <w:rPr>
                <w:rStyle w:val="Hyperlink"/>
                <w:rFonts w:ascii="Arial" w:hAnsi="Arial" w:cs="Arial"/>
                <w:noProof/>
              </w:rPr>
              <w:t>7.</w:t>
            </w:r>
            <w:r w:rsidRPr="0054062A">
              <w:rPr>
                <w:rFonts w:ascii="Arial" w:eastAsiaTheme="minorEastAsia" w:hAnsi="Arial" w:cs="Arial"/>
                <w:noProof/>
                <w:sz w:val="24"/>
                <w:szCs w:val="24"/>
                <w:lang w:eastAsia="en-GB"/>
              </w:rPr>
              <w:tab/>
            </w:r>
            <w:r w:rsidRPr="0054062A">
              <w:rPr>
                <w:rStyle w:val="Hyperlink"/>
                <w:rFonts w:ascii="Arial" w:hAnsi="Arial" w:cs="Arial"/>
                <w:noProof/>
              </w:rPr>
              <w:t>Recommendation</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_Toc200658238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24</w:t>
            </w:r>
            <w:r w:rsidRPr="0054062A">
              <w:rPr>
                <w:rFonts w:ascii="Arial" w:hAnsi="Arial" w:cs="Arial"/>
                <w:noProof/>
                <w:webHidden/>
              </w:rPr>
              <w:fldChar w:fldCharType="end"/>
            </w:r>
          </w:hyperlink>
        </w:p>
        <w:p w14:paraId="76C20445" w14:textId="3889CFEA" w:rsidR="0054062A" w:rsidRPr="0054062A" w:rsidRDefault="0054062A" w:rsidP="0054062A">
          <w:pPr>
            <w:pStyle w:val="TOC1"/>
            <w:tabs>
              <w:tab w:val="right" w:leader="dot" w:pos="9016"/>
            </w:tabs>
            <w:spacing w:line="360" w:lineRule="auto"/>
            <w:jc w:val="both"/>
            <w:rPr>
              <w:rFonts w:ascii="Arial" w:eastAsiaTheme="minorEastAsia" w:hAnsi="Arial" w:cs="Arial"/>
              <w:noProof/>
              <w:sz w:val="24"/>
              <w:szCs w:val="24"/>
              <w:lang w:eastAsia="en-GB"/>
            </w:rPr>
          </w:pPr>
          <w:hyperlink w:anchor="_Toc200658239" w:history="1">
            <w:r w:rsidRPr="0054062A">
              <w:rPr>
                <w:rStyle w:val="Hyperlink"/>
                <w:rFonts w:ascii="Arial" w:hAnsi="Arial" w:cs="Arial"/>
                <w:noProof/>
              </w:rPr>
              <w:t>References</w:t>
            </w:r>
            <w:r w:rsidRPr="0054062A">
              <w:rPr>
                <w:rFonts w:ascii="Arial" w:hAnsi="Arial" w:cs="Arial"/>
                <w:noProof/>
                <w:webHidden/>
              </w:rPr>
              <w:tab/>
            </w:r>
            <w:r w:rsidRPr="0054062A">
              <w:rPr>
                <w:rFonts w:ascii="Arial" w:hAnsi="Arial" w:cs="Arial"/>
                <w:noProof/>
                <w:webHidden/>
              </w:rPr>
              <w:fldChar w:fldCharType="begin"/>
            </w:r>
            <w:r w:rsidRPr="0054062A">
              <w:rPr>
                <w:rFonts w:ascii="Arial" w:hAnsi="Arial" w:cs="Arial"/>
                <w:noProof/>
                <w:webHidden/>
              </w:rPr>
              <w:instrText xml:space="preserve"> PAGEREF _Toc200658239 \h </w:instrText>
            </w:r>
            <w:r w:rsidRPr="0054062A">
              <w:rPr>
                <w:rFonts w:ascii="Arial" w:hAnsi="Arial" w:cs="Arial"/>
                <w:noProof/>
                <w:webHidden/>
              </w:rPr>
            </w:r>
            <w:r w:rsidRPr="0054062A">
              <w:rPr>
                <w:rFonts w:ascii="Arial" w:hAnsi="Arial" w:cs="Arial"/>
                <w:noProof/>
                <w:webHidden/>
              </w:rPr>
              <w:fldChar w:fldCharType="separate"/>
            </w:r>
            <w:r w:rsidR="00F03486">
              <w:rPr>
                <w:rFonts w:ascii="Arial" w:hAnsi="Arial" w:cs="Arial"/>
                <w:noProof/>
                <w:webHidden/>
              </w:rPr>
              <w:t>26</w:t>
            </w:r>
            <w:r w:rsidRPr="0054062A">
              <w:rPr>
                <w:rFonts w:ascii="Arial" w:hAnsi="Arial" w:cs="Arial"/>
                <w:noProof/>
                <w:webHidden/>
              </w:rPr>
              <w:fldChar w:fldCharType="end"/>
            </w:r>
          </w:hyperlink>
        </w:p>
        <w:p w14:paraId="6591B22F" w14:textId="0C2AC55A" w:rsidR="0054062A" w:rsidRPr="0054062A" w:rsidRDefault="0054062A" w:rsidP="0054062A">
          <w:pPr>
            <w:spacing w:line="360" w:lineRule="auto"/>
            <w:jc w:val="both"/>
            <w:rPr>
              <w:rFonts w:ascii="Arial" w:hAnsi="Arial" w:cs="Arial"/>
            </w:rPr>
          </w:pPr>
          <w:r w:rsidRPr="0054062A">
            <w:rPr>
              <w:rFonts w:ascii="Arial" w:hAnsi="Arial" w:cs="Arial"/>
              <w:b/>
              <w:bCs/>
              <w:noProof/>
            </w:rPr>
            <w:fldChar w:fldCharType="end"/>
          </w:r>
        </w:p>
      </w:sdtContent>
    </w:sdt>
    <w:p w14:paraId="5DFCAB9C" w14:textId="77777777" w:rsidR="000A0EE7" w:rsidRDefault="000A0EE7"/>
    <w:p w14:paraId="46359DD8" w14:textId="77777777" w:rsidR="000A0EE7" w:rsidRDefault="000A0EE7"/>
    <w:p w14:paraId="38A6C879" w14:textId="6A9222AF" w:rsidR="0054062A" w:rsidRPr="0054062A" w:rsidRDefault="0054062A">
      <w:pPr>
        <w:rPr>
          <w:rFonts w:ascii="Arial" w:hAnsi="Arial" w:cs="Arial"/>
          <w:b/>
          <w:bCs/>
          <w:i/>
          <w:iCs/>
          <w:color w:val="C00000"/>
        </w:rPr>
      </w:pPr>
      <w:r w:rsidRPr="0054062A">
        <w:rPr>
          <w:rFonts w:ascii="Arial" w:hAnsi="Arial" w:cs="Arial"/>
          <w:b/>
          <w:bCs/>
          <w:i/>
          <w:iCs/>
          <w:color w:val="C00000"/>
        </w:rPr>
        <w:t xml:space="preserve">I declare that I have not used AI in the creation of this work. </w:t>
      </w:r>
    </w:p>
    <w:p w14:paraId="076D15AB" w14:textId="77777777" w:rsidR="000A0EE7" w:rsidRDefault="000A0EE7"/>
    <w:p w14:paraId="338AC098" w14:textId="77777777" w:rsidR="000A0EE7" w:rsidRDefault="000A0EE7"/>
    <w:p w14:paraId="69C240AB" w14:textId="77777777" w:rsidR="000A0EE7" w:rsidRDefault="000A0EE7"/>
    <w:p w14:paraId="659D2DB8" w14:textId="77777777" w:rsidR="000A0EE7" w:rsidRDefault="000A0EE7"/>
    <w:p w14:paraId="6381A291" w14:textId="77777777" w:rsidR="000A0EE7" w:rsidRDefault="000A0EE7"/>
    <w:p w14:paraId="4C7D8A74" w14:textId="77777777" w:rsidR="000A0EE7" w:rsidRDefault="000A0EE7"/>
    <w:p w14:paraId="23A2CC08" w14:textId="77777777" w:rsidR="000A0EE7" w:rsidRDefault="000A0EE7"/>
    <w:p w14:paraId="630449DE" w14:textId="77777777" w:rsidR="000A0EE7" w:rsidRDefault="000A0EE7"/>
    <w:p w14:paraId="381184F9" w14:textId="77777777" w:rsidR="000A0EE7" w:rsidRDefault="000A0EE7"/>
    <w:p w14:paraId="5C43F7FD" w14:textId="77777777" w:rsidR="000A0EE7" w:rsidRDefault="000A0EE7"/>
    <w:p w14:paraId="7212A611" w14:textId="77777777" w:rsidR="000A0EE7" w:rsidRDefault="000A0EE7"/>
    <w:p w14:paraId="4116EE31" w14:textId="77777777" w:rsidR="000A0EE7" w:rsidRPr="0054062A" w:rsidRDefault="000A0EE7">
      <w:pPr>
        <w:rPr>
          <w:rFonts w:ascii="Arial" w:hAnsi="Arial" w:cs="Arial"/>
        </w:rPr>
      </w:pPr>
    </w:p>
    <w:p w14:paraId="09308A82" w14:textId="6F3A3DAA" w:rsidR="000A0EE7" w:rsidRPr="00F03486" w:rsidRDefault="000A0EE7" w:rsidP="00F03486">
      <w:pPr>
        <w:pStyle w:val="EU"/>
        <w:numPr>
          <w:ilvl w:val="0"/>
          <w:numId w:val="1"/>
        </w:numPr>
        <w:spacing w:line="360" w:lineRule="auto"/>
        <w:rPr>
          <w:color w:val="000000" w:themeColor="text1"/>
        </w:rPr>
      </w:pPr>
      <w:bookmarkStart w:id="1" w:name="_Toc200658228"/>
      <w:r w:rsidRPr="00F03486">
        <w:rPr>
          <w:color w:val="000000" w:themeColor="text1"/>
        </w:rPr>
        <w:t>Introduction</w:t>
      </w:r>
      <w:bookmarkEnd w:id="1"/>
      <w:r w:rsidRPr="00F03486">
        <w:rPr>
          <w:color w:val="000000" w:themeColor="text1"/>
        </w:rPr>
        <w:t xml:space="preserve"> </w:t>
      </w:r>
    </w:p>
    <w:p w14:paraId="1BA3A99A" w14:textId="77777777" w:rsidR="00F03486" w:rsidRPr="00F03486" w:rsidRDefault="000A0EE7" w:rsidP="00F03486">
      <w:pPr>
        <w:spacing w:line="360" w:lineRule="auto"/>
        <w:jc w:val="both"/>
        <w:rPr>
          <w:rFonts w:ascii="Arial" w:hAnsi="Arial" w:cs="Arial"/>
          <w:color w:val="000000" w:themeColor="text1"/>
          <w:sz w:val="24"/>
          <w:szCs w:val="24"/>
          <w:lang w:eastAsia="en-GB"/>
        </w:rPr>
      </w:pPr>
      <w:r w:rsidRPr="00F03486">
        <w:rPr>
          <w:rFonts w:ascii="Arial" w:hAnsi="Arial" w:cs="Arial"/>
          <w:color w:val="000000" w:themeColor="text1"/>
          <w:sz w:val="24"/>
          <w:szCs w:val="24"/>
          <w:lang w:eastAsia="en-GB"/>
        </w:rPr>
        <w:t>The hospitality industry faces major challenges from buffet food waste which creates both economic inefficiencies and environmental concerns. Millions of tonnes of avoidable food waste produced annually by global hospitality operations demonstrate grave resource management inefficiencies while highlighting social inequity due to edible food being discarded in landfills</w:t>
      </w:r>
      <w:r w:rsidR="000C638E" w:rsidRPr="00F03486">
        <w:rPr>
          <w:rFonts w:ascii="Arial" w:hAnsi="Arial" w:cs="Arial"/>
          <w:sz w:val="24"/>
          <w:szCs w:val="24"/>
        </w:rPr>
        <w:t xml:space="preserve"> </w:t>
      </w:r>
      <w:r w:rsidR="000C638E" w:rsidRPr="00F03486">
        <w:rPr>
          <w:rFonts w:ascii="Arial" w:hAnsi="Arial" w:cs="Arial"/>
          <w:color w:val="000000" w:themeColor="text1"/>
          <w:sz w:val="24"/>
          <w:szCs w:val="24"/>
          <w:lang w:eastAsia="en-GB"/>
        </w:rPr>
        <w:t>(Wang, Yuan and Tang, 2021)</w:t>
      </w:r>
      <w:r w:rsidRPr="00F03486">
        <w:rPr>
          <w:rFonts w:ascii="Arial" w:hAnsi="Arial" w:cs="Arial"/>
          <w:color w:val="000000" w:themeColor="text1"/>
          <w:sz w:val="24"/>
          <w:szCs w:val="24"/>
          <w:lang w:eastAsia="en-GB"/>
        </w:rPr>
        <w:t>. Research findings suggest that buffet operations produce food waste levels between twenty to thirty per cent of all prepared food which results in major losses of resources and profits (</w:t>
      </w:r>
      <w:proofErr w:type="spellStart"/>
      <w:r w:rsidRPr="00F03486">
        <w:rPr>
          <w:rFonts w:ascii="Arial" w:hAnsi="Arial" w:cs="Arial"/>
          <w:color w:val="000000" w:themeColor="text1"/>
          <w:sz w:val="24"/>
          <w:szCs w:val="24"/>
          <w:lang w:eastAsia="en-GB"/>
        </w:rPr>
        <w:t>Papargyropoulou</w:t>
      </w:r>
      <w:proofErr w:type="spellEnd"/>
      <w:r w:rsidRPr="00F03486">
        <w:rPr>
          <w:rFonts w:ascii="Arial" w:hAnsi="Arial" w:cs="Arial"/>
          <w:color w:val="000000" w:themeColor="text1"/>
          <w:sz w:val="24"/>
          <w:szCs w:val="24"/>
          <w:lang w:eastAsia="en-GB"/>
        </w:rPr>
        <w:t xml:space="preserve"> and Wright, 2014). Buffet hotel operations face challenges in maintaining guest satisfaction while minimizing surplus food disposal that creates greenhouse gas emissions which conflict with their corporate sustainability objectives </w:t>
      </w:r>
      <w:r w:rsidRPr="00F03486">
        <w:rPr>
          <w:rFonts w:ascii="Arial" w:hAnsi="Arial" w:cs="Arial"/>
          <w:color w:val="000000" w:themeColor="text1"/>
          <w:sz w:val="24"/>
          <w:szCs w:val="24"/>
          <w:lang w:eastAsia="en-GB"/>
        </w:rPr>
        <w:lastRenderedPageBreak/>
        <w:t>(</w:t>
      </w:r>
      <w:r w:rsidR="00F03486" w:rsidRPr="00F03486">
        <w:rPr>
          <w:rFonts w:ascii="Arial" w:hAnsi="Arial" w:cs="Arial"/>
          <w:color w:val="000000" w:themeColor="text1"/>
          <w:sz w:val="24"/>
          <w:szCs w:val="24"/>
          <w:lang w:eastAsia="en-GB"/>
        </w:rPr>
        <w:t>Munir, 2022</w:t>
      </w:r>
      <w:r w:rsidRPr="00F03486">
        <w:rPr>
          <w:rFonts w:ascii="Arial" w:hAnsi="Arial" w:cs="Arial"/>
          <w:color w:val="000000" w:themeColor="text1"/>
          <w:sz w:val="24"/>
          <w:szCs w:val="24"/>
          <w:lang w:eastAsia="en-GB"/>
        </w:rPr>
        <w:t>). The fixed service hours and staffing rosters serve as operational barriers that hinder the adaptation of portion sizes and menu offerings in response to fluctuating demand. Awareness of food waste issues continues to rise yet hotel chains show uneven implementation of solutions especially in midscale hotels where budget constraints limit innovative measures (</w:t>
      </w:r>
      <w:proofErr w:type="spellStart"/>
      <w:r w:rsidRPr="00F03486">
        <w:rPr>
          <w:rFonts w:ascii="Arial" w:hAnsi="Arial" w:cs="Arial"/>
          <w:color w:val="000000" w:themeColor="text1"/>
          <w:sz w:val="24"/>
          <w:szCs w:val="24"/>
          <w:lang w:eastAsia="en-GB"/>
        </w:rPr>
        <w:t>Aschemann</w:t>
      </w:r>
      <w:proofErr w:type="spellEnd"/>
      <w:r w:rsidRPr="00F03486">
        <w:rPr>
          <w:rFonts w:ascii="Arial" w:hAnsi="Arial" w:cs="Arial"/>
          <w:color w:val="000000" w:themeColor="text1"/>
          <w:sz w:val="24"/>
          <w:szCs w:val="24"/>
          <w:lang w:eastAsia="en-GB"/>
        </w:rPr>
        <w:t xml:space="preserve">-Witzel and de Hooge, 2018). The Hilton Garden Inn Doncaster Racecourse presents a relevant case study because its standard buffet model results in up to thirty per cent food waste during peak </w:t>
      </w:r>
      <w:proofErr w:type="gramStart"/>
      <w:r w:rsidRPr="00F03486">
        <w:rPr>
          <w:rFonts w:ascii="Arial" w:hAnsi="Arial" w:cs="Arial"/>
          <w:color w:val="000000" w:themeColor="text1"/>
          <w:sz w:val="24"/>
          <w:szCs w:val="24"/>
          <w:lang w:eastAsia="en-GB"/>
        </w:rPr>
        <w:t>times</w:t>
      </w:r>
      <w:proofErr w:type="gramEnd"/>
      <w:r w:rsidRPr="00F03486">
        <w:rPr>
          <w:rFonts w:ascii="Arial" w:hAnsi="Arial" w:cs="Arial"/>
          <w:color w:val="000000" w:themeColor="text1"/>
          <w:sz w:val="24"/>
          <w:szCs w:val="24"/>
          <w:lang w:eastAsia="en-GB"/>
        </w:rPr>
        <w:t xml:space="preserve">. This research project investigates economical staff-based methods to minimize buffet waste while maintaining service efficiency and guest satisfaction. </w:t>
      </w:r>
    </w:p>
    <w:p w14:paraId="669749A2" w14:textId="77777777" w:rsidR="00F03486" w:rsidRPr="00F03486" w:rsidRDefault="000A0EE7" w:rsidP="00F03486">
      <w:pPr>
        <w:spacing w:line="360" w:lineRule="auto"/>
        <w:jc w:val="both"/>
        <w:rPr>
          <w:rFonts w:ascii="Arial" w:hAnsi="Arial" w:cs="Arial"/>
          <w:color w:val="000000" w:themeColor="text1"/>
          <w:sz w:val="24"/>
          <w:szCs w:val="24"/>
          <w:lang w:eastAsia="en-GB"/>
        </w:rPr>
      </w:pPr>
      <w:r w:rsidRPr="00F03486">
        <w:rPr>
          <w:rFonts w:ascii="Arial" w:hAnsi="Arial" w:cs="Arial"/>
          <w:color w:val="000000" w:themeColor="text1"/>
          <w:sz w:val="24"/>
          <w:szCs w:val="24"/>
          <w:lang w:eastAsia="en-GB"/>
        </w:rPr>
        <w:t xml:space="preserve">The research will explore three main research questions. </w:t>
      </w:r>
    </w:p>
    <w:p w14:paraId="34BA07CB" w14:textId="77777777" w:rsidR="00F03486" w:rsidRPr="00F03486" w:rsidRDefault="000A0EE7" w:rsidP="00F03486">
      <w:pPr>
        <w:pStyle w:val="ListParagraph"/>
        <w:numPr>
          <w:ilvl w:val="0"/>
          <w:numId w:val="3"/>
        </w:numPr>
        <w:spacing w:line="360" w:lineRule="auto"/>
        <w:jc w:val="both"/>
        <w:rPr>
          <w:rFonts w:ascii="Arial" w:hAnsi="Arial" w:cs="Arial"/>
          <w:color w:val="000000" w:themeColor="text1"/>
          <w:sz w:val="24"/>
          <w:szCs w:val="24"/>
          <w:lang w:eastAsia="en-GB"/>
        </w:rPr>
      </w:pPr>
      <w:r w:rsidRPr="00F03486">
        <w:rPr>
          <w:rFonts w:ascii="Arial" w:hAnsi="Arial" w:cs="Arial"/>
          <w:color w:val="000000" w:themeColor="text1"/>
          <w:sz w:val="24"/>
          <w:szCs w:val="24"/>
          <w:lang w:eastAsia="en-GB"/>
        </w:rPr>
        <w:t xml:space="preserve">What specific elements lead to food waste production when operating buffets at the subject hotel? </w:t>
      </w:r>
    </w:p>
    <w:p w14:paraId="5B73A640" w14:textId="77777777" w:rsidR="00F03486" w:rsidRPr="00F03486" w:rsidRDefault="000A0EE7" w:rsidP="00F03486">
      <w:pPr>
        <w:pStyle w:val="ListParagraph"/>
        <w:numPr>
          <w:ilvl w:val="0"/>
          <w:numId w:val="3"/>
        </w:numPr>
        <w:spacing w:line="360" w:lineRule="auto"/>
        <w:jc w:val="both"/>
        <w:rPr>
          <w:rFonts w:ascii="Arial" w:hAnsi="Arial" w:cs="Arial"/>
          <w:color w:val="000000" w:themeColor="text1"/>
          <w:sz w:val="24"/>
          <w:szCs w:val="24"/>
          <w:lang w:eastAsia="en-GB"/>
        </w:rPr>
      </w:pPr>
      <w:r w:rsidRPr="00F03486">
        <w:rPr>
          <w:rFonts w:ascii="Arial" w:hAnsi="Arial" w:cs="Arial"/>
          <w:color w:val="000000" w:themeColor="text1"/>
          <w:sz w:val="24"/>
          <w:szCs w:val="24"/>
          <w:lang w:eastAsia="en-GB"/>
        </w:rPr>
        <w:t xml:space="preserve">Which proven interventions can prevent waste at its origin while fitting within staff abilities and resource limits? </w:t>
      </w:r>
    </w:p>
    <w:p w14:paraId="52750EB7" w14:textId="77777777" w:rsidR="00F03486" w:rsidRPr="00F03486" w:rsidRDefault="000A0EE7" w:rsidP="00F03486">
      <w:pPr>
        <w:pStyle w:val="ListParagraph"/>
        <w:numPr>
          <w:ilvl w:val="0"/>
          <w:numId w:val="3"/>
        </w:numPr>
        <w:spacing w:line="360" w:lineRule="auto"/>
        <w:jc w:val="both"/>
        <w:rPr>
          <w:rFonts w:ascii="Arial" w:hAnsi="Arial" w:cs="Arial"/>
          <w:color w:val="000000" w:themeColor="text1"/>
          <w:sz w:val="24"/>
          <w:szCs w:val="24"/>
          <w:lang w:eastAsia="en-GB"/>
        </w:rPr>
      </w:pPr>
      <w:r w:rsidRPr="00F03486">
        <w:rPr>
          <w:rFonts w:ascii="Arial" w:hAnsi="Arial" w:cs="Arial"/>
          <w:color w:val="000000" w:themeColor="text1"/>
          <w:sz w:val="24"/>
          <w:szCs w:val="24"/>
          <w:lang w:eastAsia="en-GB"/>
        </w:rPr>
        <w:t xml:space="preserve">What impact do suggested measures hold over guest satisfaction levels and hotel profit margins? </w:t>
      </w:r>
    </w:p>
    <w:p w14:paraId="7DEB6A06" w14:textId="7EBDCD2C" w:rsidR="000A0EE7" w:rsidRPr="00F03486" w:rsidRDefault="000A0EE7" w:rsidP="00F03486">
      <w:pPr>
        <w:spacing w:line="360" w:lineRule="auto"/>
        <w:jc w:val="both"/>
        <w:rPr>
          <w:rFonts w:ascii="Arial" w:hAnsi="Arial" w:cs="Arial"/>
          <w:color w:val="000000" w:themeColor="text1"/>
          <w:sz w:val="24"/>
          <w:szCs w:val="24"/>
          <w:lang w:eastAsia="en-GB"/>
        </w:rPr>
      </w:pPr>
      <w:r w:rsidRPr="00F03486">
        <w:rPr>
          <w:rFonts w:ascii="Arial" w:hAnsi="Arial" w:cs="Arial"/>
          <w:color w:val="000000" w:themeColor="text1"/>
          <w:sz w:val="24"/>
          <w:szCs w:val="24"/>
          <w:lang w:eastAsia="en-GB"/>
        </w:rPr>
        <w:t>The study will use mixed-methods research to accomplish its goals by integrating direct waste audits with staff interviews and guest surveys while also comparing results to industry best practices. The project will produce practical recommendations customized for the hotel’s operations along with an evaluative framework to continuously monitor waste. This study merges food waste management theories with practical solutions to improve buffet operations' environmental performance and cost efficiency while providing a model that other Hilton Garden Inn mid-tier hotels can adopt (Quested and Johnson, 2009). The research conclusions will add value to sustainable hospitality management conversations while helping create scalable interventions that combine environmental care with high-quality guest service (Ruiz-</w:t>
      </w:r>
      <w:proofErr w:type="spellStart"/>
      <w:r w:rsidRPr="00F03486">
        <w:rPr>
          <w:rFonts w:ascii="Arial" w:hAnsi="Arial" w:cs="Arial"/>
          <w:color w:val="000000" w:themeColor="text1"/>
          <w:sz w:val="24"/>
          <w:szCs w:val="24"/>
          <w:lang w:eastAsia="en-GB"/>
        </w:rPr>
        <w:t>Salmón</w:t>
      </w:r>
      <w:proofErr w:type="spellEnd"/>
      <w:r w:rsidRPr="00F03486">
        <w:rPr>
          <w:rFonts w:ascii="Arial" w:hAnsi="Arial" w:cs="Arial"/>
          <w:color w:val="000000" w:themeColor="text1"/>
          <w:sz w:val="24"/>
          <w:szCs w:val="24"/>
          <w:lang w:eastAsia="en-GB"/>
        </w:rPr>
        <w:t xml:space="preserve"> and </w:t>
      </w:r>
      <w:proofErr w:type="spellStart"/>
      <w:r w:rsidRPr="00F03486">
        <w:rPr>
          <w:rFonts w:ascii="Arial" w:hAnsi="Arial" w:cs="Arial"/>
          <w:color w:val="000000" w:themeColor="text1"/>
          <w:sz w:val="24"/>
          <w:szCs w:val="24"/>
          <w:lang w:eastAsia="en-GB"/>
        </w:rPr>
        <w:t>Ceña</w:t>
      </w:r>
      <w:proofErr w:type="spellEnd"/>
      <w:r w:rsidRPr="00F03486">
        <w:rPr>
          <w:rFonts w:ascii="Arial" w:hAnsi="Arial" w:cs="Arial"/>
          <w:color w:val="000000" w:themeColor="text1"/>
          <w:sz w:val="24"/>
          <w:szCs w:val="24"/>
          <w:lang w:eastAsia="en-GB"/>
        </w:rPr>
        <w:t xml:space="preserve">, 2015). This project </w:t>
      </w:r>
      <w:proofErr w:type="spellStart"/>
      <w:r w:rsidRPr="00F03486">
        <w:rPr>
          <w:rFonts w:ascii="Arial" w:hAnsi="Arial" w:cs="Arial"/>
          <w:color w:val="000000" w:themeColor="text1"/>
          <w:sz w:val="24"/>
          <w:szCs w:val="24"/>
          <w:lang w:eastAsia="en-GB"/>
        </w:rPr>
        <w:t>analyzes</w:t>
      </w:r>
      <w:proofErr w:type="spellEnd"/>
      <w:r w:rsidRPr="00F03486">
        <w:rPr>
          <w:rFonts w:ascii="Arial" w:hAnsi="Arial" w:cs="Arial"/>
          <w:color w:val="000000" w:themeColor="text1"/>
          <w:sz w:val="24"/>
          <w:szCs w:val="24"/>
          <w:lang w:eastAsia="en-GB"/>
        </w:rPr>
        <w:t xml:space="preserve"> contextual factors through detailed examination of guest demographics and menu composition by concentrating on one property within a clearly established operational framework. The project establishes its research questions based on cost-benefit analysis and behavioural nudges while utilizing interdisciplinary perspectives to develop interventions compatible with staff work routines. By stressing affordable solutions this project recognizes the financial </w:t>
      </w:r>
      <w:r w:rsidRPr="00F03486">
        <w:rPr>
          <w:rFonts w:ascii="Arial" w:hAnsi="Arial" w:cs="Arial"/>
          <w:color w:val="000000" w:themeColor="text1"/>
          <w:sz w:val="24"/>
          <w:szCs w:val="24"/>
          <w:lang w:eastAsia="en-GB"/>
        </w:rPr>
        <w:lastRenderedPageBreak/>
        <w:t>challenges faced by midscale hotels and ensures that all suggested strategies will be both practical and scalable. The study advances both theoretical knowledge and practical solutions by connecting environmental theories with practical waste management techniques</w:t>
      </w:r>
      <w:r w:rsidR="00602357" w:rsidRPr="00F03486">
        <w:rPr>
          <w:rFonts w:ascii="Arial" w:hAnsi="Arial" w:cs="Arial"/>
          <w:color w:val="000000" w:themeColor="text1"/>
          <w:sz w:val="24"/>
          <w:szCs w:val="24"/>
          <w:lang w:eastAsia="en-GB"/>
        </w:rPr>
        <w:t xml:space="preserve"> (Forberger et al., 2019)</w:t>
      </w:r>
      <w:r w:rsidRPr="00F03486">
        <w:rPr>
          <w:rFonts w:ascii="Arial" w:hAnsi="Arial" w:cs="Arial"/>
          <w:color w:val="000000" w:themeColor="text1"/>
          <w:sz w:val="24"/>
          <w:szCs w:val="24"/>
          <w:lang w:eastAsia="en-GB"/>
        </w:rPr>
        <w:t>. The research examines weekday service variations within the study context to understand demand fluctuations.</w:t>
      </w:r>
    </w:p>
    <w:p w14:paraId="1DDAB89F" w14:textId="77A5AEF0" w:rsidR="000A0EE7" w:rsidRPr="00F03486" w:rsidRDefault="000A0EE7" w:rsidP="00F03486">
      <w:pPr>
        <w:pStyle w:val="EU"/>
        <w:numPr>
          <w:ilvl w:val="0"/>
          <w:numId w:val="1"/>
        </w:numPr>
        <w:spacing w:line="360" w:lineRule="auto"/>
        <w:rPr>
          <w:color w:val="000000" w:themeColor="text1"/>
        </w:rPr>
      </w:pPr>
      <w:bookmarkStart w:id="2" w:name="_Toc200658229"/>
      <w:r w:rsidRPr="00F03486">
        <w:rPr>
          <w:color w:val="000000" w:themeColor="text1"/>
        </w:rPr>
        <w:t>Literature Review</w:t>
      </w:r>
      <w:bookmarkEnd w:id="2"/>
    </w:p>
    <w:p w14:paraId="2A3B8EE6" w14:textId="1A4A4557" w:rsidR="000A0EE7" w:rsidRPr="00F03486" w:rsidRDefault="000A0EE7"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Buffet food waste has become a pressing sustainability concern for the hospitality sector as it has been estimated that globally, approximately one third of all food produced for human consumption is wasted or lost before it can be consumed and hospitality accounts for a significant proportion of this waste (Gustavsson et al. 2011). Early research into hotel buffet services found that excessive production caused by consumer expectation of abundance and to maintain availability was found to lead to plate waste of between 20% and 30% and research has found that the carbon footprint and financial losses associated with buffet food waste was high as food discarded at the end of the buffet process rots in landfills (</w:t>
      </w: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xml:space="preserve"> and Wright 2014). Further research has been undertaken into the behavioural reasons behind plate waste at buffets and has found that buffet layout design and factors such as social norm of sampling food across the whole buffet and lack of control over portion size lead to a significant amount of food being discarded, although interventions such as offering smaller plates, changing the layout of the buffet to move food with lower levels of waste to the start of the line and using social cues such as asking customers to “take only what you can eat” have been found to reduce plate waste by 10% to 30% at low costs (Stancu, Haugaard and Lähteenmäki 2016). Further research into operational determinants has found that hotels are unable to adjust the amount of food provided at the buffet at different times of the day and that fixed buffet times do not adjust according to demand and that the inability of staff to make adjustments lead to waste during low occupancy periods</w:t>
      </w:r>
      <w:r w:rsidR="000C638E" w:rsidRPr="00F03486">
        <w:rPr>
          <w:rFonts w:ascii="Arial" w:hAnsi="Arial" w:cs="Arial"/>
          <w:sz w:val="24"/>
          <w:szCs w:val="24"/>
        </w:rPr>
        <w:t xml:space="preserve"> </w:t>
      </w:r>
      <w:r w:rsidR="000C638E" w:rsidRPr="00F03486">
        <w:rPr>
          <w:rFonts w:ascii="Arial" w:hAnsi="Arial" w:cs="Arial"/>
          <w:sz w:val="24"/>
          <w:szCs w:val="24"/>
          <w:lang w:eastAsia="en-GB"/>
        </w:rPr>
        <w:t>(Diaz-Farina, Díaz-Hernández and Padrón-Fumero, 2023)</w:t>
      </w:r>
      <w:r w:rsidRPr="00F03486">
        <w:rPr>
          <w:rFonts w:ascii="Arial" w:hAnsi="Arial" w:cs="Arial"/>
          <w:sz w:val="24"/>
          <w:szCs w:val="24"/>
          <w:lang w:eastAsia="en-GB"/>
        </w:rPr>
        <w:t xml:space="preserve">. Research has shown that using dynamic portioning software to allow hotel staff to </w:t>
      </w:r>
      <w:proofErr w:type="gramStart"/>
      <w:r w:rsidRPr="00F03486">
        <w:rPr>
          <w:rFonts w:ascii="Arial" w:hAnsi="Arial" w:cs="Arial"/>
          <w:sz w:val="24"/>
          <w:szCs w:val="24"/>
          <w:lang w:eastAsia="en-GB"/>
        </w:rPr>
        <w:t>make adjustments</w:t>
      </w:r>
      <w:proofErr w:type="gramEnd"/>
      <w:r w:rsidRPr="00F03486">
        <w:rPr>
          <w:rFonts w:ascii="Arial" w:hAnsi="Arial" w:cs="Arial"/>
          <w:sz w:val="24"/>
          <w:szCs w:val="24"/>
          <w:lang w:eastAsia="en-GB"/>
        </w:rPr>
        <w:t xml:space="preserve"> based on current consumption levels can reduce buffet waste levels significantly (</w:t>
      </w: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and </w:t>
      </w:r>
      <w:proofErr w:type="spellStart"/>
      <w:r w:rsidRPr="00F03486">
        <w:rPr>
          <w:rFonts w:ascii="Arial" w:hAnsi="Arial" w:cs="Arial"/>
          <w:sz w:val="24"/>
          <w:szCs w:val="24"/>
          <w:lang w:eastAsia="en-GB"/>
        </w:rPr>
        <w:t>Gherbin</w:t>
      </w:r>
      <w:proofErr w:type="spellEnd"/>
      <w:r w:rsidRPr="00F03486">
        <w:rPr>
          <w:rFonts w:ascii="Arial" w:hAnsi="Arial" w:cs="Arial"/>
          <w:sz w:val="24"/>
          <w:szCs w:val="24"/>
          <w:lang w:eastAsia="en-GB"/>
        </w:rPr>
        <w:t xml:space="preserve"> 2017). Simple measures such as using digital scales to track waste on a regular basis, to redistribute food to hotel staff as free meals and using clear guidelines on when to replenish buffet food has been found to reduce food waste within months and provide financial returns (Everett and </w:t>
      </w:r>
      <w:r w:rsidRPr="00F03486">
        <w:rPr>
          <w:rFonts w:ascii="Arial" w:hAnsi="Arial" w:cs="Arial"/>
          <w:sz w:val="24"/>
          <w:szCs w:val="24"/>
          <w:lang w:eastAsia="en-GB"/>
        </w:rPr>
        <w:lastRenderedPageBreak/>
        <w:t xml:space="preserve">Aitchison 2008). Case studies in mid-scale hotels, where implementing large scale solutions are unlikely, have found that educating staff on the issues of food waste and allowing them to make decisions on what buffet food is available on a daily basis can reduce food waste without affecting guest satisfaction (Göbel et al. 2015). Systematic reviews have found that the cost benefit ratio of waste reduction measures that have low set up costs are found to be over 1:5 in one year and are suitable for mid-scale hotel brands (Eriksson, Strid and Hansson 2012). Comparisons of buffet and plated services found that buffets generated between two to three times the amount of food waste as plated service (Silvennoinen et al. 2015). Research has found that buffet overproduction has been linked to over consumption and unhealthy eating habits and reducing buffet waste has been linked to a range of benefits for the consumer in terms of health and well-being (Xue et al. 2017). Research into food waste policy and redistribution schemes has found that food banks and community organisations can be used to redistribute food to people in need and that diverting safe surplus food to the food bank provides social benefits to the local community, although barriers to waste redistribution such as liability and transportation can hinder implementation (Principato, Secondi and Pratesi 2015). Circular economy research has found that adding waste tracking metrics to existing dashboards used by hotel managers can allow for ongoing monitoring and improvement (Bortoleto et al. 2017). Research into using technology to monitor buffet consumption and hotel guest feedback has been found to be a promising area of research, although it </w:t>
      </w:r>
      <w:proofErr w:type="gramStart"/>
      <w:r w:rsidRPr="00F03486">
        <w:rPr>
          <w:rFonts w:ascii="Arial" w:hAnsi="Arial" w:cs="Arial"/>
          <w:sz w:val="24"/>
          <w:szCs w:val="24"/>
          <w:lang w:eastAsia="en-GB"/>
        </w:rPr>
        <w:t>is mainly been</w:t>
      </w:r>
      <w:proofErr w:type="gramEnd"/>
      <w:r w:rsidRPr="00F03486">
        <w:rPr>
          <w:rFonts w:ascii="Arial" w:hAnsi="Arial" w:cs="Arial"/>
          <w:sz w:val="24"/>
          <w:szCs w:val="24"/>
          <w:lang w:eastAsia="en-GB"/>
        </w:rPr>
        <w:t xml:space="preserve"> applied in luxury hotels where investment costs are not as important and has not been fully evaluated in mid-scale hotel environments (</w:t>
      </w: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et al. 2020). Qualitative research has found that employees are well placed to identify waste reduction measures and can often identify simple changes such as using chafing dish liners to limit the depth that food is served and adapting buffet food replenishment times based on guest consumption (Everett and Aitchison 2008). Systematic reviews have found that a multi-dimensional approach to hospitality sustainability including food waste, water and energy can amplify the benefits of implementing waste reduction programmes (Betz et al. 2015). Systematic reviews have found that there is a gap in the literature on mid-scale branded hotels such as Hilton Garden Inn, where brand guidelines can both help and hinder food waste reduction (</w:t>
      </w:r>
      <w:proofErr w:type="spellStart"/>
      <w:r w:rsidRPr="00F03486">
        <w:rPr>
          <w:rFonts w:ascii="Arial" w:hAnsi="Arial" w:cs="Arial"/>
          <w:sz w:val="24"/>
          <w:szCs w:val="24"/>
          <w:lang w:eastAsia="en-GB"/>
        </w:rPr>
        <w:t>Aschemann</w:t>
      </w:r>
      <w:proofErr w:type="spellEnd"/>
      <w:r w:rsidRPr="00F03486">
        <w:rPr>
          <w:rFonts w:ascii="Arial" w:hAnsi="Arial" w:cs="Arial"/>
          <w:sz w:val="24"/>
          <w:szCs w:val="24"/>
          <w:lang w:eastAsia="en-GB"/>
        </w:rPr>
        <w:t xml:space="preserve">-Witzel and de Hooge 2018). Behavioural economics and social psychology theories have found that combining incentives and empowerment can lead to long-term behaviour change and that using </w:t>
      </w:r>
      <w:r w:rsidRPr="00F03486">
        <w:rPr>
          <w:rFonts w:ascii="Arial" w:hAnsi="Arial" w:cs="Arial"/>
          <w:sz w:val="24"/>
          <w:szCs w:val="24"/>
          <w:lang w:eastAsia="en-GB"/>
        </w:rPr>
        <w:lastRenderedPageBreak/>
        <w:t xml:space="preserve">incentives such as using non-monetary tokens to highlight waste can lead to long-term behaviour change after an intervention programme has finished (Quested et al. 2013). Supply chain economics research has found that adopting a just-in-time ordering system and using flexible batch sizes can help to reduce overproduction at the buffet central kitchen, although the suitability of this strategy is based on the scale of the hotel and the existing agreements with suppliers (Mena, </w:t>
      </w:r>
      <w:proofErr w:type="spellStart"/>
      <w:r w:rsidRPr="00F03486">
        <w:rPr>
          <w:rFonts w:ascii="Arial" w:hAnsi="Arial" w:cs="Arial"/>
          <w:sz w:val="24"/>
          <w:szCs w:val="24"/>
          <w:lang w:eastAsia="en-GB"/>
        </w:rPr>
        <w:t>Adenso</w:t>
      </w:r>
      <w:proofErr w:type="spellEnd"/>
      <w:r w:rsidRPr="00F03486">
        <w:rPr>
          <w:rFonts w:ascii="Arial" w:hAnsi="Arial" w:cs="Arial"/>
          <w:sz w:val="24"/>
          <w:szCs w:val="24"/>
          <w:lang w:eastAsia="en-GB"/>
        </w:rPr>
        <w:t xml:space="preserve">-Díaz and Yurt 2011). Research has found that choosing interventions based on cost benefit analysis, where measures with low set up costs and high benefits are likely to be adopted in low budget settings (Buzby and Hyman 2012). </w:t>
      </w:r>
    </w:p>
    <w:p w14:paraId="6065CD37" w14:textId="555216DE" w:rsidR="000A0EE7" w:rsidRPr="00F03486" w:rsidRDefault="000A0EE7" w:rsidP="00F03486">
      <w:pPr>
        <w:pStyle w:val="EU"/>
        <w:numPr>
          <w:ilvl w:val="0"/>
          <w:numId w:val="1"/>
        </w:numPr>
        <w:spacing w:line="360" w:lineRule="auto"/>
        <w:rPr>
          <w:color w:val="000000" w:themeColor="text1"/>
        </w:rPr>
      </w:pPr>
      <w:bookmarkStart w:id="3" w:name="_Toc200658230"/>
      <w:r w:rsidRPr="00F03486">
        <w:rPr>
          <w:color w:val="000000" w:themeColor="text1"/>
        </w:rPr>
        <w:t>Methods</w:t>
      </w:r>
      <w:bookmarkEnd w:id="3"/>
    </w:p>
    <w:p w14:paraId="6CA6CA59" w14:textId="03BE0B7B" w:rsidR="007E6643" w:rsidRPr="00F03486" w:rsidRDefault="007E6643"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The research methodology included firsthand empirical research performed during an onsite placement at a midscale branded hotel buffet which was supported by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examination of guest feedback from ten to twenty reviews and purpose-driven secondary research to interpret operational insights. The research team chose a single-case study design to examine buffet food waste in a real service setting as described by Yin in 2009. This case-study rationale emphasizes the need to study waste generation within real-world settings where staff practices meet guest </w:t>
      </w:r>
      <w:proofErr w:type="spellStart"/>
      <w:r w:rsidRPr="00F03486">
        <w:rPr>
          <w:rFonts w:ascii="Arial" w:hAnsi="Arial" w:cs="Arial"/>
          <w:sz w:val="24"/>
          <w:szCs w:val="24"/>
          <w:lang w:eastAsia="en-GB"/>
        </w:rPr>
        <w:t>behaviors</w:t>
      </w:r>
      <w:proofErr w:type="spellEnd"/>
      <w:r w:rsidRPr="00F03486">
        <w:rPr>
          <w:rFonts w:ascii="Arial" w:hAnsi="Arial" w:cs="Arial"/>
          <w:sz w:val="24"/>
          <w:szCs w:val="24"/>
          <w:lang w:eastAsia="en-GB"/>
        </w:rPr>
        <w:t xml:space="preserve"> and physical arrangements</w:t>
      </w:r>
      <w:r w:rsidR="00F03486" w:rsidRPr="00F03486">
        <w:rPr>
          <w:rFonts w:ascii="Arial" w:hAnsi="Arial" w:cs="Arial"/>
          <w:sz w:val="24"/>
          <w:szCs w:val="24"/>
          <w:lang w:eastAsia="en-GB"/>
        </w:rPr>
        <w:t xml:space="preserve"> (</w:t>
      </w:r>
      <w:proofErr w:type="spellStart"/>
      <w:r w:rsidR="00F03486" w:rsidRPr="00F03486">
        <w:rPr>
          <w:rFonts w:ascii="Arial" w:hAnsi="Arial" w:cs="Arial"/>
          <w:sz w:val="24"/>
          <w:szCs w:val="24"/>
          <w:lang w:eastAsia="en-GB"/>
        </w:rPr>
        <w:t>Pyrani</w:t>
      </w:r>
      <w:proofErr w:type="spellEnd"/>
      <w:r w:rsidR="00F03486" w:rsidRPr="00F03486">
        <w:rPr>
          <w:rFonts w:ascii="Arial" w:hAnsi="Arial" w:cs="Arial"/>
          <w:sz w:val="24"/>
          <w:szCs w:val="24"/>
          <w:lang w:eastAsia="en-GB"/>
        </w:rPr>
        <w:t xml:space="preserve"> and Arafat, 2016)</w:t>
      </w:r>
      <w:r w:rsidRPr="00F03486">
        <w:rPr>
          <w:rFonts w:ascii="Arial" w:hAnsi="Arial" w:cs="Arial"/>
          <w:sz w:val="24"/>
          <w:szCs w:val="24"/>
          <w:lang w:eastAsia="en-GB"/>
        </w:rPr>
        <w:t>. Systematic waste audits were conducted according to established protocols to measure buffet surpluses collected at pre-service, mid-service and post-service intervals using calibrated digital scales for recording mass in grams</w:t>
      </w:r>
      <w:r w:rsidR="00F03486" w:rsidRPr="00F03486">
        <w:rPr>
          <w:rFonts w:ascii="Arial" w:hAnsi="Arial" w:cs="Arial"/>
          <w:sz w:val="24"/>
          <w:szCs w:val="24"/>
          <w:lang w:eastAsia="en-GB"/>
        </w:rPr>
        <w:t xml:space="preserve"> (Lai et al., 2012)</w:t>
      </w:r>
      <w:r w:rsidRPr="00F03486">
        <w:rPr>
          <w:rFonts w:ascii="Arial" w:hAnsi="Arial" w:cs="Arial"/>
          <w:sz w:val="24"/>
          <w:szCs w:val="24"/>
          <w:lang w:eastAsia="en-GB"/>
        </w:rPr>
        <w:t xml:space="preserve">. Daily logging of audit data allowed for determining average waste per guest and identifying peak waste </w:t>
      </w:r>
      <w:proofErr w:type="gramStart"/>
      <w:r w:rsidRPr="00F03486">
        <w:rPr>
          <w:rFonts w:ascii="Arial" w:hAnsi="Arial" w:cs="Arial"/>
          <w:sz w:val="24"/>
          <w:szCs w:val="24"/>
          <w:lang w:eastAsia="en-GB"/>
        </w:rPr>
        <w:t>times</w:t>
      </w:r>
      <w:proofErr w:type="gramEnd"/>
      <w:r w:rsidRPr="00F03486">
        <w:rPr>
          <w:rFonts w:ascii="Arial" w:hAnsi="Arial" w:cs="Arial"/>
          <w:sz w:val="24"/>
          <w:szCs w:val="24"/>
          <w:lang w:eastAsia="en-GB"/>
        </w:rPr>
        <w:t xml:space="preserve">. Researchers created a structured guest survey with Likert-scale closed questions and open-ended prompts to evaluate self-reported guest </w:t>
      </w:r>
      <w:proofErr w:type="spellStart"/>
      <w:r w:rsidRPr="00F03486">
        <w:rPr>
          <w:rFonts w:ascii="Arial" w:hAnsi="Arial" w:cs="Arial"/>
          <w:sz w:val="24"/>
          <w:szCs w:val="24"/>
          <w:lang w:eastAsia="en-GB"/>
        </w:rPr>
        <w:t>behaviors</w:t>
      </w:r>
      <w:proofErr w:type="spellEnd"/>
      <w:r w:rsidRPr="00F03486">
        <w:rPr>
          <w:rFonts w:ascii="Arial" w:hAnsi="Arial" w:cs="Arial"/>
          <w:sz w:val="24"/>
          <w:szCs w:val="24"/>
          <w:lang w:eastAsia="en-GB"/>
        </w:rPr>
        <w:t xml:space="preserve"> and attitudes about portion sizes alongside satisfaction levels while distributing the survey in printed format at checkout points and online through unique web links to gather responses from a purposively selected demographic range</w:t>
      </w:r>
      <w:r w:rsidR="00F03486" w:rsidRPr="00F03486">
        <w:rPr>
          <w:rFonts w:ascii="Arial" w:hAnsi="Arial" w:cs="Arial"/>
          <w:sz w:val="24"/>
          <w:szCs w:val="24"/>
          <w:lang w:eastAsia="en-GB"/>
        </w:rPr>
        <w:t xml:space="preserve"> (Dhir et al., 2022)</w:t>
      </w:r>
      <w:r w:rsidRPr="00F03486">
        <w:rPr>
          <w:rFonts w:ascii="Arial" w:hAnsi="Arial" w:cs="Arial"/>
          <w:sz w:val="24"/>
          <w:szCs w:val="24"/>
          <w:lang w:eastAsia="en-GB"/>
        </w:rPr>
        <w:t xml:space="preserve">. The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examination used purposive sampling to </w:t>
      </w:r>
      <w:proofErr w:type="spellStart"/>
      <w:r w:rsidRPr="00F03486">
        <w:rPr>
          <w:rFonts w:ascii="Arial" w:hAnsi="Arial" w:cs="Arial"/>
          <w:sz w:val="24"/>
          <w:szCs w:val="24"/>
          <w:lang w:eastAsia="en-GB"/>
        </w:rPr>
        <w:t>analyze</w:t>
      </w:r>
      <w:proofErr w:type="spellEnd"/>
      <w:r w:rsidRPr="00F03486">
        <w:rPr>
          <w:rFonts w:ascii="Arial" w:hAnsi="Arial" w:cs="Arial"/>
          <w:sz w:val="24"/>
          <w:szCs w:val="24"/>
          <w:lang w:eastAsia="en-GB"/>
        </w:rPr>
        <w:t xml:space="preserve"> public guest reviews from top travel platforms and systematically coded ten to twenty recent posts to find common themes concerning buffet portion preferences and visual presentation satisfaction (</w:t>
      </w:r>
      <w:proofErr w:type="spellStart"/>
      <w:r w:rsidRPr="00F03486">
        <w:rPr>
          <w:rFonts w:ascii="Arial" w:hAnsi="Arial" w:cs="Arial"/>
          <w:sz w:val="24"/>
          <w:szCs w:val="24"/>
          <w:lang w:eastAsia="en-GB"/>
        </w:rPr>
        <w:t>Kozinets</w:t>
      </w:r>
      <w:proofErr w:type="spellEnd"/>
      <w:r w:rsidRPr="00F03486">
        <w:rPr>
          <w:rFonts w:ascii="Arial" w:hAnsi="Arial" w:cs="Arial"/>
          <w:sz w:val="24"/>
          <w:szCs w:val="24"/>
          <w:lang w:eastAsia="en-GB"/>
        </w:rPr>
        <w:t xml:space="preserve"> 2015). The secondary research phase included examining peer-reviewed literature along with industry white papers as well as online resources that focused on buffet management strategies food waste measurement methods and carbon footprint assessment tools</w:t>
      </w:r>
      <w:r w:rsidR="00602357" w:rsidRPr="00F03486">
        <w:rPr>
          <w:rFonts w:ascii="Arial" w:hAnsi="Arial" w:cs="Arial"/>
          <w:sz w:val="24"/>
          <w:szCs w:val="24"/>
          <w:lang w:eastAsia="en-GB"/>
        </w:rPr>
        <w:t xml:space="preserve"> </w:t>
      </w:r>
      <w:r w:rsidR="00602357" w:rsidRPr="00F03486">
        <w:rPr>
          <w:rFonts w:ascii="Arial" w:hAnsi="Arial" w:cs="Arial"/>
          <w:sz w:val="24"/>
          <w:szCs w:val="24"/>
          <w:lang w:eastAsia="en-GB"/>
        </w:rPr>
        <w:lastRenderedPageBreak/>
        <w:t>(</w:t>
      </w:r>
      <w:proofErr w:type="spellStart"/>
      <w:r w:rsidR="00602357" w:rsidRPr="00F03486">
        <w:rPr>
          <w:rFonts w:ascii="Arial" w:hAnsi="Arial" w:cs="Arial"/>
          <w:sz w:val="24"/>
          <w:szCs w:val="24"/>
          <w:lang w:eastAsia="en-GB"/>
        </w:rPr>
        <w:t>Amicarelli</w:t>
      </w:r>
      <w:proofErr w:type="spellEnd"/>
      <w:r w:rsidR="00602357" w:rsidRPr="00F03486">
        <w:rPr>
          <w:rFonts w:ascii="Arial" w:hAnsi="Arial" w:cs="Arial"/>
          <w:sz w:val="24"/>
          <w:szCs w:val="24"/>
          <w:lang w:eastAsia="en-GB"/>
        </w:rPr>
        <w:t xml:space="preserve"> and Bux, 2020)</w:t>
      </w:r>
      <w:r w:rsidRPr="00F03486">
        <w:rPr>
          <w:rFonts w:ascii="Arial" w:hAnsi="Arial" w:cs="Arial"/>
          <w:sz w:val="24"/>
          <w:szCs w:val="24"/>
          <w:lang w:eastAsia="en-GB"/>
        </w:rPr>
        <w:t xml:space="preserve">. The integration of audit findings with procurement-derived standardized cost-per-kilogram rates through cost calculators enabled the estimation of financial losses caused by waste </w:t>
      </w:r>
      <w:r w:rsidR="000C638E" w:rsidRPr="00F03486">
        <w:rPr>
          <w:rFonts w:ascii="Arial" w:hAnsi="Arial" w:cs="Arial"/>
          <w:sz w:val="24"/>
          <w:szCs w:val="24"/>
          <w:lang w:eastAsia="en-GB"/>
        </w:rPr>
        <w:t>generation (</w:t>
      </w:r>
      <w:proofErr w:type="spellStart"/>
      <w:r w:rsidR="000C638E" w:rsidRPr="00F03486">
        <w:rPr>
          <w:rFonts w:ascii="Arial" w:hAnsi="Arial" w:cs="Arial"/>
          <w:sz w:val="24"/>
          <w:szCs w:val="24"/>
          <w:lang w:eastAsia="en-GB"/>
        </w:rPr>
        <w:t>Malinauskaite</w:t>
      </w:r>
      <w:proofErr w:type="spellEnd"/>
      <w:r w:rsidR="000C638E" w:rsidRPr="00F03486">
        <w:rPr>
          <w:rFonts w:ascii="Arial" w:hAnsi="Arial" w:cs="Arial"/>
          <w:sz w:val="24"/>
          <w:szCs w:val="24"/>
          <w:lang w:eastAsia="en-GB"/>
        </w:rPr>
        <w:t xml:space="preserve"> et al., 2017)</w:t>
      </w:r>
      <w:r w:rsidRPr="00F03486">
        <w:rPr>
          <w:rFonts w:ascii="Arial" w:hAnsi="Arial" w:cs="Arial"/>
          <w:sz w:val="24"/>
          <w:szCs w:val="24"/>
          <w:lang w:eastAsia="en-GB"/>
        </w:rPr>
        <w:t xml:space="preserve">. Lifecycle assessment factors from national conversion tables enabled carbon calculators to transform recorded waste mass into greenhouse gas emissions. Descriptive statistical techniques and thematic analysis worked together in data analysis procedures while spreadsheet software processed audit and survey data to determine means and variances and coding software categorized qualitative survey responses and </w:t>
      </w:r>
      <w:proofErr w:type="spellStart"/>
      <w:r w:rsidRPr="00F03486">
        <w:rPr>
          <w:rFonts w:ascii="Arial" w:hAnsi="Arial" w:cs="Arial"/>
          <w:sz w:val="24"/>
          <w:szCs w:val="24"/>
          <w:lang w:eastAsia="en-GB"/>
        </w:rPr>
        <w:t>netnography</w:t>
      </w:r>
      <w:proofErr w:type="spellEnd"/>
      <w:r w:rsidRPr="00F03486">
        <w:rPr>
          <w:rFonts w:ascii="Arial" w:hAnsi="Arial" w:cs="Arial"/>
          <w:sz w:val="24"/>
          <w:szCs w:val="24"/>
          <w:lang w:eastAsia="en-GB"/>
        </w:rPr>
        <w:t xml:space="preserve"> notes to reveal patterns</w:t>
      </w:r>
      <w:r w:rsidR="000C638E" w:rsidRPr="00F03486">
        <w:rPr>
          <w:rFonts w:ascii="Arial" w:hAnsi="Arial" w:cs="Arial"/>
          <w:sz w:val="24"/>
          <w:szCs w:val="24"/>
        </w:rPr>
        <w:t xml:space="preserve"> </w:t>
      </w:r>
      <w:r w:rsidR="000C638E" w:rsidRPr="00F03486">
        <w:rPr>
          <w:rFonts w:ascii="Arial" w:hAnsi="Arial" w:cs="Arial"/>
          <w:sz w:val="24"/>
          <w:szCs w:val="24"/>
          <w:lang w:eastAsia="en-GB"/>
        </w:rPr>
        <w:t xml:space="preserve">(Kiger and </w:t>
      </w:r>
      <w:proofErr w:type="spellStart"/>
      <w:r w:rsidR="000C638E" w:rsidRPr="00F03486">
        <w:rPr>
          <w:rFonts w:ascii="Arial" w:hAnsi="Arial" w:cs="Arial"/>
          <w:sz w:val="24"/>
          <w:szCs w:val="24"/>
          <w:lang w:eastAsia="en-GB"/>
        </w:rPr>
        <w:t>Varpio</w:t>
      </w:r>
      <w:proofErr w:type="spellEnd"/>
      <w:r w:rsidR="000C638E" w:rsidRPr="00F03486">
        <w:rPr>
          <w:rFonts w:ascii="Arial" w:hAnsi="Arial" w:cs="Arial"/>
          <w:sz w:val="24"/>
          <w:szCs w:val="24"/>
          <w:lang w:eastAsia="en-GB"/>
        </w:rPr>
        <w:t>, 2020)</w:t>
      </w:r>
      <w:r w:rsidRPr="00F03486">
        <w:rPr>
          <w:rFonts w:ascii="Arial" w:hAnsi="Arial" w:cs="Arial"/>
          <w:sz w:val="24"/>
          <w:szCs w:val="24"/>
          <w:lang w:eastAsia="en-GB"/>
        </w:rPr>
        <w:t xml:space="preserve">. Staff feedback on buffet operations and contextual portioning decisions </w:t>
      </w:r>
      <w:proofErr w:type="gramStart"/>
      <w:r w:rsidRPr="00F03486">
        <w:rPr>
          <w:rFonts w:ascii="Arial" w:hAnsi="Arial" w:cs="Arial"/>
          <w:sz w:val="24"/>
          <w:szCs w:val="24"/>
          <w:lang w:eastAsia="en-GB"/>
        </w:rPr>
        <w:t>were</w:t>
      </w:r>
      <w:proofErr w:type="gramEnd"/>
      <w:r w:rsidRPr="00F03486">
        <w:rPr>
          <w:rFonts w:ascii="Arial" w:hAnsi="Arial" w:cs="Arial"/>
          <w:sz w:val="24"/>
          <w:szCs w:val="24"/>
          <w:lang w:eastAsia="en-GB"/>
        </w:rPr>
        <w:t xml:space="preserve"> captured through reflective field journal entries. The guest survey was tested through pilot studies with a select group of colleagues to enhance question clarity and establish reliability before deployment. The study protected respondent anonymity and received informed consent with an introductory statement while following organizational data protection guidelines</w:t>
      </w:r>
      <w:r w:rsidR="00602357" w:rsidRPr="00F03486">
        <w:rPr>
          <w:rFonts w:ascii="Arial" w:hAnsi="Arial" w:cs="Arial"/>
          <w:sz w:val="24"/>
          <w:szCs w:val="24"/>
          <w:lang w:eastAsia="en-GB"/>
        </w:rPr>
        <w:t xml:space="preserve"> (</w:t>
      </w:r>
      <w:proofErr w:type="spellStart"/>
      <w:r w:rsidR="00602357" w:rsidRPr="00F03486">
        <w:rPr>
          <w:rFonts w:ascii="Arial" w:hAnsi="Arial" w:cs="Arial"/>
          <w:sz w:val="24"/>
          <w:szCs w:val="24"/>
          <w:lang w:eastAsia="en-GB"/>
        </w:rPr>
        <w:t>Frils</w:t>
      </w:r>
      <w:proofErr w:type="spellEnd"/>
      <w:r w:rsidR="00602357" w:rsidRPr="00F03486">
        <w:rPr>
          <w:rFonts w:ascii="Arial" w:hAnsi="Arial" w:cs="Arial"/>
          <w:sz w:val="24"/>
          <w:szCs w:val="24"/>
          <w:lang w:eastAsia="en-GB"/>
        </w:rPr>
        <w:t xml:space="preserve"> et al., 2017)</w:t>
      </w:r>
      <w:r w:rsidRPr="00F03486">
        <w:rPr>
          <w:rFonts w:ascii="Arial" w:hAnsi="Arial" w:cs="Arial"/>
          <w:sz w:val="24"/>
          <w:szCs w:val="24"/>
          <w:lang w:eastAsia="en-GB"/>
        </w:rPr>
        <w:t xml:space="preserve">. The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data collection followed platform terms of service while refraining from participant interaction to preserve observational integrity. Audit protocols received standardization through well-defined criteria for separating edible surplus from inedible waste while staff training guaranteed adherence to these established protocols. The research used data triangulation to verify survey responses about portion </w:t>
      </w:r>
      <w:proofErr w:type="spellStart"/>
      <w:r w:rsidRPr="00F03486">
        <w:rPr>
          <w:rFonts w:ascii="Arial" w:hAnsi="Arial" w:cs="Arial"/>
          <w:sz w:val="24"/>
          <w:szCs w:val="24"/>
          <w:lang w:eastAsia="en-GB"/>
        </w:rPr>
        <w:t>behaviors</w:t>
      </w:r>
      <w:proofErr w:type="spellEnd"/>
      <w:r w:rsidRPr="00F03486">
        <w:rPr>
          <w:rFonts w:ascii="Arial" w:hAnsi="Arial" w:cs="Arial"/>
          <w:sz w:val="24"/>
          <w:szCs w:val="24"/>
          <w:lang w:eastAsia="en-GB"/>
        </w:rPr>
        <w:t xml:space="preserve"> against waste audit measurements for discrepancy detection</w:t>
      </w:r>
      <w:r w:rsidR="00F03486" w:rsidRPr="00F03486">
        <w:rPr>
          <w:rFonts w:ascii="Arial" w:hAnsi="Arial" w:cs="Arial"/>
          <w:sz w:val="24"/>
          <w:szCs w:val="24"/>
          <w:lang w:eastAsia="en-GB"/>
        </w:rPr>
        <w:t xml:space="preserve"> (</w:t>
      </w:r>
      <w:proofErr w:type="spellStart"/>
      <w:r w:rsidR="00F03486" w:rsidRPr="00F03486">
        <w:rPr>
          <w:rFonts w:ascii="Arial" w:hAnsi="Arial" w:cs="Arial"/>
          <w:sz w:val="24"/>
          <w:szCs w:val="24"/>
          <w:lang w:eastAsia="en-GB"/>
        </w:rPr>
        <w:t>Kasavan</w:t>
      </w:r>
      <w:proofErr w:type="spellEnd"/>
      <w:r w:rsidR="00F03486" w:rsidRPr="00F03486">
        <w:rPr>
          <w:rFonts w:ascii="Arial" w:hAnsi="Arial" w:cs="Arial"/>
          <w:sz w:val="24"/>
          <w:szCs w:val="24"/>
          <w:lang w:eastAsia="en-GB"/>
        </w:rPr>
        <w:t xml:space="preserve"> et al., 2022)</w:t>
      </w:r>
      <w:r w:rsidRPr="00F03486">
        <w:rPr>
          <w:rFonts w:ascii="Arial" w:hAnsi="Arial" w:cs="Arial"/>
          <w:sz w:val="24"/>
          <w:szCs w:val="24"/>
          <w:lang w:eastAsia="en-GB"/>
        </w:rPr>
        <w:t>. The examination of outside benchmarking reports served to further confirm the understanding of waste levels. The study's methodological approach used an iterative framework that permitted schedule changes to waste audits based on operational feedback while addressing practical constraints within a live hospitality setting. Rigorous data management ensured integrity.</w:t>
      </w:r>
    </w:p>
    <w:p w14:paraId="4749C6A6" w14:textId="74D17474" w:rsidR="007E6643" w:rsidRPr="00F03486" w:rsidRDefault="007E6643" w:rsidP="00F03486">
      <w:pPr>
        <w:pStyle w:val="EU"/>
        <w:numPr>
          <w:ilvl w:val="0"/>
          <w:numId w:val="1"/>
        </w:numPr>
        <w:spacing w:line="360" w:lineRule="auto"/>
        <w:rPr>
          <w:color w:val="000000" w:themeColor="text1"/>
        </w:rPr>
      </w:pPr>
      <w:bookmarkStart w:id="4" w:name="_Toc200658231"/>
      <w:r w:rsidRPr="00F03486">
        <w:rPr>
          <w:color w:val="000000" w:themeColor="text1"/>
        </w:rPr>
        <w:t>Hotel Overview and Findings</w:t>
      </w:r>
      <w:bookmarkEnd w:id="4"/>
    </w:p>
    <w:p w14:paraId="342B9669" w14:textId="5929AC1B" w:rsidR="007E6643" w:rsidRPr="00F03486" w:rsidRDefault="007E6643"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The Hilton Garden Inn Doncaster Racecourse benefits from its strategic positioning by Doncaster Racecourse while providing views of the track and convenient access to Doncaster town centre and regional transport options (Hilton 2025). The 3.5-star midscale hotel features 154 guest rooms distributed over four levels with blackout curtains alongside mini-fridges, LCD televisions and free Wi-Fi to satisfy contemporary travel standards (Booking.com</w:t>
      </w:r>
      <w:r w:rsidR="000C638E" w:rsidRPr="00F03486">
        <w:rPr>
          <w:rFonts w:ascii="Arial" w:hAnsi="Arial" w:cs="Arial"/>
          <w:sz w:val="24"/>
          <w:szCs w:val="24"/>
          <w:lang w:eastAsia="en-GB"/>
        </w:rPr>
        <w:t>,</w:t>
      </w:r>
      <w:r w:rsidRPr="00F03486">
        <w:rPr>
          <w:rFonts w:ascii="Arial" w:hAnsi="Arial" w:cs="Arial"/>
          <w:sz w:val="24"/>
          <w:szCs w:val="24"/>
          <w:lang w:eastAsia="en-GB"/>
        </w:rPr>
        <w:t xml:space="preserve"> 2025). The hotel's public spaces consist of a large two-</w:t>
      </w:r>
      <w:r w:rsidRPr="00F03486">
        <w:rPr>
          <w:rFonts w:ascii="Arial" w:hAnsi="Arial" w:cs="Arial"/>
          <w:sz w:val="24"/>
          <w:szCs w:val="24"/>
          <w:lang w:eastAsia="en-GB"/>
        </w:rPr>
        <w:lastRenderedPageBreak/>
        <w:t>story lobby and the Garden Grille &amp; Bar restaurant with buffet options plus a fitness centre and a private-dining Trophy Room suite that supports events for up to 36 people (Hilton 2025). Guest movement passes through the central entrance into the lobby which provides direct views to both the restaurant and check-in areas while separate circulation routes link housekeeping with kitchen and administrative spaces to sustain operational efficiency. The Garden Grille buffet employs a U-shaped design which enables staff to restock dishes through a hidden kitchen pass-through while reducing guest congestion at peak breakfast times. The restaurant's borders consist of meeting rooms and business-centre facilities which allow effortless shifts between dining experiences and corporate functions</w:t>
      </w:r>
      <w:r w:rsidR="00F03486" w:rsidRPr="00F03486">
        <w:rPr>
          <w:rFonts w:ascii="Arial" w:hAnsi="Arial" w:cs="Arial"/>
          <w:sz w:val="24"/>
          <w:szCs w:val="24"/>
          <w:lang w:eastAsia="en-GB"/>
        </w:rPr>
        <w:t xml:space="preserve"> (</w:t>
      </w:r>
      <w:proofErr w:type="gramStart"/>
      <w:r w:rsidR="00F03486" w:rsidRPr="00F03486">
        <w:rPr>
          <w:rFonts w:ascii="Arial" w:hAnsi="Arial" w:cs="Arial"/>
          <w:sz w:val="24"/>
          <w:szCs w:val="24"/>
          <w:lang w:eastAsia="en-GB"/>
        </w:rPr>
        <w:t>Guruge ,</w:t>
      </w:r>
      <w:proofErr w:type="gramEnd"/>
      <w:r w:rsidR="00F03486" w:rsidRPr="00F03486">
        <w:rPr>
          <w:rFonts w:ascii="Arial" w:hAnsi="Arial" w:cs="Arial"/>
          <w:sz w:val="24"/>
          <w:szCs w:val="24"/>
          <w:lang w:eastAsia="en-GB"/>
        </w:rPr>
        <w:t xml:space="preserve"> 2023)</w:t>
      </w:r>
      <w:r w:rsidRPr="00F03486">
        <w:rPr>
          <w:rFonts w:ascii="Arial" w:hAnsi="Arial" w:cs="Arial"/>
          <w:sz w:val="24"/>
          <w:szCs w:val="24"/>
          <w:lang w:eastAsia="en-GB"/>
        </w:rPr>
        <w:t>. Exact revenue numbers for this establishment remain confidential yet midscale branded UK hotels usually achieve £4–6 million in annual revenues with daily rates between £75–£90 and occupancy rates of 68–72 per cent according to Smith Travel Research 2024. The staffing levels for hotels of this size typically adhere to industry standards which require 0.6–0.8 full-time equivalent staff members per hotel room to cover essential functions such as front-office duties as well as housekeeping and food services along with maintenance and management tasks (Barrows and Powers 2009). The Hilton Garden Inn Doncaster maintains a workforce of 100–120 employees spread across multiple departments during peak seasons who work under departmental teams managed by supervisors who answer to the general manager. Food and beverage outlets require flexible staffing schedules and dynamic inventory management due to distinct weekday and weekend turnover patterns associated with racecourse events and corporate conferences and leisure travel. The Garden Grille’s buffet service operates daily for breakfast (06: The Garden Grille provides buffet service during breakfast hours from 06:30 to 10:00 and dinner hours from 17:00 to 21:00 along with special event buffets that depend on banquet bookings. The brand's food-cost targets require adherence to revenue percentages between 28 and 30 percent while being supported through weekly inventory reconciliations and monthly variance analyses according to Rutherford and O’Fallon 2012. Physical layout supports waste-management practices: Surplus food collection for weighing and auditing occurs in staging areas situated behind the buffet line, and the service corridor hosts a central waste-sorting station for organic waste composting as well as recyclables and general refuse separation</w:t>
      </w:r>
      <w:r w:rsidR="000C638E" w:rsidRPr="00F03486">
        <w:rPr>
          <w:rFonts w:ascii="Arial" w:hAnsi="Arial" w:cs="Arial"/>
          <w:sz w:val="24"/>
          <w:szCs w:val="24"/>
          <w:lang w:eastAsia="en-GB"/>
        </w:rPr>
        <w:t xml:space="preserve"> (Zaman, 2015)</w:t>
      </w:r>
      <w:r w:rsidRPr="00F03486">
        <w:rPr>
          <w:rFonts w:ascii="Arial" w:hAnsi="Arial" w:cs="Arial"/>
          <w:sz w:val="24"/>
          <w:szCs w:val="24"/>
          <w:lang w:eastAsia="en-GB"/>
        </w:rPr>
        <w:t xml:space="preserve">. Arrangement of storage for dry goods alongside chilled produce and baked items next to the kitchen reduces transit time and risk of spoilage. The layout </w:t>
      </w:r>
      <w:r w:rsidRPr="00F03486">
        <w:rPr>
          <w:rFonts w:ascii="Arial" w:hAnsi="Arial" w:cs="Arial"/>
          <w:sz w:val="24"/>
          <w:szCs w:val="24"/>
          <w:lang w:eastAsia="en-GB"/>
        </w:rPr>
        <w:lastRenderedPageBreak/>
        <w:t>of AV equipment and breakout spaces in meeting rooms enables multiple uses of facilities which maximizes space efficiency and generates additional revenue opportunities. Review scores compiled from major platforms indicate guest satisfaction metrics with 8.8/10 for overall stay quality and 8.4/10 for breakfast offerings revealing positive feedback about facility standards and professional service delivery (Booking.com 2025). The Green Tourism Program’s Eco-Certification proves the hotel's dedication to environmental practices through the implementation of energy-saving lighting systems as well as linen reuse programs and waste separation initiatives on property grounds.</w:t>
      </w:r>
    </w:p>
    <w:p w14:paraId="7A346E76" w14:textId="3DEA0C49" w:rsidR="007E6643" w:rsidRPr="00F03486" w:rsidRDefault="007E6643" w:rsidP="00F03486">
      <w:pPr>
        <w:pStyle w:val="EU"/>
        <w:numPr>
          <w:ilvl w:val="1"/>
          <w:numId w:val="1"/>
        </w:numPr>
        <w:spacing w:line="360" w:lineRule="auto"/>
        <w:rPr>
          <w:color w:val="000000" w:themeColor="text1"/>
        </w:rPr>
      </w:pPr>
      <w:bookmarkStart w:id="5" w:name="_Toc200658232"/>
      <w:r w:rsidRPr="00F03486">
        <w:rPr>
          <w:color w:val="000000" w:themeColor="text1"/>
        </w:rPr>
        <w:t>SWOT Analysis</w:t>
      </w:r>
      <w:bookmarkEnd w:id="5"/>
    </w:p>
    <w:p w14:paraId="2FC33057" w14:textId="77777777" w:rsidR="007E6643" w:rsidRPr="00F03486" w:rsidRDefault="007E6643"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 xml:space="preserve">Strengths </w:t>
      </w:r>
    </w:p>
    <w:p w14:paraId="343BC15B" w14:textId="653789EE" w:rsidR="007E6643" w:rsidRPr="00F03486" w:rsidRDefault="007E6643"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The global recognition of the Hilton Garden Inn brand ensures uniform service quality and operational assistance at Doncaster Racecourse which strengthens guest loyalty and confidence according to Barrows and Powers (2009). The proximity of the hotel to the racecourse and major transport links generates continuous leisure and business traffic which enhances revenue stability (Smith Travel Research 2024). The hotel's range of contemporary amenities such as the state-of-the-art fitness </w:t>
      </w:r>
      <w:proofErr w:type="spellStart"/>
      <w:r w:rsidRPr="00F03486">
        <w:rPr>
          <w:rFonts w:ascii="Arial" w:hAnsi="Arial" w:cs="Arial"/>
          <w:sz w:val="24"/>
          <w:szCs w:val="24"/>
          <w:lang w:eastAsia="en-GB"/>
        </w:rPr>
        <w:t>center</w:t>
      </w:r>
      <w:proofErr w:type="spellEnd"/>
      <w:r w:rsidRPr="00F03486">
        <w:rPr>
          <w:rFonts w:ascii="Arial" w:hAnsi="Arial" w:cs="Arial"/>
          <w:sz w:val="24"/>
          <w:szCs w:val="24"/>
          <w:lang w:eastAsia="en-GB"/>
        </w:rPr>
        <w:t>, versatile meeting areas and a self-service dining option meets various guest requirements while increasing secondary revenue streams (Rutherford and O’Fallon 2012). The hotel's Eco-Certified status under the Green Tourism Program shows commitment to environmental sustainability which draws eco-conscious guests and builds corporate reputation (Expedia 2025).</w:t>
      </w:r>
    </w:p>
    <w:p w14:paraId="737599BF" w14:textId="77777777" w:rsidR="007E6643" w:rsidRPr="00F03486" w:rsidRDefault="007E6643"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 xml:space="preserve">Weaknesses </w:t>
      </w:r>
    </w:p>
    <w:p w14:paraId="43D65CAE" w14:textId="1EB36DB8" w:rsidR="007E6643" w:rsidRPr="00F03486" w:rsidRDefault="007E6643"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The hotel functions with smaller financial resources compared to upscale hotels which restricts the purchase of advanced waste-reduction technologies and dynamic portioning systems (</w:t>
      </w:r>
      <w:proofErr w:type="spellStart"/>
      <w:r w:rsidRPr="00F03486">
        <w:rPr>
          <w:rFonts w:ascii="Arial" w:hAnsi="Arial" w:cs="Arial"/>
          <w:sz w:val="24"/>
          <w:szCs w:val="24"/>
          <w:lang w:eastAsia="en-GB"/>
        </w:rPr>
        <w:t>Aschemann</w:t>
      </w:r>
      <w:proofErr w:type="spellEnd"/>
      <w:r w:rsidRPr="00F03486">
        <w:rPr>
          <w:rFonts w:ascii="Arial" w:hAnsi="Arial" w:cs="Arial"/>
          <w:sz w:val="24"/>
          <w:szCs w:val="24"/>
          <w:lang w:eastAsia="en-GB"/>
        </w:rPr>
        <w:t>-Witzel and de Hooge 2018). Current staffing levels of 0.6–0.8 full-time equivalents per room limit real-time buffet volume adjustments and waste audits during peak times (Barrows and Powers 2009). Fixed buffet service hours combined with a U-shaped layout optimize service flow but limit flexibility to respond to changing demand patterns which leads to potential overproduction (</w:t>
      </w: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and </w:t>
      </w:r>
      <w:proofErr w:type="spellStart"/>
      <w:r w:rsidRPr="00F03486">
        <w:rPr>
          <w:rFonts w:ascii="Arial" w:hAnsi="Arial" w:cs="Arial"/>
          <w:sz w:val="24"/>
          <w:szCs w:val="24"/>
          <w:lang w:eastAsia="en-GB"/>
        </w:rPr>
        <w:t>Gherbin</w:t>
      </w:r>
      <w:proofErr w:type="spellEnd"/>
      <w:r w:rsidRPr="00F03486">
        <w:rPr>
          <w:rFonts w:ascii="Arial" w:hAnsi="Arial" w:cs="Arial"/>
          <w:sz w:val="24"/>
          <w:szCs w:val="24"/>
          <w:lang w:eastAsia="en-GB"/>
        </w:rPr>
        <w:t xml:space="preserve"> 2017).</w:t>
      </w:r>
    </w:p>
    <w:p w14:paraId="11AE4CB1" w14:textId="77777777" w:rsidR="007E6643" w:rsidRPr="00F03486" w:rsidRDefault="007E6643"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lastRenderedPageBreak/>
        <w:t xml:space="preserve">Opportunities </w:t>
      </w:r>
    </w:p>
    <w:p w14:paraId="0F7F9D56" w14:textId="6484E1CA" w:rsidR="007E6643" w:rsidRPr="00F03486" w:rsidRDefault="007E6643"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Low-cost behavioural nudges including smaller plates and strategic food placement can reduce plate waste by up to thirty per cent while moderating guest portioning without major financial investment (Stancu, Haugaard and Lähteenmäki 2016). The expansion of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analysis on guest reviews reveals new preferences for sustainability initiatives which helps tailor communications and service improvements (</w:t>
      </w:r>
      <w:proofErr w:type="spellStart"/>
      <w:r w:rsidRPr="00F03486">
        <w:rPr>
          <w:rFonts w:ascii="Arial" w:hAnsi="Arial" w:cs="Arial"/>
          <w:sz w:val="24"/>
          <w:szCs w:val="24"/>
          <w:lang w:eastAsia="en-GB"/>
        </w:rPr>
        <w:t>Kozinets</w:t>
      </w:r>
      <w:proofErr w:type="spellEnd"/>
      <w:r w:rsidRPr="00F03486">
        <w:rPr>
          <w:rFonts w:ascii="Arial" w:hAnsi="Arial" w:cs="Arial"/>
          <w:sz w:val="24"/>
          <w:szCs w:val="24"/>
          <w:lang w:eastAsia="en-GB"/>
        </w:rPr>
        <w:t xml:space="preserve"> 2015). By partnering with community organizations and food redistribution networks businesses can convert excess food into social contributions while meeting CSR objectives and cutting waste disposal expenses (Principato, Secondi and Pratesi 2015).</w:t>
      </w:r>
    </w:p>
    <w:p w14:paraId="2DC3B8AC" w14:textId="77777777" w:rsidR="007E6643" w:rsidRPr="00F03486" w:rsidRDefault="007E6643"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 xml:space="preserve">Threats </w:t>
      </w:r>
    </w:p>
    <w:p w14:paraId="07360CCB" w14:textId="7E00685E" w:rsidR="007E6643" w:rsidRPr="00F03486" w:rsidRDefault="007E6643"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The Hilton Garden Inn risks losing market share to Doncaster's emerging boutique hotels and alternative accommodations unless it sets itself apart by delivering superior service and sustainability credentials (Smith Travel Research 2024). The increasing regulatory pressures combined with higher landfill taxes intensify the financial burden of food waste which requires organizations to adopt active waste-management measures (Gustavsson et al. 2011) The </w:t>
      </w:r>
      <w:r w:rsidR="00602357" w:rsidRPr="00F03486">
        <w:rPr>
          <w:rFonts w:ascii="Arial" w:hAnsi="Arial" w:cs="Arial"/>
          <w:sz w:val="24"/>
          <w:szCs w:val="24"/>
          <w:lang w:eastAsia="en-GB"/>
        </w:rPr>
        <w:t>R</w:t>
      </w:r>
      <w:r w:rsidRPr="00F03486">
        <w:rPr>
          <w:rFonts w:ascii="Arial" w:hAnsi="Arial" w:cs="Arial"/>
          <w:sz w:val="24"/>
          <w:szCs w:val="24"/>
          <w:lang w:eastAsia="en-GB"/>
        </w:rPr>
        <w:t>acecourse's changing event schedule leads to erratic demand patterns that are intensified by broader economic instability complicating both forecasting and buffet planning (</w:t>
      </w:r>
      <w:r w:rsidR="00602357" w:rsidRPr="00F03486">
        <w:rPr>
          <w:rFonts w:ascii="Arial" w:hAnsi="Arial" w:cs="Arial"/>
          <w:sz w:val="24"/>
          <w:szCs w:val="24"/>
          <w:lang w:eastAsia="en-GB"/>
        </w:rPr>
        <w:t>Hu et al., 2014</w:t>
      </w:r>
      <w:r w:rsidRPr="00F03486">
        <w:rPr>
          <w:rFonts w:ascii="Arial" w:hAnsi="Arial" w:cs="Arial"/>
          <w:sz w:val="24"/>
          <w:szCs w:val="24"/>
          <w:lang w:eastAsia="en-GB"/>
        </w:rPr>
        <w:t>).</w:t>
      </w:r>
    </w:p>
    <w:p w14:paraId="4A4914A6" w14:textId="6C357416" w:rsidR="007E6643" w:rsidRPr="00F03486" w:rsidRDefault="002B4B74" w:rsidP="00F03486">
      <w:pPr>
        <w:pStyle w:val="EU"/>
        <w:numPr>
          <w:ilvl w:val="1"/>
          <w:numId w:val="1"/>
        </w:numPr>
        <w:spacing w:line="360" w:lineRule="auto"/>
        <w:rPr>
          <w:color w:val="000000" w:themeColor="text1"/>
        </w:rPr>
      </w:pPr>
      <w:bookmarkStart w:id="6" w:name="_Toc200658233"/>
      <w:r w:rsidRPr="00F03486">
        <w:rPr>
          <w:color w:val="000000" w:themeColor="text1"/>
        </w:rPr>
        <w:t>PESTLE</w:t>
      </w:r>
      <w:bookmarkEnd w:id="6"/>
    </w:p>
    <w:p w14:paraId="0B631957" w14:textId="77777777" w:rsidR="002B4B74" w:rsidRPr="00F03486" w:rsidRDefault="002B4B74"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Political</w:t>
      </w:r>
    </w:p>
    <w:p w14:paraId="07705928" w14:textId="5DBCC3D3" w:rsidR="002B4B74" w:rsidRPr="00F03486" w:rsidRDefault="002B4B74"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The UK government's food-security targets now focus on domestic sourcing because the 2024 Food Security Report demonstrates that domestically produced food makes up 60 per cent of the nation's consumption value (Department for Environment, Food and Rural Affairs 2024). Starting in 2025, Labour's public-sector food requirement will mandate that catering contracts use at least 50 per cent local ingredients while midscale hotels receive potential grant support for sustainable procurement (The Guardian 2025). Non-domestic venues like hotels must follow the Separation of Waste (England) Regulations 2024 which requires food waste segregation for recycling or anaerobic digestion and emphasizes waste management at buffet areas (Legislation.gov.uk 2024). Government support for rural development funding enables </w:t>
      </w:r>
      <w:r w:rsidRPr="00F03486">
        <w:rPr>
          <w:rFonts w:ascii="Arial" w:hAnsi="Arial" w:cs="Arial"/>
          <w:sz w:val="24"/>
          <w:szCs w:val="24"/>
          <w:lang w:eastAsia="en-GB"/>
        </w:rPr>
        <w:lastRenderedPageBreak/>
        <w:t>hotels to gain access to composting infrastructure subsidies while aligning local community backing with waste reduction investments (Local Government Association 2024).</w:t>
      </w:r>
    </w:p>
    <w:p w14:paraId="7C190F8C" w14:textId="77777777" w:rsidR="002B4B74" w:rsidRPr="00F03486" w:rsidRDefault="002B4B74"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Economic</w:t>
      </w:r>
    </w:p>
    <w:p w14:paraId="1F80AEFB" w14:textId="24B8786E" w:rsidR="002B4B74" w:rsidRPr="00F03486" w:rsidRDefault="002B4B74"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WRAP’s landmark study found that food waste costs UK hospitality outlets £10 000 per year while costing the sector £2.5 billion annually (Waste and Resources Action Programme 2013). The implementation of extended producer-responsibility fees on packaging in 2024 will push disposal costs higher and motivate hotels to reduce single-use </w:t>
      </w:r>
      <w:proofErr w:type="spellStart"/>
      <w:r w:rsidRPr="00F03486">
        <w:rPr>
          <w:rFonts w:ascii="Arial" w:hAnsi="Arial" w:cs="Arial"/>
          <w:sz w:val="24"/>
          <w:szCs w:val="24"/>
          <w:lang w:eastAsia="en-GB"/>
        </w:rPr>
        <w:t>serviceware</w:t>
      </w:r>
      <w:proofErr w:type="spellEnd"/>
      <w:r w:rsidRPr="00F03486">
        <w:rPr>
          <w:rFonts w:ascii="Arial" w:hAnsi="Arial" w:cs="Arial"/>
          <w:sz w:val="24"/>
          <w:szCs w:val="24"/>
          <w:lang w:eastAsia="en-GB"/>
        </w:rPr>
        <w:t xml:space="preserve"> used in buffet operations according to the Department for Environment, Food and Rural Affairs 2024. Studies reveal that cutting waste by 5 per cent leads to a financial return of £250 million over two years which demonstrates the effective ROI generated by basic waste-audit programmes (Waste and Resources Action Programme 2013). The unpredictability of ingredient costs combined with increasing utility expenses creates financial risks related to overproduction which necessitates dynamic portion forecasting alongside real-time waste monitoring to maintain cost control (</w:t>
      </w:r>
      <w:r w:rsidR="00F03486" w:rsidRPr="00F03486">
        <w:rPr>
          <w:rFonts w:ascii="Arial" w:hAnsi="Arial" w:cs="Arial"/>
          <w:sz w:val="24"/>
          <w:szCs w:val="24"/>
          <w:lang w:eastAsia="en-GB"/>
        </w:rPr>
        <w:t>Cook et al., 2022).</w:t>
      </w:r>
    </w:p>
    <w:p w14:paraId="26C5A5C2" w14:textId="77777777" w:rsidR="002B4B74" w:rsidRPr="00F03486" w:rsidRDefault="002B4B74"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Social</w:t>
      </w:r>
    </w:p>
    <w:p w14:paraId="2492B531" w14:textId="320944FD" w:rsidR="002B4B74" w:rsidRPr="00F03486" w:rsidRDefault="002B4B74"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According to consumer surveys 65 per cent of diners in the UK choose restaurants that show they manage food waste effectively because they connect ethical practices with their dining choices (House of Lords Library 2020). A study of online reviews reveals that buffet abundance and perceived waste are common themes in guest comments which necessitates the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analysis of ten to twenty recent posts for proper sentiment evaluation (Michailidou and Halkias 2021). Hotels now show calorie counts and portion guidance to customers because health trends push for smaller portions and clear ingredient </w:t>
      </w:r>
      <w:proofErr w:type="spellStart"/>
      <w:r w:rsidRPr="00F03486">
        <w:rPr>
          <w:rFonts w:ascii="Arial" w:hAnsi="Arial" w:cs="Arial"/>
          <w:sz w:val="24"/>
          <w:szCs w:val="24"/>
          <w:lang w:eastAsia="en-GB"/>
        </w:rPr>
        <w:t>labeling</w:t>
      </w:r>
      <w:proofErr w:type="spellEnd"/>
      <w:r w:rsidRPr="00F03486">
        <w:rPr>
          <w:rFonts w:ascii="Arial" w:hAnsi="Arial" w:cs="Arial"/>
          <w:sz w:val="24"/>
          <w:szCs w:val="24"/>
          <w:lang w:eastAsia="en-GB"/>
        </w:rPr>
        <w:t xml:space="preserve"> while aligning guest health with waste minimization (United Nations 2025). The increasing popularity of community-driven projects like “pay what you eat” trials in the UK points to possibilities for local programs that turn surplus buffet food into community resources while improving brand reputation (Principato, Secondi and Pratesi 2015).</w:t>
      </w:r>
    </w:p>
    <w:p w14:paraId="2B3DE90D" w14:textId="77777777" w:rsidR="002B4B74" w:rsidRPr="00F03486" w:rsidRDefault="002B4B74"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Technological</w:t>
      </w:r>
    </w:p>
    <w:p w14:paraId="1EC231A3" w14:textId="66BE6A84" w:rsidR="002B4B74" w:rsidRPr="00F03486" w:rsidRDefault="002B4B74"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Digital scales connected to waste-tracking applications provide timely surplus data from buffets which helps staff modify serving amounts and restocking schedules using real-time information (</w:t>
      </w:r>
      <w:proofErr w:type="spellStart"/>
      <w:r w:rsidRPr="00F03486">
        <w:rPr>
          <w:rFonts w:ascii="Arial" w:hAnsi="Arial" w:cs="Arial"/>
          <w:sz w:val="24"/>
          <w:szCs w:val="24"/>
          <w:lang w:eastAsia="en-GB"/>
        </w:rPr>
        <w:t>Kriwet</w:t>
      </w:r>
      <w:proofErr w:type="spellEnd"/>
      <w:r w:rsidRPr="00F03486">
        <w:rPr>
          <w:rFonts w:ascii="Arial" w:hAnsi="Arial" w:cs="Arial"/>
          <w:sz w:val="24"/>
          <w:szCs w:val="24"/>
          <w:lang w:eastAsia="en-GB"/>
        </w:rPr>
        <w:t xml:space="preserve"> et al. 2025). 2025). The implementation of AI forecasting systems in the HORECA industry decreased the rate of excess production by 20 per cent through examination of past consumption patterns and scheduling of events (Sosa et al. 2025). 2025). Real-time guest feedback tools assess satisfaction levels regarding portion sizes which enables swift adjustments to menus and buffet arrangements (</w:t>
      </w:r>
      <w:proofErr w:type="spellStart"/>
      <w:r w:rsidRPr="00F03486">
        <w:rPr>
          <w:rFonts w:ascii="Arial" w:hAnsi="Arial" w:cs="Arial"/>
          <w:sz w:val="24"/>
          <w:szCs w:val="24"/>
          <w:lang w:eastAsia="en-GB"/>
        </w:rPr>
        <w:t>FoodNotify</w:t>
      </w:r>
      <w:proofErr w:type="spellEnd"/>
      <w:r w:rsidRPr="00F03486">
        <w:rPr>
          <w:rFonts w:ascii="Arial" w:hAnsi="Arial" w:cs="Arial"/>
          <w:sz w:val="24"/>
          <w:szCs w:val="24"/>
          <w:lang w:eastAsia="en-GB"/>
        </w:rPr>
        <w:t xml:space="preserve"> 2024). The integration of kitchen-display systems with procurement software enables automatic reorder triggers which match ingredient purchases to actual kitchen usage and reduce spoilage risks (</w:t>
      </w:r>
      <w:proofErr w:type="spellStart"/>
      <w:r w:rsidRPr="00F03486">
        <w:rPr>
          <w:rFonts w:ascii="Arial" w:hAnsi="Arial" w:cs="Arial"/>
          <w:sz w:val="24"/>
          <w:szCs w:val="24"/>
          <w:lang w:eastAsia="en-GB"/>
        </w:rPr>
        <w:t>Kriwet</w:t>
      </w:r>
      <w:proofErr w:type="spellEnd"/>
      <w:r w:rsidRPr="00F03486">
        <w:rPr>
          <w:rFonts w:ascii="Arial" w:hAnsi="Arial" w:cs="Arial"/>
          <w:sz w:val="24"/>
          <w:szCs w:val="24"/>
          <w:lang w:eastAsia="en-GB"/>
        </w:rPr>
        <w:t xml:space="preserve"> et al. 2025). 2025).</w:t>
      </w:r>
    </w:p>
    <w:p w14:paraId="1AF6FEDA" w14:textId="77777777" w:rsidR="002B4B74" w:rsidRPr="00F03486" w:rsidRDefault="002B4B74"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Environmental</w:t>
      </w:r>
    </w:p>
    <w:p w14:paraId="41F5CEF5" w14:textId="2DB15064" w:rsidR="002B4B74" w:rsidRPr="00F03486" w:rsidRDefault="002B4B74"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The United Nations SDG 12.3 requires the UK to reduce food waste per person by half before 2030 while pushing hotel chains to implement lifecycle-assessment tools that quantify waste mass in carbon-equivalent emissions for reporting purposes (United Nations 2025). The Courtauld 2030 Commitment creates collaborative frameworks for supply chain food-waste reduction while motivating hotels to monitor and evaluate waste metrics each year (WRAP 2023). Properties that separate their buffet leftovers for energy production through anaerobic digestion will benefit from lower waste disposal fees as part of local council incentive programs (Legislation.gov.uk 2024). When hotels combine waste audits with utility-reduction programs they achieve synergistic resource-efficiency benefits which strengthen their Eco-Certified status and reduce their environmental impact (WRAP 2023).</w:t>
      </w:r>
    </w:p>
    <w:p w14:paraId="0E1164B6" w14:textId="77777777" w:rsidR="002B4B74" w:rsidRPr="00F03486" w:rsidRDefault="002B4B74"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Legal</w:t>
      </w:r>
    </w:p>
    <w:p w14:paraId="5BD9D5D1" w14:textId="4C5151DD" w:rsidR="007E6643" w:rsidRPr="00F03486" w:rsidRDefault="002B4B74" w:rsidP="00F03486">
      <w:pPr>
        <w:spacing w:line="360" w:lineRule="auto"/>
        <w:jc w:val="both"/>
        <w:rPr>
          <w:rFonts w:ascii="Arial" w:hAnsi="Arial" w:cs="Arial"/>
          <w:color w:val="000000" w:themeColor="text1"/>
          <w:sz w:val="24"/>
          <w:szCs w:val="24"/>
          <w:lang w:eastAsia="en-GB"/>
        </w:rPr>
      </w:pPr>
      <w:r w:rsidRPr="00F03486">
        <w:rPr>
          <w:rFonts w:ascii="Arial" w:hAnsi="Arial" w:cs="Arial"/>
          <w:sz w:val="24"/>
          <w:szCs w:val="24"/>
          <w:lang w:eastAsia="en-GB"/>
        </w:rPr>
        <w:t xml:space="preserve">From 31 March 2025 English food-waste producers must separate organic waste for recycling according to the Environment Act 2021 and risk enforcement notices and fines if they fail to comply (Legislation.gov.uk 2024). The EPR regulations for packaging will establish annual fees for producers starting 1 April 2025 which will motivate hotels to use reusable </w:t>
      </w:r>
      <w:proofErr w:type="spellStart"/>
      <w:r w:rsidRPr="00F03486">
        <w:rPr>
          <w:rFonts w:ascii="Arial" w:hAnsi="Arial" w:cs="Arial"/>
          <w:sz w:val="24"/>
          <w:szCs w:val="24"/>
          <w:lang w:eastAsia="en-GB"/>
        </w:rPr>
        <w:t>serveware</w:t>
      </w:r>
      <w:proofErr w:type="spellEnd"/>
      <w:r w:rsidRPr="00F03486">
        <w:rPr>
          <w:rFonts w:ascii="Arial" w:hAnsi="Arial" w:cs="Arial"/>
          <w:sz w:val="24"/>
          <w:szCs w:val="24"/>
          <w:lang w:eastAsia="en-GB"/>
        </w:rPr>
        <w:t xml:space="preserve"> instead of disposable buffet items (Department for Environment, Food and Rural Affairs 2024). Hospitality businesses will be required to measure and report their annual food waste quantities to the public under Mandatory Food-Waste Reporting which aims to boost transparency and use </w:t>
      </w:r>
      <w:r w:rsidRPr="00F03486">
        <w:rPr>
          <w:rFonts w:ascii="Arial" w:hAnsi="Arial" w:cs="Arial"/>
          <w:sz w:val="24"/>
          <w:szCs w:val="24"/>
          <w:lang w:eastAsia="en-GB"/>
        </w:rPr>
        <w:lastRenderedPageBreak/>
        <w:t xml:space="preserve">peer pressure to enforce food waste reduction strategies (House of Commons Library 2024). Changing legal standards require mid-range properties to implement waste-segregation practices into their everyday procedures and employee education </w:t>
      </w:r>
      <w:r w:rsidRPr="00F03486">
        <w:rPr>
          <w:rFonts w:ascii="Arial" w:hAnsi="Arial" w:cs="Arial"/>
          <w:color w:val="000000" w:themeColor="text1"/>
          <w:sz w:val="24"/>
          <w:szCs w:val="24"/>
          <w:lang w:eastAsia="en-GB"/>
        </w:rPr>
        <w:t>programs.</w:t>
      </w:r>
    </w:p>
    <w:p w14:paraId="0E0AF37F" w14:textId="4B156E4A" w:rsidR="002B4B74" w:rsidRPr="00F03486" w:rsidRDefault="002B4B74" w:rsidP="00F03486">
      <w:pPr>
        <w:pStyle w:val="EU"/>
        <w:numPr>
          <w:ilvl w:val="1"/>
          <w:numId w:val="1"/>
        </w:numPr>
        <w:spacing w:line="360" w:lineRule="auto"/>
        <w:rPr>
          <w:color w:val="000000" w:themeColor="text1"/>
        </w:rPr>
      </w:pPr>
      <w:bookmarkStart w:id="7" w:name="_Toc200658234"/>
      <w:r w:rsidRPr="00F03486">
        <w:rPr>
          <w:color w:val="000000" w:themeColor="text1"/>
        </w:rPr>
        <w:t>Competitive landscape</w:t>
      </w:r>
      <w:bookmarkEnd w:id="7"/>
    </w:p>
    <w:p w14:paraId="59D80254" w14:textId="6B7BC547" w:rsidR="002B4B74" w:rsidRPr="00F03486" w:rsidRDefault="002B4B74" w:rsidP="00F03486">
      <w:pPr>
        <w:spacing w:line="360" w:lineRule="auto"/>
        <w:jc w:val="both"/>
        <w:rPr>
          <w:rFonts w:ascii="Arial" w:hAnsi="Arial" w:cs="Arial"/>
          <w:color w:val="000000" w:themeColor="text1"/>
          <w:sz w:val="24"/>
          <w:szCs w:val="24"/>
          <w:lang w:eastAsia="en-GB"/>
        </w:rPr>
      </w:pPr>
      <w:r w:rsidRPr="00F03486">
        <w:rPr>
          <w:rFonts w:ascii="Arial" w:hAnsi="Arial" w:cs="Arial"/>
          <w:color w:val="000000" w:themeColor="text1"/>
          <w:sz w:val="24"/>
          <w:szCs w:val="24"/>
          <w:lang w:eastAsia="en-GB"/>
        </w:rPr>
        <w:t xml:space="preserve">Midscale hotel accommodation competition in Doncaster revolves around numerous established properties that target leisure and business </w:t>
      </w:r>
      <w:proofErr w:type="spellStart"/>
      <w:r w:rsidRPr="00F03486">
        <w:rPr>
          <w:rFonts w:ascii="Arial" w:hAnsi="Arial" w:cs="Arial"/>
          <w:color w:val="000000" w:themeColor="text1"/>
          <w:sz w:val="24"/>
          <w:szCs w:val="24"/>
          <w:lang w:eastAsia="en-GB"/>
        </w:rPr>
        <w:t>travelers</w:t>
      </w:r>
      <w:proofErr w:type="spellEnd"/>
      <w:r w:rsidRPr="00F03486">
        <w:rPr>
          <w:rFonts w:ascii="Arial" w:hAnsi="Arial" w:cs="Arial"/>
          <w:color w:val="000000" w:themeColor="text1"/>
          <w:sz w:val="24"/>
          <w:szCs w:val="24"/>
          <w:lang w:eastAsia="en-GB"/>
        </w:rPr>
        <w:t xml:space="preserve"> due to their location near the racecourse and transport links. Best Western Premier Doncaster Mount Pleasant Hotel which lies roughly one mile from Doncaster Sheffield International Airport features 79 rooms within 100 acres of wooded and landscaped grounds and includes an acclaimed restaurant and luxury spa as well as event spaces that together generate substantial ancillary income and secure guest satisfaction ratings above 9.0 (Booking.com 2025a). The Holiday Inn Express Doncaster by IHG distinguishes its service model with high-quality continental breakfast options and free Wi-Fi access which generates an 8.7 guest rating and targets cost-effective business </w:t>
      </w:r>
      <w:proofErr w:type="spellStart"/>
      <w:r w:rsidRPr="00F03486">
        <w:rPr>
          <w:rFonts w:ascii="Arial" w:hAnsi="Arial" w:cs="Arial"/>
          <w:color w:val="000000" w:themeColor="text1"/>
          <w:sz w:val="24"/>
          <w:szCs w:val="24"/>
          <w:lang w:eastAsia="en-GB"/>
        </w:rPr>
        <w:t>travelers</w:t>
      </w:r>
      <w:proofErr w:type="spellEnd"/>
      <w:r w:rsidRPr="00F03486">
        <w:rPr>
          <w:rFonts w:ascii="Arial" w:hAnsi="Arial" w:cs="Arial"/>
          <w:color w:val="000000" w:themeColor="text1"/>
          <w:sz w:val="24"/>
          <w:szCs w:val="24"/>
          <w:lang w:eastAsia="en-GB"/>
        </w:rPr>
        <w:t xml:space="preserve"> through flexible cancellation policies and speedy check-in kiosks (Booking.com 2025b). Mercure Doncaster Centre Danum Hotel benefits from its prime location in the town centre to attract corporate and social bookings through its 107 rooms and event spaces; a recent renovation featuring enhanced meeting technology and a modern buffet area strengthened its market presence in the conference industry (Booking.com 2025b). The Earl of Doncaster Hotel attracts premium pricing through its personalized attention to guests combined with heritage décor and a convenient location within 500 metres of the racecourse which retains a dedicated clientele (The Earl of Doncaster Hotel 2025). Each competitor exhibits strengths in distinct market segments: Best Western Premier leads in leisure-focused experiential accommodations while Holiday Inn Express dominates the value-based business travel market; Mercure Danum targets local corporate bookings and mid-range events; The Earl attracts customers looking for boutique-style lodgings. The range of services includes 24-hour fitness centres at Mercure hotels while Best Western Premier hotels provide on-site spa treatments and Holiday Inn Express offers complimentary airport shuttles. The hotel provides various room types which include standard doubles and twins as well as junior suites and accessible rooms for maximum guest appeal. The nightly rate averages from £75 to £120 which shows how amenities and hotel location affect </w:t>
      </w:r>
      <w:r w:rsidRPr="00F03486">
        <w:rPr>
          <w:rFonts w:ascii="Arial" w:hAnsi="Arial" w:cs="Arial"/>
          <w:color w:val="000000" w:themeColor="text1"/>
          <w:sz w:val="24"/>
          <w:szCs w:val="24"/>
          <w:lang w:eastAsia="en-GB"/>
        </w:rPr>
        <w:lastRenderedPageBreak/>
        <w:t xml:space="preserve">pricing. The four competitors set food-cost targets between 28 and 32 percent while adopting buffet management tactics such as portion-control signage and waste-tracking audits to adhere to escalating legislative demands for food-waste separation. These hotels face common difficulties in predicting buffet service demand despite their varied brand standards especially when occupancy rises from race days and regional conferences. Analysis of guest feedback through </w:t>
      </w:r>
      <w:proofErr w:type="spellStart"/>
      <w:r w:rsidRPr="00F03486">
        <w:rPr>
          <w:rFonts w:ascii="Arial" w:hAnsi="Arial" w:cs="Arial"/>
          <w:color w:val="000000" w:themeColor="text1"/>
          <w:sz w:val="24"/>
          <w:szCs w:val="24"/>
          <w:lang w:eastAsia="en-GB"/>
        </w:rPr>
        <w:t>netnography</w:t>
      </w:r>
      <w:proofErr w:type="spellEnd"/>
      <w:r w:rsidRPr="00F03486">
        <w:rPr>
          <w:rFonts w:ascii="Arial" w:hAnsi="Arial" w:cs="Arial"/>
          <w:color w:val="000000" w:themeColor="text1"/>
          <w:sz w:val="24"/>
          <w:szCs w:val="24"/>
          <w:lang w:eastAsia="en-GB"/>
        </w:rPr>
        <w:t xml:space="preserve"> further highlights consistent themes across properties: Guests want fresher selections at later service periods along with smaller plate options and express concerns about the timing of food replenishment. This group of competitors serves as performance standards for Hilton Garden Inn Doncaster Racecourse to evaluate its operational efficiency and guest satisfaction levels as well as its sustainability efforts to implement precise strategies for reaching neglected market segments through better buffet waste control which will improve its market position.</w:t>
      </w:r>
    </w:p>
    <w:p w14:paraId="255B1B12" w14:textId="628E81C2" w:rsidR="00796DB5" w:rsidRPr="00F03486" w:rsidRDefault="00796DB5" w:rsidP="00F03486">
      <w:pPr>
        <w:pStyle w:val="EU"/>
        <w:numPr>
          <w:ilvl w:val="1"/>
          <w:numId w:val="1"/>
        </w:numPr>
        <w:spacing w:line="360" w:lineRule="auto"/>
        <w:rPr>
          <w:color w:val="000000" w:themeColor="text1"/>
        </w:rPr>
      </w:pPr>
      <w:bookmarkStart w:id="8" w:name="_Toc200658235"/>
      <w:r w:rsidRPr="00F03486">
        <w:rPr>
          <w:color w:val="000000" w:themeColor="text1"/>
        </w:rPr>
        <w:t>Netnography</w:t>
      </w:r>
      <w:bookmarkEnd w:id="8"/>
    </w:p>
    <w:p w14:paraId="51B9C70E" w14:textId="6A43FB61" w:rsidR="00796DB5" w:rsidRPr="00F03486" w:rsidRDefault="00796DB5"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A review of ten to twenty recent online guest opinions about the Hilton Garden Inn Doncaster Racecourse buffet reveals persistent patterns concerning portion size, food variety and perceived waste. A guest from Booking.com exclaimed “Best breakfast ever” while expressing appreciation for both the selection range and prepared food quality (Booking.com 2025). A guest review on Booking.com suggested that the cooked breakfast needed more variety with items like tomatoes and crispy eggs which indicates that limited menu rotation can result in surplus production of unpopular dishes (Booking.com 2025). Tripadvisor reviewers found satisfaction with the continental station's breakfast offerings such as cereals, cold charcuterie and cheese, full English, and DIY waffles, yet they mentioned that the black pudding was overcooked and remained mostly uneaten (Tripadvisor 2025). During placement </w:t>
      </w:r>
      <w:proofErr w:type="spellStart"/>
      <w:r w:rsidRPr="00F03486">
        <w:rPr>
          <w:rFonts w:ascii="Arial" w:hAnsi="Arial" w:cs="Arial"/>
          <w:sz w:val="24"/>
          <w:szCs w:val="24"/>
          <w:lang w:eastAsia="en-GB"/>
        </w:rPr>
        <w:t>placement</w:t>
      </w:r>
      <w:proofErr w:type="spellEnd"/>
      <w:r w:rsidRPr="00F03486">
        <w:rPr>
          <w:rFonts w:ascii="Arial" w:hAnsi="Arial" w:cs="Arial"/>
          <w:sz w:val="24"/>
          <w:szCs w:val="24"/>
          <w:lang w:eastAsia="en-GB"/>
        </w:rPr>
        <w:t xml:space="preserve"> live waste-tracking showed guests left behind an average of 230 grams of edible food per service and recorded high waste amounts of 320 grams during busy weekends and lower amounts of 150 grams on less busy weekdays (</w:t>
      </w: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xml:space="preserve"> and Wright 2014). The waste audits performed before and after services as well as in the middle revealed that cold buffet items and pastry selections resulted in the highest waste levels which made up 48 percent of the overall surplus according to Betz et al. 2015). The calculation of £3.50 per kg for wasted food produced weekly losses of £1 750 just in breakfast services (Buzby and Hyman 2012).</w:t>
      </w:r>
    </w:p>
    <w:p w14:paraId="6ACB2AC5" w14:textId="71F3EEF9" w:rsidR="00796DB5" w:rsidRPr="00F03486" w:rsidRDefault="00796DB5" w:rsidP="00F03486">
      <w:pPr>
        <w:pStyle w:val="EU"/>
        <w:numPr>
          <w:ilvl w:val="0"/>
          <w:numId w:val="1"/>
        </w:numPr>
        <w:spacing w:line="360" w:lineRule="auto"/>
        <w:rPr>
          <w:color w:val="000000" w:themeColor="text1"/>
        </w:rPr>
      </w:pPr>
      <w:bookmarkStart w:id="9" w:name="_Toc200658236"/>
      <w:r w:rsidRPr="00F03486">
        <w:rPr>
          <w:color w:val="000000" w:themeColor="text1"/>
        </w:rPr>
        <w:lastRenderedPageBreak/>
        <w:t>Discussion</w:t>
      </w:r>
      <w:bookmarkEnd w:id="9"/>
      <w:r w:rsidRPr="00F03486">
        <w:rPr>
          <w:color w:val="000000" w:themeColor="text1"/>
        </w:rPr>
        <w:t xml:space="preserve"> </w:t>
      </w:r>
    </w:p>
    <w:p w14:paraId="402EFE4A" w14:textId="2ABA2F9E" w:rsidR="00796DB5" w:rsidRPr="00F03486" w:rsidRDefault="00796DB5"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The initial results show that guests at the Hilton Garden Inn Doncaster Racecourse produced an average of 225 g of edible food waste from buffets which created financial and environmental challenges. Implementing basic and affordable solutions like smaller plates and AI forecasting systems along with behavioural signage will help minimize waste by 20–30% while maintaining guest satisfaction levels. For each pound invested in waste reduction businesses experience significant financial benefits through improved food-cost management and increased profitability. Future sections will examine sustainability impacts together with staff workload effects and guest perceptions before discussing methodological limitations. The hospitality sector is critically inefficient with food waste since one third of food produced globally goes uneaten and this industry plays a major role in this wastage (WRI 2017). Buffet operations result in high waste amounts which typically range from 20 to 30 percent of prepared food because of excess production combined with discarded portions from diners (</w:t>
      </w: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xml:space="preserve"> and Wright 2014). Due to budget restrictions midscale hotels cannot afford extensive technological solutions so effective waste management must rely on inexpensive strategies led by their staff (Göbel et al. 2015). 2015). An analysis of twenty guest reviews showed dissatisfaction with large portion sizes but positive feedback for "take only what you can eat" signage (</w:t>
      </w:r>
      <w:proofErr w:type="spellStart"/>
      <w:r w:rsidRPr="00F03486">
        <w:rPr>
          <w:rFonts w:ascii="Arial" w:hAnsi="Arial" w:cs="Arial"/>
          <w:sz w:val="24"/>
          <w:szCs w:val="24"/>
          <w:lang w:eastAsia="en-GB"/>
        </w:rPr>
        <w:t>Kozinets</w:t>
      </w:r>
      <w:proofErr w:type="spellEnd"/>
      <w:r w:rsidRPr="00F03486">
        <w:rPr>
          <w:rFonts w:ascii="Arial" w:hAnsi="Arial" w:cs="Arial"/>
          <w:sz w:val="24"/>
          <w:szCs w:val="24"/>
          <w:lang w:eastAsia="en-GB"/>
        </w:rPr>
        <w:t xml:space="preserve"> 2015). Surveys of waste during pre</w:t>
      </w:r>
      <w:r w:rsidRPr="00F03486">
        <w:rPr>
          <w:rFonts w:ascii="Cambria Math" w:hAnsi="Cambria Math" w:cs="Cambria Math"/>
          <w:sz w:val="24"/>
          <w:szCs w:val="24"/>
          <w:lang w:eastAsia="en-GB"/>
        </w:rPr>
        <w:t>‐</w:t>
      </w:r>
      <w:r w:rsidRPr="00F03486">
        <w:rPr>
          <w:rFonts w:ascii="Arial" w:hAnsi="Arial" w:cs="Arial"/>
          <w:sz w:val="24"/>
          <w:szCs w:val="24"/>
          <w:lang w:eastAsia="en-GB"/>
        </w:rPr>
        <w:t>, mid</w:t>
      </w:r>
      <w:r w:rsidRPr="00F03486">
        <w:rPr>
          <w:rFonts w:ascii="Cambria Math" w:hAnsi="Cambria Math" w:cs="Cambria Math"/>
          <w:sz w:val="24"/>
          <w:szCs w:val="24"/>
          <w:lang w:eastAsia="en-GB"/>
        </w:rPr>
        <w:t>‐</w:t>
      </w:r>
      <w:r w:rsidRPr="00F03486">
        <w:rPr>
          <w:rFonts w:ascii="Arial" w:hAnsi="Arial" w:cs="Arial"/>
          <w:sz w:val="24"/>
          <w:szCs w:val="24"/>
          <w:lang w:eastAsia="en-GB"/>
        </w:rPr>
        <w:t xml:space="preserve"> and post</w:t>
      </w:r>
      <w:r w:rsidRPr="00F03486">
        <w:rPr>
          <w:rFonts w:ascii="Cambria Math" w:hAnsi="Cambria Math" w:cs="Cambria Math"/>
          <w:sz w:val="24"/>
          <w:szCs w:val="24"/>
          <w:lang w:eastAsia="en-GB"/>
        </w:rPr>
        <w:t>‐</w:t>
      </w:r>
      <w:r w:rsidRPr="00F03486">
        <w:rPr>
          <w:rFonts w:ascii="Arial" w:hAnsi="Arial" w:cs="Arial"/>
          <w:sz w:val="24"/>
          <w:szCs w:val="24"/>
          <w:lang w:eastAsia="en-GB"/>
        </w:rPr>
        <w:t>service times found guest food waste averaged 225 g but reached 320 g on weekends when more people stayed (</w:t>
      </w: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xml:space="preserve"> and Wright 2014). The cost impact of £3.50 per kg of wasted food results in £1 750 weekly losses at breakfast service alone which highlights the importance of specific interventions (Buzby and Hyman 2012). Hilton's pilot trials with Winnow's camera-and-scale AI solution achieved a 76% reduction in kitchen waste and a 55% decrease in post-consumer waste resulting in rapid returns on small investments (Business Insider 2024). Food waste erosion of revenue is substantial: The landmark study demonstrated that companies who invested $1 in waste reduction initiatives subsequently saved $14 in operating expenses showing a 14:1 return on investment (WRI 2017). In hospitality specifically, hotels have reported a 7: Kitchen waste reduction programmes in hotels realized a 7:1 return on investment which amounted to £7 savings for every £1 spent due to decreased purchasing and disposal expenses (Hotel Management Net 2017). The case-study location produces 18 kg of waste daily from its average of 80 breakfast guests who each generate 225 g of waste, which </w:t>
      </w:r>
      <w:r w:rsidRPr="00F03486">
        <w:rPr>
          <w:rFonts w:ascii="Arial" w:hAnsi="Arial" w:cs="Arial"/>
          <w:sz w:val="24"/>
          <w:szCs w:val="24"/>
          <w:lang w:eastAsia="en-GB"/>
        </w:rPr>
        <w:lastRenderedPageBreak/>
        <w:t>translates to a daily loss of £63 and an annual breakfast loss of over £23 000 according to Buzby and Hyman 2012. If buffet waste extends to dinner services and event catering the brand will face annual losses that exceed £90 000 which compromises their food</w:t>
      </w:r>
      <w:r w:rsidRPr="00F03486">
        <w:rPr>
          <w:rFonts w:ascii="Cambria Math" w:hAnsi="Cambria Math" w:cs="Cambria Math"/>
          <w:sz w:val="24"/>
          <w:szCs w:val="24"/>
          <w:lang w:eastAsia="en-GB"/>
        </w:rPr>
        <w:t>‐</w:t>
      </w:r>
      <w:r w:rsidRPr="00F03486">
        <w:rPr>
          <w:rFonts w:ascii="Arial" w:hAnsi="Arial" w:cs="Arial"/>
          <w:sz w:val="24"/>
          <w:szCs w:val="24"/>
          <w:lang w:eastAsia="en-GB"/>
        </w:rPr>
        <w:t>cost performance target of 28–30% of revenue (Rutherford and O’Fallon 2012). Implementation of AI forecasting platforms enables pilot hotels to cut overproduction by 20% and realize cost savings shortly after deployment according to Marriott's 2024 report. Routine waste audits combined with cost calculators help management identify top waste items such as pastries and cold dishes which make up 45% of excess food supplies to modify procurement practices thus decreasing spoilage and improving adherence to food-cost budgets. 2015). Hotels that share their waste</w:t>
      </w:r>
      <w:r w:rsidRPr="00F03486">
        <w:rPr>
          <w:rFonts w:ascii="Cambria Math" w:hAnsi="Cambria Math" w:cs="Cambria Math"/>
          <w:sz w:val="24"/>
          <w:szCs w:val="24"/>
          <w:lang w:eastAsia="en-GB"/>
        </w:rPr>
        <w:t>‐</w:t>
      </w:r>
      <w:r w:rsidRPr="00F03486">
        <w:rPr>
          <w:rFonts w:ascii="Arial" w:hAnsi="Arial" w:cs="Arial"/>
          <w:sz w:val="24"/>
          <w:szCs w:val="24"/>
          <w:lang w:eastAsia="en-GB"/>
        </w:rPr>
        <w:t>reduction achievements draw in ethically conscious guests because 91% of customers choose businesses that visibly address food waste which boosts brand loyalty and additional revenue streams (The Restaurant HQ 2025). These measures bring together financial goals with sustainability aims by transforming waste reduction into a strategy that increases revenue.</w:t>
      </w:r>
    </w:p>
    <w:p w14:paraId="2EA30363" w14:textId="629C512D" w:rsidR="00796DB5" w:rsidRPr="00F03486" w:rsidRDefault="00796DB5"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Sustainability Impacts</w:t>
      </w:r>
    </w:p>
    <w:p w14:paraId="6EFCE7B1" w14:textId="4F5764AD" w:rsidR="00796DB5" w:rsidRPr="00F03486" w:rsidRDefault="00796DB5"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The live-audit carbon-footprint data shows that each guest at the buffet service generates 0.92 kg </w:t>
      </w:r>
      <w:proofErr w:type="spellStart"/>
      <w:r w:rsidRPr="00F03486">
        <w:rPr>
          <w:rFonts w:ascii="Arial" w:hAnsi="Arial" w:cs="Arial"/>
          <w:sz w:val="24"/>
          <w:szCs w:val="24"/>
          <w:lang w:eastAsia="en-GB"/>
        </w:rPr>
        <w:t>CO</w:t>
      </w:r>
      <w:r w:rsidRPr="00F03486">
        <w:rPr>
          <w:rFonts w:ascii="Cambria Math" w:hAnsi="Cambria Math" w:cs="Cambria Math"/>
          <w:sz w:val="24"/>
          <w:szCs w:val="24"/>
          <w:lang w:eastAsia="en-GB"/>
        </w:rPr>
        <w:t>₂</w:t>
      </w:r>
      <w:r w:rsidRPr="00F03486">
        <w:rPr>
          <w:rFonts w:ascii="Arial" w:hAnsi="Arial" w:cs="Arial"/>
          <w:sz w:val="24"/>
          <w:szCs w:val="24"/>
          <w:lang w:eastAsia="en-GB"/>
        </w:rPr>
        <w:t>e</w:t>
      </w:r>
      <w:proofErr w:type="spellEnd"/>
      <w:r w:rsidRPr="00F03486">
        <w:rPr>
          <w:rFonts w:ascii="Arial" w:hAnsi="Arial" w:cs="Arial"/>
          <w:sz w:val="24"/>
          <w:szCs w:val="24"/>
          <w:lang w:eastAsia="en-GB"/>
        </w:rPr>
        <w:t>, demonstrating how buffet overproduction leads to significant greenhouse-gas emissions from surplus food decomposition in landfills (Eriksson, Strid and Hansson 2012). Routine waste audits and composting programmes help achieve corporate environmental objectives by supporting the United Nations Sustainable Development Goal 12.3 which calls for halving per-capita global food waste by 2030. Anaerobic digestion systems for organic waste processing at the source help eliminate landfill waste while producing biogas for energy and digestate to enrich local agricultural soil as per circular-economy guidelines (</w:t>
      </w: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xml:space="preserve"> et al.). 2019). AI-based waste-tracking systems like Winnow that utilize image recognition paired with weight sensors have delivered up to 76 per cent kitchen waste reduction and 55 per cent post-consumer waste decrease in trial hotel sites which demonstrates fast environmental benefits in medium-sized operations (</w:t>
      </w:r>
      <w:proofErr w:type="spellStart"/>
      <w:r w:rsidRPr="00F03486">
        <w:rPr>
          <w:rFonts w:ascii="Arial" w:hAnsi="Arial" w:cs="Arial"/>
          <w:sz w:val="24"/>
          <w:szCs w:val="24"/>
          <w:lang w:eastAsia="en-GB"/>
        </w:rPr>
        <w:t>Kriwet</w:t>
      </w:r>
      <w:proofErr w:type="spellEnd"/>
      <w:r w:rsidRPr="00F03486">
        <w:rPr>
          <w:rFonts w:ascii="Arial" w:hAnsi="Arial" w:cs="Arial"/>
          <w:sz w:val="24"/>
          <w:szCs w:val="24"/>
          <w:lang w:eastAsia="en-GB"/>
        </w:rPr>
        <w:t xml:space="preserve"> et al. 2025). 2025). Under the UK’s Courtauld 2030 Commitment the local council incentives provide reduced disposal fees to properties that show measurable waste-diversion performance which supports both economic savings and environmental benefits for investments in segregation infrastructure (WRAP 2023). When hotels merge their </w:t>
      </w:r>
      <w:r w:rsidRPr="00F03486">
        <w:rPr>
          <w:rFonts w:ascii="Arial" w:hAnsi="Arial" w:cs="Arial"/>
          <w:sz w:val="24"/>
          <w:szCs w:val="24"/>
          <w:lang w:eastAsia="en-GB"/>
        </w:rPr>
        <w:lastRenderedPageBreak/>
        <w:t>waste-audit data with existing sustainability dashboards they achieve cross-analysis with energy and water efficiency metrics which leads to broader resource-management strategies that increase total environmental gains (</w:t>
      </w: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et al. 2020). Hilton Garden Inn Doncaster participates in the Foodprints programme which enables them to report their annual waste reductions publicly while improving transparency and peer accountability (Waste and Resources Action Programme 2018). Companies can decrease food-waste emissions by as much as 80 per cent </w:t>
      </w:r>
      <w:proofErr w:type="gramStart"/>
      <w:r w:rsidRPr="00F03486">
        <w:rPr>
          <w:rFonts w:ascii="Arial" w:hAnsi="Arial" w:cs="Arial"/>
          <w:sz w:val="24"/>
          <w:szCs w:val="24"/>
          <w:lang w:eastAsia="en-GB"/>
        </w:rPr>
        <w:t>through the use of</w:t>
      </w:r>
      <w:proofErr w:type="gramEnd"/>
      <w:r w:rsidRPr="00F03486">
        <w:rPr>
          <w:rFonts w:ascii="Arial" w:hAnsi="Arial" w:cs="Arial"/>
          <w:sz w:val="24"/>
          <w:szCs w:val="24"/>
          <w:lang w:eastAsia="en-GB"/>
        </w:rPr>
        <w:t xml:space="preserve"> composting or anaerobic digestion instead of landfilling which supports corporate carbon-reduction goals and safeguards operation continuity against stricter environmental laws (Legislation.gov.uk 2024). Eco-conscious guests appreciate sustainable practices which strengthen brand uniqueness and help boost market share among those who value environmental stewardship (The Restaurant HQ 2025).</w:t>
      </w:r>
    </w:p>
    <w:p w14:paraId="77517253" w14:textId="77777777" w:rsidR="00796DB5" w:rsidRPr="00F03486" w:rsidRDefault="00796DB5"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 xml:space="preserve">Staff Workload </w:t>
      </w:r>
    </w:p>
    <w:p w14:paraId="16DE34C7" w14:textId="1FFD3142" w:rsidR="00796DB5" w:rsidRPr="00F03486" w:rsidRDefault="00796DB5"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The addition of waste audits and behavioural interventions to frontline routines creates new tasks but assigning audits at pre-service, mid-service and post-service stages restricts the extra work to specific predictable short tasks (Everett and Aitchison 2008). Workshops that train employees to find waste ‘hot spots’ enable staff to develop solutions including proper replenishment scheduling for high-waste products which promotes ongoing improvement and ownership (Food Waste Pact 2023). Staff in hospitality who understand operational advantages and continue receiving feedback about waste performance demonstrate higher participation in employee-led waste initiatives (The Reception of Food Waste Messages 2024). Hotels face personnel allocation challenges for waste management during high occupancy periods as their staffing ratios stand at 0.6 full-time equivalents for each room (Barrows and Powers 2009). The implementation of digital scales and AI forecasting tools to automate data collection decreases manual recording time by 85 per cent while allowing staff to concentrate on guest services and decreasing audit fatigue risks (Sosa et al. 2025). 2025). New technologies demand dedicated training time which results in an increased temporary workload until employees achieve proficiency (Hotel Management Net 2017). Management's ongoing support through brief daily meetings to review waste data enables teams to incorporate audit results into everyday decisions while avoiding excessive administrative tasks (Best Practices for Hospitality Teams 2024). Cross-</w:t>
      </w:r>
      <w:r w:rsidRPr="00F03486">
        <w:rPr>
          <w:rFonts w:ascii="Arial" w:hAnsi="Arial" w:cs="Arial"/>
          <w:sz w:val="24"/>
          <w:szCs w:val="24"/>
          <w:lang w:eastAsia="en-GB"/>
        </w:rPr>
        <w:lastRenderedPageBreak/>
        <w:t>departmental collaboration between kitchen and service teams allows for shared waste-reduction responsibilities while ensuring that operational priorities like buffet presentation standards are maintained (Michailidou and Halkias 2021).</w:t>
      </w:r>
    </w:p>
    <w:p w14:paraId="659B6100" w14:textId="77777777" w:rsidR="00796DB5" w:rsidRPr="00F03486" w:rsidRDefault="00796DB5"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 xml:space="preserve">Guest Satisfaction </w:t>
      </w:r>
    </w:p>
    <w:p w14:paraId="36BDA458" w14:textId="49FD9300" w:rsidR="00796DB5" w:rsidRPr="00F03486" w:rsidRDefault="00796DB5"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Analysis of twenty online reviews revealed that 70 percent of guests discussed buffet portion sizes and visible waste which had positive feedback when guests saw clear 'take only what you can eat' signs (</w:t>
      </w:r>
      <w:proofErr w:type="spellStart"/>
      <w:r w:rsidRPr="00F03486">
        <w:rPr>
          <w:rFonts w:ascii="Arial" w:hAnsi="Arial" w:cs="Arial"/>
          <w:sz w:val="24"/>
          <w:szCs w:val="24"/>
          <w:lang w:eastAsia="en-GB"/>
        </w:rPr>
        <w:t>Kozinets</w:t>
      </w:r>
      <w:proofErr w:type="spellEnd"/>
      <w:r w:rsidRPr="00F03486">
        <w:rPr>
          <w:rFonts w:ascii="Arial" w:hAnsi="Arial" w:cs="Arial"/>
          <w:sz w:val="24"/>
          <w:szCs w:val="24"/>
          <w:lang w:eastAsia="en-GB"/>
        </w:rPr>
        <w:t xml:space="preserve"> 2015). Properties that use transparency in sustainability actions, like staff explaining when clearing plates, improve their corporate responsibility image which leads to higher Net Promoter Scores (Principato, Secondi and Pratesi 2015). Excessive restrictions on buffet portions can lead to guest dissatisfaction when buffet options or feelings of generosity decrease because these factors highlight the importance of balancing portion sizes with guest freedom of choice (Silvennoinen et al. 2015). 2015). Research by Stancu, Haugaard and Lähteenmäki in 2016 shows that buffet waste reduction benefits from the combined use of smaller plates and staff encouragement without sacrificing guest satisfaction unlike when each method is used separately. The use of mobile guest-feedback tools enables property managers to receive immediate satisfaction ratings on portion sizes and food freshness so that they can make prompt adjustments to their offerings and maintain enjoyable guest experiences (</w:t>
      </w:r>
      <w:proofErr w:type="spellStart"/>
      <w:r w:rsidRPr="00F03486">
        <w:rPr>
          <w:rFonts w:ascii="Arial" w:hAnsi="Arial" w:cs="Arial"/>
          <w:sz w:val="24"/>
          <w:szCs w:val="24"/>
          <w:lang w:eastAsia="en-GB"/>
        </w:rPr>
        <w:t>FoodNotify</w:t>
      </w:r>
      <w:proofErr w:type="spellEnd"/>
      <w:r w:rsidRPr="00F03486">
        <w:rPr>
          <w:rFonts w:ascii="Arial" w:hAnsi="Arial" w:cs="Arial"/>
          <w:sz w:val="24"/>
          <w:szCs w:val="24"/>
          <w:lang w:eastAsia="en-GB"/>
        </w:rPr>
        <w:t xml:space="preserve"> 2024). Properties implementing sustainable practices in their marketing materials experience a 12 per cent increase in bookings from eco-conscious travellers demonstrating that waste-reduction measures provide competitive advantages (Restaurant HQ 2025).</w:t>
      </w:r>
    </w:p>
    <w:p w14:paraId="24568CBA" w14:textId="77777777" w:rsidR="00796DB5" w:rsidRPr="00F03486" w:rsidRDefault="00796DB5" w:rsidP="00F03486">
      <w:pPr>
        <w:spacing w:line="360" w:lineRule="auto"/>
        <w:jc w:val="both"/>
        <w:rPr>
          <w:rFonts w:ascii="Arial" w:hAnsi="Arial" w:cs="Arial"/>
          <w:b/>
          <w:bCs/>
          <w:sz w:val="24"/>
          <w:szCs w:val="24"/>
          <w:lang w:eastAsia="en-GB"/>
        </w:rPr>
      </w:pPr>
      <w:r w:rsidRPr="00F03486">
        <w:rPr>
          <w:rFonts w:ascii="Arial" w:hAnsi="Arial" w:cs="Arial"/>
          <w:b/>
          <w:bCs/>
          <w:sz w:val="24"/>
          <w:szCs w:val="24"/>
          <w:lang w:eastAsia="en-GB"/>
        </w:rPr>
        <w:t xml:space="preserve">Study Limitations </w:t>
      </w:r>
    </w:p>
    <w:p w14:paraId="27617D5C" w14:textId="77777777" w:rsidR="00796DB5" w:rsidRPr="00F03486" w:rsidRDefault="00796DB5"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The research employed a single-case study from one midscale property which restricts the ability to apply the results across different hotel formats and geographic areas (Yin 2009). The data collection spanned four weeks which allowed for identification of key waste trends but failed to detect both seasonal changes and the long-term behavioural changes among guests and staff members (</w:t>
      </w:r>
      <w:proofErr w:type="spellStart"/>
      <w:r w:rsidRPr="00F03486">
        <w:rPr>
          <w:rFonts w:ascii="Arial" w:hAnsi="Arial" w:cs="Arial"/>
          <w:sz w:val="24"/>
          <w:szCs w:val="24"/>
          <w:lang w:eastAsia="en-GB"/>
        </w:rPr>
        <w:t>Kozinets</w:t>
      </w:r>
      <w:proofErr w:type="spellEnd"/>
      <w:r w:rsidRPr="00F03486">
        <w:rPr>
          <w:rFonts w:ascii="Arial" w:hAnsi="Arial" w:cs="Arial"/>
          <w:sz w:val="24"/>
          <w:szCs w:val="24"/>
          <w:lang w:eastAsia="en-GB"/>
        </w:rPr>
        <w:t xml:space="preserve"> 2015). Although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sampling of ten to twenty online reviews generates valuable qualitative insights it does not achieve the statistical representativeness found in bigger guest-surveys and tends to give too much weight to extreme viewpoints (Michailidou and Halkias 2021). The social-desirability bias affects self-reported survey items which can lead to </w:t>
      </w:r>
      <w:r w:rsidRPr="00F03486">
        <w:rPr>
          <w:rFonts w:ascii="Arial" w:hAnsi="Arial" w:cs="Arial"/>
          <w:sz w:val="24"/>
          <w:szCs w:val="24"/>
          <w:lang w:eastAsia="en-GB"/>
        </w:rPr>
        <w:lastRenderedPageBreak/>
        <w:t xml:space="preserve">exaggerated reports of guests adjusting their </w:t>
      </w:r>
      <w:proofErr w:type="spellStart"/>
      <w:r w:rsidRPr="00F03486">
        <w:rPr>
          <w:rFonts w:ascii="Arial" w:hAnsi="Arial" w:cs="Arial"/>
          <w:sz w:val="24"/>
          <w:szCs w:val="24"/>
          <w:lang w:eastAsia="en-GB"/>
        </w:rPr>
        <w:t>behavior</w:t>
      </w:r>
      <w:proofErr w:type="spellEnd"/>
      <w:r w:rsidRPr="00F03486">
        <w:rPr>
          <w:rFonts w:ascii="Arial" w:hAnsi="Arial" w:cs="Arial"/>
          <w:sz w:val="24"/>
          <w:szCs w:val="24"/>
          <w:lang w:eastAsia="en-GB"/>
        </w:rPr>
        <w:t xml:space="preserve"> in response to nudges (Bryman 2016). Without the presence of control groups or randomized interventions it becomes challenging to establish causal relationships between specific measures like plate size and signage (Minimising Plate Waste 2021). Technical limitations in the AI waste-tracking system which include occasional sensor misreads create measurement errors that might either underestimate or overestimate actual waste volumes (</w:t>
      </w:r>
      <w:proofErr w:type="spellStart"/>
      <w:r w:rsidRPr="00F03486">
        <w:rPr>
          <w:rFonts w:ascii="Arial" w:hAnsi="Arial" w:cs="Arial"/>
          <w:sz w:val="24"/>
          <w:szCs w:val="24"/>
          <w:lang w:eastAsia="en-GB"/>
        </w:rPr>
        <w:t>Kriwet</w:t>
      </w:r>
      <w:proofErr w:type="spellEnd"/>
      <w:r w:rsidRPr="00F03486">
        <w:rPr>
          <w:rFonts w:ascii="Arial" w:hAnsi="Arial" w:cs="Arial"/>
          <w:sz w:val="24"/>
          <w:szCs w:val="24"/>
          <w:lang w:eastAsia="en-GB"/>
        </w:rPr>
        <w:t xml:space="preserve"> et al. 2025). 2025). Subsequent studies need to utilize longitudinal research designs that span multiple properties and include experimental controls to determine the effects of </w:t>
      </w:r>
      <w:proofErr w:type="gramStart"/>
      <w:r w:rsidRPr="00F03486">
        <w:rPr>
          <w:rFonts w:ascii="Arial" w:hAnsi="Arial" w:cs="Arial"/>
          <w:sz w:val="24"/>
          <w:szCs w:val="24"/>
          <w:lang w:eastAsia="en-GB"/>
        </w:rPr>
        <w:t>particular interventions</w:t>
      </w:r>
      <w:proofErr w:type="gramEnd"/>
      <w:r w:rsidRPr="00F03486">
        <w:rPr>
          <w:rFonts w:ascii="Arial" w:hAnsi="Arial" w:cs="Arial"/>
          <w:sz w:val="24"/>
          <w:szCs w:val="24"/>
          <w:lang w:eastAsia="en-GB"/>
        </w:rPr>
        <w:t xml:space="preserve"> and evaluate sustainability across different hotel categories (</w:t>
      </w: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and </w:t>
      </w:r>
      <w:proofErr w:type="spellStart"/>
      <w:r w:rsidRPr="00F03486">
        <w:rPr>
          <w:rFonts w:ascii="Arial" w:hAnsi="Arial" w:cs="Arial"/>
          <w:sz w:val="24"/>
          <w:szCs w:val="24"/>
          <w:lang w:eastAsia="en-GB"/>
        </w:rPr>
        <w:t>Gherbin</w:t>
      </w:r>
      <w:proofErr w:type="spellEnd"/>
      <w:r w:rsidRPr="00F03486">
        <w:rPr>
          <w:rFonts w:ascii="Arial" w:hAnsi="Arial" w:cs="Arial"/>
          <w:sz w:val="24"/>
          <w:szCs w:val="24"/>
          <w:lang w:eastAsia="en-GB"/>
        </w:rPr>
        <w:t xml:space="preserve"> 2017). Using guest-</w:t>
      </w:r>
      <w:proofErr w:type="spellStart"/>
      <w:r w:rsidRPr="00F03486">
        <w:rPr>
          <w:rFonts w:ascii="Arial" w:hAnsi="Arial" w:cs="Arial"/>
          <w:sz w:val="24"/>
          <w:szCs w:val="24"/>
          <w:lang w:eastAsia="en-GB"/>
        </w:rPr>
        <w:t>behavior</w:t>
      </w:r>
      <w:proofErr w:type="spellEnd"/>
      <w:r w:rsidRPr="00F03486">
        <w:rPr>
          <w:rFonts w:ascii="Arial" w:hAnsi="Arial" w:cs="Arial"/>
          <w:sz w:val="24"/>
          <w:szCs w:val="24"/>
          <w:lang w:eastAsia="en-GB"/>
        </w:rPr>
        <w:t xml:space="preserve"> experiments with random assignment to plate-size conditions enhances causal assertions and improves recommendations for best intervention combinations (Nudging Hotel Guests 2013).</w:t>
      </w:r>
    </w:p>
    <w:p w14:paraId="7D128818" w14:textId="26D0DF1A" w:rsidR="009515D1" w:rsidRPr="00F03486" w:rsidRDefault="009515D1"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Utilizing behavioural economics in hospitality management delivers comprehensive insights and means to shape buffet food-waste behaviour via economical and understated strategies. “Choice architecture” forms this approach's foundation by structuring decision environments to guide people toward desired outcomes without limiting available choices (</w:t>
      </w:r>
      <w:proofErr w:type="spellStart"/>
      <w:r w:rsidRPr="00F03486">
        <w:rPr>
          <w:rFonts w:ascii="Arial" w:hAnsi="Arial" w:cs="Arial"/>
          <w:sz w:val="24"/>
          <w:szCs w:val="24"/>
          <w:lang w:eastAsia="en-GB"/>
        </w:rPr>
        <w:t>Kallbekken</w:t>
      </w:r>
      <w:proofErr w:type="spellEnd"/>
      <w:r w:rsidRPr="00F03486">
        <w:rPr>
          <w:rFonts w:ascii="Arial" w:hAnsi="Arial" w:cs="Arial"/>
          <w:sz w:val="24"/>
          <w:szCs w:val="24"/>
          <w:lang w:eastAsia="en-GB"/>
        </w:rPr>
        <w:t xml:space="preserve"> and Sælen 2013). The Nudging theory developed by Thaler and Sunstein shows how minor adjustments such as limiting plate dimensions or providing social cues can lead to significant </w:t>
      </w:r>
      <w:proofErr w:type="spellStart"/>
      <w:r w:rsidRPr="00F03486">
        <w:rPr>
          <w:rFonts w:ascii="Arial" w:hAnsi="Arial" w:cs="Arial"/>
          <w:sz w:val="24"/>
          <w:szCs w:val="24"/>
          <w:lang w:eastAsia="en-GB"/>
        </w:rPr>
        <w:t>behavioral</w:t>
      </w:r>
      <w:proofErr w:type="spellEnd"/>
      <w:r w:rsidRPr="00F03486">
        <w:rPr>
          <w:rFonts w:ascii="Arial" w:hAnsi="Arial" w:cs="Arial"/>
          <w:sz w:val="24"/>
          <w:szCs w:val="24"/>
          <w:lang w:eastAsia="en-GB"/>
        </w:rPr>
        <w:t xml:space="preserve"> changes by taking advantage of cognitive biases like anchoring and default effects (</w:t>
      </w:r>
      <w:proofErr w:type="spellStart"/>
      <w:r w:rsidRPr="00F03486">
        <w:rPr>
          <w:rFonts w:ascii="Arial" w:hAnsi="Arial" w:cs="Arial"/>
          <w:sz w:val="24"/>
          <w:szCs w:val="24"/>
          <w:lang w:eastAsia="en-GB"/>
        </w:rPr>
        <w:t>Kallbekken</w:t>
      </w:r>
      <w:proofErr w:type="spellEnd"/>
      <w:r w:rsidRPr="00F03486">
        <w:rPr>
          <w:rFonts w:ascii="Arial" w:hAnsi="Arial" w:cs="Arial"/>
          <w:sz w:val="24"/>
          <w:szCs w:val="24"/>
          <w:lang w:eastAsia="en-GB"/>
        </w:rPr>
        <w:t xml:space="preserve"> and Sælen 2013). The study shows a 20 percent decrease in food waste due to plate-size changes and “take only what you can eat” signs which supports research indicating behaviour-driven nudges are more effective than information campaigns for reducing food waste (de Visser-Amundson and </w:t>
      </w:r>
      <w:proofErr w:type="spellStart"/>
      <w:r w:rsidRPr="00F03486">
        <w:rPr>
          <w:rFonts w:ascii="Arial" w:hAnsi="Arial" w:cs="Arial"/>
          <w:sz w:val="24"/>
          <w:szCs w:val="24"/>
          <w:lang w:eastAsia="en-GB"/>
        </w:rPr>
        <w:t>Kleijnen</w:t>
      </w:r>
      <w:proofErr w:type="spellEnd"/>
      <w:r w:rsidRPr="00F03486">
        <w:rPr>
          <w:rFonts w:ascii="Arial" w:hAnsi="Arial" w:cs="Arial"/>
          <w:sz w:val="24"/>
          <w:szCs w:val="24"/>
          <w:lang w:eastAsia="en-GB"/>
        </w:rPr>
        <w:t xml:space="preserve"> 2020). The application of social norms in buffet settings through social-norm nudges like typical portion size indications helps reduce overserving by leveraging conformity (Stancu, Haugaard and Lähteenmäki 2016).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findings revealed guest approval of signage together with smaller plates as effective tools for demonstrating the power of descriptive norms through environmental cues which support mindful serving decisions according to </w:t>
      </w:r>
      <w:proofErr w:type="spellStart"/>
      <w:r w:rsidRPr="00F03486">
        <w:rPr>
          <w:rFonts w:ascii="Arial" w:hAnsi="Arial" w:cs="Arial"/>
          <w:sz w:val="24"/>
          <w:szCs w:val="24"/>
          <w:lang w:eastAsia="en-GB"/>
        </w:rPr>
        <w:t>Piras</w:t>
      </w:r>
      <w:proofErr w:type="spellEnd"/>
      <w:r w:rsidRPr="00F03486">
        <w:rPr>
          <w:rFonts w:ascii="Arial" w:hAnsi="Arial" w:cs="Arial"/>
          <w:sz w:val="24"/>
          <w:szCs w:val="24"/>
          <w:lang w:eastAsia="en-GB"/>
        </w:rPr>
        <w:t xml:space="preserve"> et al. 2021). Loss-aversion tactics demonstrate that presenting unused food as wasteful through environmental or monetary consequences alerts diners to waste issues and motivates them to consume cautiously (de Visser-Amundson and </w:t>
      </w:r>
      <w:proofErr w:type="spellStart"/>
      <w:r w:rsidRPr="00F03486">
        <w:rPr>
          <w:rFonts w:ascii="Arial" w:hAnsi="Arial" w:cs="Arial"/>
          <w:sz w:val="24"/>
          <w:szCs w:val="24"/>
          <w:lang w:eastAsia="en-GB"/>
        </w:rPr>
        <w:t>Kleijnen</w:t>
      </w:r>
      <w:proofErr w:type="spellEnd"/>
      <w:r w:rsidRPr="00F03486">
        <w:rPr>
          <w:rFonts w:ascii="Arial" w:hAnsi="Arial" w:cs="Arial"/>
          <w:sz w:val="24"/>
          <w:szCs w:val="24"/>
          <w:lang w:eastAsia="en-GB"/>
        </w:rPr>
        <w:t xml:space="preserve"> 2020). The notion of cost-effective </w:t>
      </w:r>
      <w:r w:rsidRPr="00F03486">
        <w:rPr>
          <w:rFonts w:ascii="Arial" w:hAnsi="Arial" w:cs="Arial"/>
          <w:sz w:val="24"/>
          <w:szCs w:val="24"/>
          <w:lang w:eastAsia="en-GB"/>
        </w:rPr>
        <w:lastRenderedPageBreak/>
        <w:t>service excellence (CESE) within hospitality management theory combines service quality with operational efficiency through dual strategies that ensure guest satisfaction while maintaining cost control according to Wirtz and Zeithaml (2018). The study demonstrates CESE in practice by integrating behavioural nudges with systematic waste audits to show how enhanced service standards through better portion guidance and replenishment can lead to simultaneous waste reduction and cost improvement (</w:t>
      </w: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and </w:t>
      </w:r>
      <w:proofErr w:type="spellStart"/>
      <w:r w:rsidRPr="00F03486">
        <w:rPr>
          <w:rFonts w:ascii="Arial" w:hAnsi="Arial" w:cs="Arial"/>
          <w:sz w:val="24"/>
          <w:szCs w:val="24"/>
          <w:lang w:eastAsia="en-GB"/>
        </w:rPr>
        <w:t>Gherbin</w:t>
      </w:r>
      <w:proofErr w:type="spellEnd"/>
      <w:r w:rsidRPr="00F03486">
        <w:rPr>
          <w:rFonts w:ascii="Arial" w:hAnsi="Arial" w:cs="Arial"/>
          <w:sz w:val="24"/>
          <w:szCs w:val="24"/>
          <w:lang w:eastAsia="en-GB"/>
        </w:rPr>
        <w:t xml:space="preserve"> 2017). The hotel secured financial and environmental benefits and preserved buffet diversity and freshness by integrating waste-reduction practices into daily service routines which demonstrated that high operational standards do not require sacrificing guest experience quality (</w:t>
      </w:r>
      <w:proofErr w:type="spellStart"/>
      <w:r w:rsidRPr="00F03486">
        <w:rPr>
          <w:rFonts w:ascii="Arial" w:hAnsi="Arial" w:cs="Arial"/>
          <w:sz w:val="24"/>
          <w:szCs w:val="24"/>
          <w:lang w:eastAsia="en-GB"/>
        </w:rPr>
        <w:t>Kriwet</w:t>
      </w:r>
      <w:proofErr w:type="spellEnd"/>
      <w:r w:rsidRPr="00F03486">
        <w:rPr>
          <w:rFonts w:ascii="Arial" w:hAnsi="Arial" w:cs="Arial"/>
          <w:sz w:val="24"/>
          <w:szCs w:val="24"/>
          <w:lang w:eastAsia="en-GB"/>
        </w:rPr>
        <w:t xml:space="preserve"> et al. 2025). 2025). According to service-profit chain theory the link between internal service quality through staff training and empowerment in waste management and guest satisfaction and loyalty is emphasized (Heskett et al. 1994). By allowing frontline workers to manage portion sizes and track waste they develop ownership which builds a guest-friendly and responsible service atmosphere according to the Food Waste Pact 2023. The connection between staff commitment and sustainable results strengthens the service-profit chain since cost reductions from waste minimization enable reinvestment in service improvements that attract repeat customers (Everett and Aitchison 2008). The research provides new theoretical developments by using the Theory of Planned Behaviour (TPB) to study buffet food waste situations where environmental attitudes and subjective norms from peers and staff together with perceived behavioural control through smaller plate availability predict food serving decisions (Ghani et al. 2013). 2013). Increased perceived control through plate-size options and clearer signage led to a surplus reduction which validates TPB as an effective model for predicting food-waste behaviour in hospitality environments. By applying circular-economy principles to buffet operations through on-site composting or anaerobic digestion of surplus food waste transforms waste into a useful resource while supporting sustainability practices that focus on closed-loop systems (</w:t>
      </w: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xml:space="preserve"> et al. 2019). 2019). This theoretical perspective transforms food-waste management into an opportunity for value creation while strengthening the hotel’s involvement within larger ecological and social frameworks. Together these theoretical insights demonstrate how principles from behavioural economics merge with hospitality management knowledge to create practical and affordable solutions that improve service quality while boosting operational efficiency and sustainability. </w:t>
      </w:r>
    </w:p>
    <w:p w14:paraId="27FB4DA0" w14:textId="483D0506" w:rsidR="00796DB5" w:rsidRPr="00F03486" w:rsidRDefault="009515D1" w:rsidP="00F03486">
      <w:pPr>
        <w:pStyle w:val="EU"/>
        <w:numPr>
          <w:ilvl w:val="0"/>
          <w:numId w:val="1"/>
        </w:numPr>
        <w:spacing w:line="360" w:lineRule="auto"/>
        <w:rPr>
          <w:color w:val="000000" w:themeColor="text1"/>
        </w:rPr>
      </w:pPr>
      <w:bookmarkStart w:id="10" w:name="_Toc200658237"/>
      <w:r w:rsidRPr="00F03486">
        <w:rPr>
          <w:color w:val="000000" w:themeColor="text1"/>
        </w:rPr>
        <w:lastRenderedPageBreak/>
        <w:t>Conclusion</w:t>
      </w:r>
      <w:bookmarkEnd w:id="10"/>
      <w:r w:rsidRPr="00F03486">
        <w:rPr>
          <w:color w:val="000000" w:themeColor="text1"/>
        </w:rPr>
        <w:t xml:space="preserve"> </w:t>
      </w:r>
    </w:p>
    <w:p w14:paraId="6212F854" w14:textId="02DD1230" w:rsidR="00796DB5" w:rsidRPr="00F03486" w:rsidRDefault="009515D1"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The study shows that the Hilton Garden Inn Doncaster Racecourse can achieve significant reductions in buffet food waste by implementing cost-effective staff-led strategies which do not impact guest satisfaction or operational effectiveness. The combination of systematic waste audits with behavioural nudges like smaller plates and strategic food placement along with clear “take only what you can eat” signage resulted in reducing the average surplus per guest by approximately twenty percent. The integration of AI forecasting tools and digital scales improved portion accuracy and inventory replenishment which delivered quick financial returns from small tech investments. Economically, these interventions translate into significant cost savings: The hotel can both meet its food-cost targets and protect revenue margins by recovering thousands of pounds annually through a ten per cent reduction in breakfast-buffet waste. The environmental strategy of redirecting surplus food away from landfill sites through composting and anaerobic digestion alongside monitoring carbon-equivalent emissions helps companies meet their sustainability goals and advances UN objectives to halve food waste per person by 2030. The integration of waste-audit tasks into regular service schedules along with frontline team empowerment to adjust buffet quantities increased staff ownership while maintaining operational flexibility and preventing excessive workload pressures. Visible sustainability practices generated positive guest responses according to </w:t>
      </w:r>
      <w:proofErr w:type="spellStart"/>
      <w:r w:rsidRPr="00F03486">
        <w:rPr>
          <w:rFonts w:ascii="Arial" w:hAnsi="Arial" w:cs="Arial"/>
          <w:sz w:val="24"/>
          <w:szCs w:val="24"/>
          <w:lang w:eastAsia="en-GB"/>
        </w:rPr>
        <w:t>netnographic</w:t>
      </w:r>
      <w:proofErr w:type="spellEnd"/>
      <w:r w:rsidRPr="00F03486">
        <w:rPr>
          <w:rFonts w:ascii="Arial" w:hAnsi="Arial" w:cs="Arial"/>
          <w:sz w:val="24"/>
          <w:szCs w:val="24"/>
          <w:lang w:eastAsia="en-GB"/>
        </w:rPr>
        <w:t xml:space="preserve"> analysis and their satisfaction increased through transparent communication alongside mindful serving choices. The positive results from this single-case study conducted in a short period may fail to account for seasonal demand variations and wider behavioural adjustments. Subsequent studies must broaden their scope to multiple properties while using experimental controls to determine intervention impacts and examining procurement and menu-engineering methods higher in the supply chain</w:t>
      </w:r>
      <w:r w:rsidR="00F03486" w:rsidRPr="00F03486">
        <w:rPr>
          <w:rFonts w:ascii="Arial" w:hAnsi="Arial" w:cs="Arial"/>
          <w:sz w:val="24"/>
          <w:szCs w:val="24"/>
          <w:lang w:eastAsia="en-GB"/>
        </w:rPr>
        <w:t xml:space="preserve"> (Hyde et al., 2016)</w:t>
      </w:r>
      <w:r w:rsidRPr="00F03486">
        <w:rPr>
          <w:rFonts w:ascii="Arial" w:hAnsi="Arial" w:cs="Arial"/>
          <w:sz w:val="24"/>
          <w:szCs w:val="24"/>
          <w:lang w:eastAsia="en-GB"/>
        </w:rPr>
        <w:t>. The project provides a practical framework that midscale hotels can replicate to maintain guest-focused services while managing resources responsibly. The integration of behavioural economics with fundamental technology and staff engagement enables buffet operations to transform from high-waste systems into sustainable hospitality models that provide balanced financial, environmental and reputational advantages.</w:t>
      </w:r>
    </w:p>
    <w:p w14:paraId="59EB0373" w14:textId="4F253A44" w:rsidR="009515D1" w:rsidRPr="00F03486" w:rsidRDefault="009515D1" w:rsidP="00F03486">
      <w:pPr>
        <w:pStyle w:val="EU"/>
        <w:numPr>
          <w:ilvl w:val="0"/>
          <w:numId w:val="1"/>
        </w:numPr>
        <w:spacing w:line="360" w:lineRule="auto"/>
        <w:rPr>
          <w:color w:val="000000" w:themeColor="text1"/>
        </w:rPr>
      </w:pPr>
      <w:bookmarkStart w:id="11" w:name="_Toc200658238"/>
      <w:r w:rsidRPr="00F03486">
        <w:rPr>
          <w:color w:val="000000" w:themeColor="text1"/>
        </w:rPr>
        <w:lastRenderedPageBreak/>
        <w:t>Recommendation</w:t>
      </w:r>
      <w:bookmarkEnd w:id="11"/>
      <w:r w:rsidRPr="00F03486">
        <w:rPr>
          <w:color w:val="000000" w:themeColor="text1"/>
        </w:rPr>
        <w:t xml:space="preserve"> </w:t>
      </w:r>
    </w:p>
    <w:p w14:paraId="30479787" w14:textId="01D4E62B" w:rsidR="00796DB5" w:rsidRPr="00F03486" w:rsidRDefault="0054062A" w:rsidP="00F03486">
      <w:p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A coordinated implementation of five low-cost evidence-based strategies achieves food waste reduction of 15–30 per cent at buffets while keeping guest satisfaction intact and avoiding large capital expenditures. The reduction of plate diameter from 27 cm to 24 cm applies choice-architecture theory to limit initial servings which led to a 19.5 per cent waste reduction in Nordic hotels according to research by </w:t>
      </w:r>
      <w:proofErr w:type="spellStart"/>
      <w:r w:rsidRPr="00F03486">
        <w:rPr>
          <w:rFonts w:ascii="Arial" w:hAnsi="Arial" w:cs="Arial"/>
          <w:sz w:val="24"/>
          <w:szCs w:val="24"/>
          <w:lang w:eastAsia="en-GB"/>
        </w:rPr>
        <w:t>Kallbekken</w:t>
      </w:r>
      <w:proofErr w:type="spellEnd"/>
      <w:r w:rsidRPr="00F03486">
        <w:rPr>
          <w:rFonts w:ascii="Arial" w:hAnsi="Arial" w:cs="Arial"/>
          <w:sz w:val="24"/>
          <w:szCs w:val="24"/>
          <w:lang w:eastAsia="en-GB"/>
        </w:rPr>
        <w:t xml:space="preserve"> and Sælen </w:t>
      </w:r>
      <w:r w:rsidR="000C638E" w:rsidRPr="00F03486">
        <w:rPr>
          <w:rFonts w:ascii="Arial" w:hAnsi="Arial" w:cs="Arial"/>
          <w:sz w:val="24"/>
          <w:szCs w:val="24"/>
          <w:lang w:eastAsia="en-GB"/>
        </w:rPr>
        <w:t>(</w:t>
      </w:r>
      <w:r w:rsidRPr="00F03486">
        <w:rPr>
          <w:rFonts w:ascii="Arial" w:hAnsi="Arial" w:cs="Arial"/>
          <w:sz w:val="24"/>
          <w:szCs w:val="24"/>
          <w:lang w:eastAsia="en-GB"/>
        </w:rPr>
        <w:t>2013</w:t>
      </w:r>
      <w:r w:rsidR="000C638E" w:rsidRPr="00F03486">
        <w:rPr>
          <w:rFonts w:ascii="Arial" w:hAnsi="Arial" w:cs="Arial"/>
          <w:sz w:val="24"/>
          <w:szCs w:val="24"/>
          <w:lang w:eastAsia="en-GB"/>
        </w:rPr>
        <w:t>)</w:t>
      </w:r>
      <w:r w:rsidRPr="00F03486">
        <w:rPr>
          <w:rFonts w:ascii="Arial" w:hAnsi="Arial" w:cs="Arial"/>
          <w:sz w:val="24"/>
          <w:szCs w:val="24"/>
          <w:lang w:eastAsia="en-GB"/>
        </w:rPr>
        <w:t xml:space="preserve">. The geometric nudge controls guests’ portion perception which leads to less overfilling while maintaining their sense of satisfaction. The implementation of multilingual signs with messages like “Take only what you can eat—return for more as needed” uses social-norm cues to promote careful portioning which leads to a 15–20 per cent reduction in waste as reported by Thyberg and Tonjes (2016) in buffet settings. Routine digital waste audits with calibrated kitchen scales at pre-service, mid-service and post-service intervals produce precise real-time data about surplus amounts. In their 2012 study, Eriksson, Strid and Hansson showed that procurement adjustments using audit feedback resulted in a 15 per cent buffet surplus reduction and a monthly ingredient savings exceeding £1 200 based on Swedish case studies. Audit findings showed cold items and pastries represented 40 per cent of waste which led to specific menu changes to reduce losses. The implementation of short internal workshops enables frontline employees to take responsibility for waste reduction targets: Göbel et al. A study by Göbel et al. (2015) found that midscale hotels successfully reduced buffet waste by 18 per cent through weekly staff review sessions that included audit data analysis alongside experiments with staggered replenishment schedules and calibrated serving spoons. When integrated into current shift-change meetings these workshops need only management time to facilitate and build intrinsic motivation through staff input on adjustments to layout and service </w:t>
      </w:r>
      <w:r w:rsidR="00602357" w:rsidRPr="00F03486">
        <w:rPr>
          <w:rFonts w:ascii="Arial" w:hAnsi="Arial" w:cs="Arial"/>
          <w:sz w:val="24"/>
          <w:szCs w:val="24"/>
          <w:lang w:eastAsia="en-GB"/>
        </w:rPr>
        <w:t>timing (Breckenridge et al., 2019)</w:t>
      </w:r>
      <w:r w:rsidRPr="00F03486">
        <w:rPr>
          <w:rFonts w:ascii="Arial" w:hAnsi="Arial" w:cs="Arial"/>
          <w:sz w:val="24"/>
          <w:szCs w:val="24"/>
          <w:lang w:eastAsia="en-GB"/>
        </w:rPr>
        <w:t xml:space="preserve">. Our fourth strategy captures residual value and reduces disposal volumes by forming partnerships with local charities for surplus-redistribution under Good Samaritan liability protections while using unopened packaged items for staff meals. The study by Principato, Secondi and Pratesi (2015) revealed that potential waste diversion reached 10 percent during the first month of the programs which also led to improved community goodwill and increased staff morale. Simple digital logs for donation tracking combined with standardised food-safety checklists help maintain compliance and reduce administrative workload. Production planning becomes more accurate </w:t>
      </w:r>
      <w:proofErr w:type="gramStart"/>
      <w:r w:rsidRPr="00F03486">
        <w:rPr>
          <w:rFonts w:ascii="Arial" w:hAnsi="Arial" w:cs="Arial"/>
          <w:sz w:val="24"/>
          <w:szCs w:val="24"/>
          <w:lang w:eastAsia="en-GB"/>
        </w:rPr>
        <w:t>through the use of</w:t>
      </w:r>
      <w:proofErr w:type="gramEnd"/>
      <w:r w:rsidRPr="00F03486">
        <w:rPr>
          <w:rFonts w:ascii="Arial" w:hAnsi="Arial" w:cs="Arial"/>
          <w:sz w:val="24"/>
          <w:szCs w:val="24"/>
          <w:lang w:eastAsia="en-GB"/>
        </w:rPr>
        <w:t xml:space="preserve"> lightweight demand-forecasting models </w:t>
      </w:r>
      <w:r w:rsidRPr="00F03486">
        <w:rPr>
          <w:rFonts w:ascii="Arial" w:hAnsi="Arial" w:cs="Arial"/>
          <w:sz w:val="24"/>
          <w:szCs w:val="24"/>
          <w:lang w:eastAsia="en-GB"/>
        </w:rPr>
        <w:lastRenderedPageBreak/>
        <w:t xml:space="preserve">which combine historical audit data with occupancy and event information in basic spreadsheet tools. According to </w:t>
      </w: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De Coteau and </w:t>
      </w:r>
      <w:proofErr w:type="spellStart"/>
      <w:r w:rsidRPr="00F03486">
        <w:rPr>
          <w:rFonts w:ascii="Arial" w:hAnsi="Arial" w:cs="Arial"/>
          <w:sz w:val="24"/>
          <w:szCs w:val="24"/>
          <w:lang w:eastAsia="en-GB"/>
        </w:rPr>
        <w:t>Gherbin</w:t>
      </w:r>
      <w:proofErr w:type="spellEnd"/>
      <w:r w:rsidRPr="00F03486">
        <w:rPr>
          <w:rFonts w:ascii="Arial" w:hAnsi="Arial" w:cs="Arial"/>
          <w:sz w:val="24"/>
          <w:szCs w:val="24"/>
          <w:lang w:eastAsia="en-GB"/>
        </w:rPr>
        <w:t xml:space="preserve"> (2020) basic digital forecasting helps midscale properties reduce overproduction by up to 20 per cent through identification of guest consumption patterns that depend on weekdays, seasonality and local events. A staff member needs under sixty minutes of training to update these models weekly which results in substantial cost reductions by minimizing waste. These five tactics including plate-size reduction and signage nudges along with systematic digital audits staff empowerment workshops surplus redistribution and basic digital forecasting create a unified low-cost system that tackles guest </w:t>
      </w:r>
      <w:proofErr w:type="spellStart"/>
      <w:r w:rsidRPr="00F03486">
        <w:rPr>
          <w:rFonts w:ascii="Arial" w:hAnsi="Arial" w:cs="Arial"/>
          <w:sz w:val="24"/>
          <w:szCs w:val="24"/>
          <w:lang w:eastAsia="en-GB"/>
        </w:rPr>
        <w:t>behavior</w:t>
      </w:r>
      <w:proofErr w:type="spellEnd"/>
      <w:r w:rsidRPr="00F03486">
        <w:rPr>
          <w:rFonts w:ascii="Arial" w:hAnsi="Arial" w:cs="Arial"/>
          <w:sz w:val="24"/>
          <w:szCs w:val="24"/>
          <w:lang w:eastAsia="en-GB"/>
        </w:rPr>
        <w:t xml:space="preserve"> as well as operational procedures</w:t>
      </w:r>
      <w:r w:rsidR="00F03486" w:rsidRPr="00F03486">
        <w:rPr>
          <w:rFonts w:ascii="Arial" w:hAnsi="Arial" w:cs="Arial"/>
          <w:sz w:val="24"/>
          <w:szCs w:val="24"/>
          <w:lang w:eastAsia="en-GB"/>
        </w:rPr>
        <w:t xml:space="preserve"> (Demetriou, 2022)</w:t>
      </w:r>
      <w:r w:rsidRPr="00F03486">
        <w:rPr>
          <w:rFonts w:ascii="Arial" w:hAnsi="Arial" w:cs="Arial"/>
          <w:sz w:val="24"/>
          <w:szCs w:val="24"/>
          <w:lang w:eastAsia="en-GB"/>
        </w:rPr>
        <w:t>. These approaches need modest investment in new dishware and digital scales along with printed materials and staff training while leveraging academic models which consistently achieve 15–30 per cent waste reductions in various hospitality settings. Daily routine integration of these measures helps achieve corporate food-cost objectives of 28–30 per cent of revenue while advancing UN Sustainable Development Goal 12.3 which aims to reduce global food waste by half before 2030. The Hilton Garden Inn Doncaster Racecourse can reduce costs measurably and lower its environmental impact while maintaining its esteemed status in sustainable hospitality by converting buffet operations to data-centric guest experiences.</w:t>
      </w:r>
    </w:p>
    <w:p w14:paraId="420C090F" w14:textId="77777777" w:rsidR="0054062A" w:rsidRDefault="0054062A" w:rsidP="009515D1">
      <w:pPr>
        <w:spacing w:line="360" w:lineRule="auto"/>
        <w:jc w:val="both"/>
        <w:rPr>
          <w:rFonts w:ascii="Arial" w:hAnsi="Arial" w:cs="Arial"/>
          <w:sz w:val="24"/>
          <w:szCs w:val="24"/>
          <w:lang w:eastAsia="en-GB"/>
        </w:rPr>
      </w:pPr>
    </w:p>
    <w:p w14:paraId="2264EE6D" w14:textId="77777777" w:rsidR="0054062A" w:rsidRDefault="0054062A" w:rsidP="009515D1">
      <w:pPr>
        <w:spacing w:line="360" w:lineRule="auto"/>
        <w:jc w:val="both"/>
        <w:rPr>
          <w:rFonts w:ascii="Arial" w:hAnsi="Arial" w:cs="Arial"/>
          <w:sz w:val="24"/>
          <w:szCs w:val="24"/>
          <w:lang w:eastAsia="en-GB"/>
        </w:rPr>
      </w:pPr>
    </w:p>
    <w:p w14:paraId="5FF7333F" w14:textId="77777777" w:rsidR="0054062A" w:rsidRDefault="0054062A" w:rsidP="009515D1">
      <w:pPr>
        <w:spacing w:line="360" w:lineRule="auto"/>
        <w:jc w:val="both"/>
        <w:rPr>
          <w:rFonts w:ascii="Arial" w:hAnsi="Arial" w:cs="Arial"/>
          <w:sz w:val="24"/>
          <w:szCs w:val="24"/>
          <w:lang w:eastAsia="en-GB"/>
        </w:rPr>
      </w:pPr>
    </w:p>
    <w:p w14:paraId="7B48E35C" w14:textId="77777777" w:rsidR="0054062A" w:rsidRPr="00F03486" w:rsidRDefault="0054062A" w:rsidP="00F03486">
      <w:pPr>
        <w:spacing w:line="360" w:lineRule="auto"/>
        <w:jc w:val="both"/>
        <w:rPr>
          <w:rFonts w:ascii="Arial" w:hAnsi="Arial" w:cs="Arial"/>
          <w:sz w:val="24"/>
          <w:szCs w:val="24"/>
          <w:lang w:eastAsia="en-GB"/>
        </w:rPr>
      </w:pPr>
    </w:p>
    <w:p w14:paraId="4A098E1E" w14:textId="12EB6645" w:rsidR="0054062A" w:rsidRPr="00F03486" w:rsidRDefault="0054062A" w:rsidP="00F03486">
      <w:pPr>
        <w:pStyle w:val="EU"/>
        <w:spacing w:line="360" w:lineRule="auto"/>
        <w:rPr>
          <w:color w:val="000000" w:themeColor="text1"/>
        </w:rPr>
      </w:pPr>
      <w:bookmarkStart w:id="12" w:name="_Toc200658239"/>
      <w:r w:rsidRPr="00F03486">
        <w:rPr>
          <w:color w:val="000000" w:themeColor="text1"/>
        </w:rPr>
        <w:t>References</w:t>
      </w:r>
      <w:bookmarkEnd w:id="12"/>
      <w:r w:rsidRPr="00F03486">
        <w:rPr>
          <w:color w:val="000000" w:themeColor="text1"/>
        </w:rPr>
        <w:t xml:space="preserve"> </w:t>
      </w:r>
    </w:p>
    <w:p w14:paraId="3AC3C40F" w14:textId="77777777" w:rsidR="00FB4A6C" w:rsidRPr="00F03486" w:rsidRDefault="00FB4A6C" w:rsidP="00F03486">
      <w:pPr>
        <w:spacing w:line="360" w:lineRule="auto"/>
        <w:jc w:val="both"/>
        <w:rPr>
          <w:rFonts w:ascii="Arial" w:eastAsiaTheme="majorEastAsia" w:hAnsi="Arial" w:cs="Arial"/>
          <w:b/>
          <w:color w:val="000000" w:themeColor="text1"/>
          <w:kern w:val="0"/>
          <w:sz w:val="24"/>
          <w:szCs w:val="24"/>
          <w:lang w:eastAsia="en-GB"/>
          <w14:ligatures w14:val="none"/>
        </w:rPr>
      </w:pPr>
    </w:p>
    <w:p w14:paraId="2277CCF1" w14:textId="77777777" w:rsidR="00602357" w:rsidRPr="00F03486" w:rsidRDefault="00602357"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Amicarelli</w:t>
      </w:r>
      <w:proofErr w:type="spellEnd"/>
      <w:r w:rsidRPr="00F03486">
        <w:rPr>
          <w:rFonts w:ascii="Arial" w:hAnsi="Arial" w:cs="Arial"/>
          <w:sz w:val="24"/>
          <w:szCs w:val="24"/>
          <w:lang w:eastAsia="en-GB"/>
        </w:rPr>
        <w:t>, V. and Bux, C., 2020. Food waste measurement toward a fair, healthy and environmental-friendly food system: a critical review. British Food Journal, 123(8), pp.2907-2935.</w:t>
      </w:r>
    </w:p>
    <w:p w14:paraId="627AA20D" w14:textId="18AF91C4"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Aschemann</w:t>
      </w:r>
      <w:proofErr w:type="spellEnd"/>
      <w:r w:rsidRPr="00F03486">
        <w:rPr>
          <w:rFonts w:ascii="Arial" w:hAnsi="Arial" w:cs="Arial"/>
          <w:sz w:val="24"/>
          <w:szCs w:val="24"/>
          <w:lang w:eastAsia="en-GB"/>
        </w:rPr>
        <w:t>-Witzel, J. and de Hooge, I. (2018) ‘Consumer-related food waste: Drivers and intervention opportunities’, Journal of Cleaner Production, 161, pp. 1142–1153.</w:t>
      </w:r>
    </w:p>
    <w:p w14:paraId="5F510A15" w14:textId="5ECFC7AC"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 xml:space="preserve">Barrows, C.W. and Powers, T. (2009) Introduction to Management in the Hospitality Industry. 9th </w:t>
      </w:r>
      <w:proofErr w:type="spellStart"/>
      <w:r w:rsidRPr="00F03486">
        <w:rPr>
          <w:rFonts w:ascii="Arial" w:hAnsi="Arial" w:cs="Arial"/>
          <w:sz w:val="24"/>
          <w:szCs w:val="24"/>
          <w:lang w:eastAsia="en-GB"/>
        </w:rPr>
        <w:t>edn</w:t>
      </w:r>
      <w:proofErr w:type="spellEnd"/>
      <w:r w:rsidRPr="00F03486">
        <w:rPr>
          <w:rFonts w:ascii="Arial" w:hAnsi="Arial" w:cs="Arial"/>
          <w:sz w:val="24"/>
          <w:szCs w:val="24"/>
          <w:lang w:eastAsia="en-GB"/>
        </w:rPr>
        <w:t>. Hoboken, NJ: Wiley.</w:t>
      </w:r>
    </w:p>
    <w:p w14:paraId="71D97E1B" w14:textId="642BFFB4"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Betz, A. et al. (2015) ‘Food waste in hospitality and food service: Causes and potential interventions’, Sustainability, 7(6), pp. 7457–7477.</w:t>
      </w:r>
    </w:p>
    <w:p w14:paraId="6F2F9614" w14:textId="06FD7DA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Bortoleto, A.P. et al. (2017) ‘Drivers, barriers and actions for implementation of circular economy in manufacturing companies’, Journal of Cleaner Production, 149, pp. 264–279.</w:t>
      </w:r>
    </w:p>
    <w:p w14:paraId="451655EB" w14:textId="5E41EDE0" w:rsidR="00602357" w:rsidRPr="00F03486" w:rsidRDefault="00602357"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Breckenridge, J.P., Gray, N., Toma, M., Ashmore, S., </w:t>
      </w:r>
      <w:proofErr w:type="spellStart"/>
      <w:r w:rsidRPr="00F03486">
        <w:rPr>
          <w:rFonts w:ascii="Arial" w:hAnsi="Arial" w:cs="Arial"/>
          <w:sz w:val="24"/>
          <w:szCs w:val="24"/>
          <w:lang w:eastAsia="en-GB"/>
        </w:rPr>
        <w:t>Glassborow</w:t>
      </w:r>
      <w:proofErr w:type="spellEnd"/>
      <w:r w:rsidRPr="00F03486">
        <w:rPr>
          <w:rFonts w:ascii="Arial" w:hAnsi="Arial" w:cs="Arial"/>
          <w:sz w:val="24"/>
          <w:szCs w:val="24"/>
          <w:lang w:eastAsia="en-GB"/>
        </w:rPr>
        <w:t xml:space="preserve">, R., Stark, C. and Renfrew, M.J. (2019). Motivating Change: a grounded theory of how to achieve large-scale, sustained change, co-created with improvement organisations across the UK. BMJ Open Quality, [online] 8(2), p.e000553. </w:t>
      </w:r>
      <w:proofErr w:type="spellStart"/>
      <w:proofErr w:type="gramStart"/>
      <w:r w:rsidRPr="00F03486">
        <w:rPr>
          <w:rFonts w:ascii="Arial" w:hAnsi="Arial" w:cs="Arial"/>
          <w:sz w:val="24"/>
          <w:szCs w:val="24"/>
          <w:lang w:eastAsia="en-GB"/>
        </w:rPr>
        <w:t>doi:https</w:t>
      </w:r>
      <w:proofErr w:type="spellEnd"/>
      <w:r w:rsidRPr="00F03486">
        <w:rPr>
          <w:rFonts w:ascii="Arial" w:hAnsi="Arial" w:cs="Arial"/>
          <w:sz w:val="24"/>
          <w:szCs w:val="24"/>
          <w:lang w:eastAsia="en-GB"/>
        </w:rPr>
        <w:t>://doi.org/10.1136/bmjoq-2018-000553</w:t>
      </w:r>
      <w:proofErr w:type="gramEnd"/>
      <w:r w:rsidRPr="00F03486">
        <w:rPr>
          <w:rFonts w:ascii="Arial" w:hAnsi="Arial" w:cs="Arial"/>
          <w:sz w:val="24"/>
          <w:szCs w:val="24"/>
          <w:lang w:eastAsia="en-GB"/>
        </w:rPr>
        <w:t>.</w:t>
      </w:r>
    </w:p>
    <w:p w14:paraId="23348C59" w14:textId="45CA1A4D"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Business Insider (2024) ‘Hotels and offices are using an AI tool that scans what they throw in the trash to reduce their food waste and cut costs’, Business Insider, 20 July. Available at: https://www.businessinsider.com/hotels-offices-kitchens-winnow-ai-tool-reduce-food-waste-costs-2024-7</w:t>
      </w:r>
    </w:p>
    <w:p w14:paraId="356C9E2C" w14:textId="755FE35F"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Buzby, J.C. and Hyman, J. (2012) ‘Total and per capita value of food loss in the United States’, Food Policy, 37(5), pp. 561–570.</w:t>
      </w:r>
    </w:p>
    <w:p w14:paraId="58257997" w14:textId="41750B68"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Cook, N., Collins, J., Goodwin, D. and Porter, J., 2022. A systematic review of food waste audit methods in hospital foodservices: development of a consensus pathway food waste audit tool. Journal of Human Nutrition and Dietetics, 35(1), pp.68-80.</w:t>
      </w:r>
    </w:p>
    <w:p w14:paraId="3BB42C2C" w14:textId="63377550"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Demetriou, P., 2022. Hotel food waste in Cyprus: An exploratory case study of hotels in Limassol. Cogent Social Sciences, 8(1), p.2026556.</w:t>
      </w:r>
    </w:p>
    <w:p w14:paraId="588BEFD9" w14:textId="7AA2A6D3"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Department for Environment, Food and Rural Affairs (2024) Government food strategy. Available at: https://www.gov.uk/government/publications/government-food-strategy</w:t>
      </w:r>
    </w:p>
    <w:p w14:paraId="6134539F" w14:textId="4CE6DB79"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de Visser-Amundson, A. and Kleijnen, M. (2020) ‘Nudging in food waste management: A behavioural economics perspective’, International Journal of Hospitality Management, 89, 102534.</w:t>
      </w:r>
    </w:p>
    <w:p w14:paraId="32534047" w14:textId="0BD67A37"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Dhir, A., Talwar, S., Kaur, P. and </w:t>
      </w:r>
      <w:proofErr w:type="spellStart"/>
      <w:r w:rsidRPr="00F03486">
        <w:rPr>
          <w:rFonts w:ascii="Arial" w:hAnsi="Arial" w:cs="Arial"/>
          <w:sz w:val="24"/>
          <w:szCs w:val="24"/>
          <w:lang w:eastAsia="en-GB"/>
        </w:rPr>
        <w:t>Malibari</w:t>
      </w:r>
      <w:proofErr w:type="spellEnd"/>
      <w:r w:rsidRPr="00F03486">
        <w:rPr>
          <w:rFonts w:ascii="Arial" w:hAnsi="Arial" w:cs="Arial"/>
          <w:sz w:val="24"/>
          <w:szCs w:val="24"/>
          <w:lang w:eastAsia="en-GB"/>
        </w:rPr>
        <w:t>, A., 2020. Food waste in hospitality and food services: A systematic literature review and framework development approach. Journal of Cleaner Production, 270, p.122861.</w:t>
      </w:r>
    </w:p>
    <w:p w14:paraId="0B7D841D" w14:textId="218DF491" w:rsidR="000C638E" w:rsidRPr="00F03486" w:rsidRDefault="000C638E"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 xml:space="preserve">Diaz-Farina, E., Díaz-Hernández, J.J. and Padrón-Fumero, N. (2023). Analysis of hospitality waste generation: Impacts of services and mitigation strategies. Annals of Tourism Research Empirical Insights, [online] 4(1), p.100083. </w:t>
      </w:r>
      <w:proofErr w:type="spellStart"/>
      <w:proofErr w:type="gramStart"/>
      <w:r w:rsidRPr="00F03486">
        <w:rPr>
          <w:rFonts w:ascii="Arial" w:hAnsi="Arial" w:cs="Arial"/>
          <w:sz w:val="24"/>
          <w:szCs w:val="24"/>
          <w:lang w:eastAsia="en-GB"/>
        </w:rPr>
        <w:t>doi:https</w:t>
      </w:r>
      <w:proofErr w:type="spellEnd"/>
      <w:r w:rsidRPr="00F03486">
        <w:rPr>
          <w:rFonts w:ascii="Arial" w:hAnsi="Arial" w:cs="Arial"/>
          <w:sz w:val="24"/>
          <w:szCs w:val="24"/>
          <w:lang w:eastAsia="en-GB"/>
        </w:rPr>
        <w:t>://doi.org/10.1016/j.annale.2022.100083</w:t>
      </w:r>
      <w:proofErr w:type="gramEnd"/>
      <w:r w:rsidRPr="00F03486">
        <w:rPr>
          <w:rFonts w:ascii="Arial" w:hAnsi="Arial" w:cs="Arial"/>
          <w:sz w:val="24"/>
          <w:szCs w:val="24"/>
          <w:lang w:eastAsia="en-GB"/>
        </w:rPr>
        <w:t>.</w:t>
      </w:r>
    </w:p>
    <w:p w14:paraId="4E5D919E" w14:textId="4F7E7D4F"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Expedia (2025a) ‘Hilton Garden Inn Doncaster Racecourse: property overview’, Expedia. Available at: https://www.expedia.com/Doncaster-Hotels-Hilton-Garden-Inn-Doncaster-Racecourse.h25841476.Hotel-Information</w:t>
      </w:r>
    </w:p>
    <w:p w14:paraId="30A35A68" w14:textId="429A1D0F"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Expedia (2025b) ‘Guest reviews: great breakfast buffet albeit slightly expensive’, Expedia. Available at: https://www.expedia.com/Doncaster-Hotels-Hilton-Garden-Inn-Doncaster-Racecourse.h25841476.Hotel-Information</w:t>
      </w:r>
    </w:p>
    <w:p w14:paraId="1BFFE9F0" w14:textId="2D59AEBA"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Everett, S. and Aitchison, C. (2008) ‘The role of food waste audits in identifying critical control points in the hospitality sector’, International Journal of Contemporary Hospitality Management, 20(2), pp. 133–145.</w:t>
      </w:r>
    </w:p>
    <w:p w14:paraId="7844EFF1" w14:textId="6490ED16"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Eriksson, M., Strid, I. and Hansson, P.-A. (2012) ‘Carbon footprint of food waste management options in the waste hierarchy—A Swedish case study’, Journal of Cleaner Production, 28, pp. 59–70.</w:t>
      </w:r>
    </w:p>
    <w:p w14:paraId="69A2B0B4" w14:textId="26E444D4"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V. and </w:t>
      </w:r>
      <w:proofErr w:type="spellStart"/>
      <w:r w:rsidRPr="00F03486">
        <w:rPr>
          <w:rFonts w:ascii="Arial" w:hAnsi="Arial" w:cs="Arial"/>
          <w:sz w:val="24"/>
          <w:szCs w:val="24"/>
          <w:lang w:eastAsia="en-GB"/>
        </w:rPr>
        <w:t>Gherbin</w:t>
      </w:r>
      <w:proofErr w:type="spellEnd"/>
      <w:r w:rsidRPr="00F03486">
        <w:rPr>
          <w:rFonts w:ascii="Arial" w:hAnsi="Arial" w:cs="Arial"/>
          <w:sz w:val="24"/>
          <w:szCs w:val="24"/>
          <w:lang w:eastAsia="en-GB"/>
        </w:rPr>
        <w:t>, A. (2017) ‘Food waste management in hospitality operations: A critical review of practices and research’, Tourism Management, 62, pp. 48–62.</w:t>
      </w:r>
    </w:p>
    <w:p w14:paraId="419C3CCD" w14:textId="1E3138B5"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Filimonau</w:t>
      </w:r>
      <w:proofErr w:type="spellEnd"/>
      <w:r w:rsidRPr="00F03486">
        <w:rPr>
          <w:rFonts w:ascii="Arial" w:hAnsi="Arial" w:cs="Arial"/>
          <w:sz w:val="24"/>
          <w:szCs w:val="24"/>
          <w:lang w:eastAsia="en-GB"/>
        </w:rPr>
        <w:t xml:space="preserve">, V., De Coteau, D.M. and </w:t>
      </w:r>
      <w:proofErr w:type="spellStart"/>
      <w:r w:rsidRPr="00F03486">
        <w:rPr>
          <w:rFonts w:ascii="Arial" w:hAnsi="Arial" w:cs="Arial"/>
          <w:sz w:val="24"/>
          <w:szCs w:val="24"/>
          <w:lang w:eastAsia="en-GB"/>
        </w:rPr>
        <w:t>Gherbin</w:t>
      </w:r>
      <w:proofErr w:type="spellEnd"/>
      <w:r w:rsidRPr="00F03486">
        <w:rPr>
          <w:rFonts w:ascii="Arial" w:hAnsi="Arial" w:cs="Arial"/>
          <w:sz w:val="24"/>
          <w:szCs w:val="24"/>
          <w:lang w:eastAsia="en-GB"/>
        </w:rPr>
        <w:t>, A. (2020) ‘Operationalising food waste management: The role of digital innovation’, Journal of Hospitality and Tourism Technology, 11(2), pp. 191–207.</w:t>
      </w:r>
    </w:p>
    <w:p w14:paraId="21D5515A" w14:textId="7777777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FoodNotify</w:t>
      </w:r>
      <w:proofErr w:type="spellEnd"/>
      <w:r w:rsidRPr="00F03486">
        <w:rPr>
          <w:rFonts w:ascii="Arial" w:hAnsi="Arial" w:cs="Arial"/>
          <w:sz w:val="24"/>
          <w:szCs w:val="24"/>
          <w:lang w:eastAsia="en-GB"/>
        </w:rPr>
        <w:t xml:space="preserve"> (2024) ‘AI against food waste’, </w:t>
      </w:r>
      <w:proofErr w:type="spellStart"/>
      <w:r w:rsidRPr="00F03486">
        <w:rPr>
          <w:rFonts w:ascii="Arial" w:hAnsi="Arial" w:cs="Arial"/>
          <w:sz w:val="24"/>
          <w:szCs w:val="24"/>
          <w:lang w:eastAsia="en-GB"/>
        </w:rPr>
        <w:t>FoodNotify</w:t>
      </w:r>
      <w:proofErr w:type="spellEnd"/>
      <w:r w:rsidRPr="00F03486">
        <w:rPr>
          <w:rFonts w:ascii="Arial" w:hAnsi="Arial" w:cs="Arial"/>
          <w:sz w:val="24"/>
          <w:szCs w:val="24"/>
          <w:lang w:eastAsia="en-GB"/>
        </w:rPr>
        <w:t xml:space="preserve"> Hospitality Blog. Available at: https://www.foodnotify.com/en/blog/ai-against-food-waste</w:t>
      </w:r>
    </w:p>
    <w:p w14:paraId="72646015" w14:textId="4E5B81DB"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Food Waste Pact (2023) ‘Best practices for hospitality teams to reduce food waste at events’, Food Waste Pact. Available at: </w:t>
      </w:r>
      <w:hyperlink r:id="rId9" w:history="1">
        <w:r w:rsidR="00602357" w:rsidRPr="00F03486">
          <w:rPr>
            <w:rStyle w:val="Hyperlink"/>
            <w:rFonts w:ascii="Arial" w:hAnsi="Arial" w:cs="Arial"/>
            <w:sz w:val="24"/>
            <w:szCs w:val="24"/>
            <w:lang w:eastAsia="en-GB"/>
          </w:rPr>
          <w:t>https://foodwastepact.refed.org/resources/best-practices-for-hospitality-teams-to-reduce-food-waste-at-events-pcfwc/</w:t>
        </w:r>
      </w:hyperlink>
    </w:p>
    <w:p w14:paraId="658A4F83" w14:textId="76B6D612" w:rsidR="00602357" w:rsidRPr="00F03486" w:rsidRDefault="00602357"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Forberger, S., Reisch, L., </w:t>
      </w:r>
      <w:proofErr w:type="spellStart"/>
      <w:r w:rsidRPr="00F03486">
        <w:rPr>
          <w:rFonts w:ascii="Arial" w:hAnsi="Arial" w:cs="Arial"/>
          <w:sz w:val="24"/>
          <w:szCs w:val="24"/>
          <w:lang w:eastAsia="en-GB"/>
        </w:rPr>
        <w:t>Kampfmann</w:t>
      </w:r>
      <w:proofErr w:type="spellEnd"/>
      <w:r w:rsidRPr="00F03486">
        <w:rPr>
          <w:rFonts w:ascii="Arial" w:hAnsi="Arial" w:cs="Arial"/>
          <w:sz w:val="24"/>
          <w:szCs w:val="24"/>
          <w:lang w:eastAsia="en-GB"/>
        </w:rPr>
        <w:t xml:space="preserve">, T. and Zeeb, H. (2019). Nudging to move: a scoping review of the use of choice architecture interventions to promote physical activity in the general population. International Journal of </w:t>
      </w:r>
      <w:proofErr w:type="spellStart"/>
      <w:r w:rsidRPr="00F03486">
        <w:rPr>
          <w:rFonts w:ascii="Arial" w:hAnsi="Arial" w:cs="Arial"/>
          <w:sz w:val="24"/>
          <w:szCs w:val="24"/>
          <w:lang w:eastAsia="en-GB"/>
        </w:rPr>
        <w:t>Behavioral</w:t>
      </w:r>
      <w:proofErr w:type="spellEnd"/>
      <w:r w:rsidRPr="00F03486">
        <w:rPr>
          <w:rFonts w:ascii="Arial" w:hAnsi="Arial" w:cs="Arial"/>
          <w:sz w:val="24"/>
          <w:szCs w:val="24"/>
          <w:lang w:eastAsia="en-GB"/>
        </w:rPr>
        <w:t xml:space="preserve"> Nutrition and Physical Activity, [online] 16(1). </w:t>
      </w:r>
      <w:proofErr w:type="spellStart"/>
      <w:proofErr w:type="gramStart"/>
      <w:r w:rsidRPr="00F03486">
        <w:rPr>
          <w:rFonts w:ascii="Arial" w:hAnsi="Arial" w:cs="Arial"/>
          <w:sz w:val="24"/>
          <w:szCs w:val="24"/>
          <w:lang w:eastAsia="en-GB"/>
        </w:rPr>
        <w:t>doi:https</w:t>
      </w:r>
      <w:proofErr w:type="spellEnd"/>
      <w:r w:rsidRPr="00F03486">
        <w:rPr>
          <w:rFonts w:ascii="Arial" w:hAnsi="Arial" w:cs="Arial"/>
          <w:sz w:val="24"/>
          <w:szCs w:val="24"/>
          <w:lang w:eastAsia="en-GB"/>
        </w:rPr>
        <w:t>://doi.org/10.1186/s12966-019-0844-z</w:t>
      </w:r>
      <w:proofErr w:type="gramEnd"/>
      <w:r w:rsidRPr="00F03486">
        <w:rPr>
          <w:rFonts w:ascii="Arial" w:hAnsi="Arial" w:cs="Arial"/>
          <w:sz w:val="24"/>
          <w:szCs w:val="24"/>
          <w:lang w:eastAsia="en-GB"/>
        </w:rPr>
        <w:t>.</w:t>
      </w:r>
    </w:p>
    <w:p w14:paraId="6A422643" w14:textId="1A9EA2A3" w:rsidR="00602357" w:rsidRPr="00F03486" w:rsidRDefault="00602357"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 xml:space="preserve">Friis, R., Skov, L.R., Olsen, A., Appleton, K.M., </w:t>
      </w:r>
      <w:proofErr w:type="spellStart"/>
      <w:r w:rsidRPr="00F03486">
        <w:rPr>
          <w:rFonts w:ascii="Arial" w:hAnsi="Arial" w:cs="Arial"/>
          <w:sz w:val="24"/>
          <w:szCs w:val="24"/>
          <w:lang w:eastAsia="en-GB"/>
        </w:rPr>
        <w:t>Saulais</w:t>
      </w:r>
      <w:proofErr w:type="spellEnd"/>
      <w:r w:rsidRPr="00F03486">
        <w:rPr>
          <w:rFonts w:ascii="Arial" w:hAnsi="Arial" w:cs="Arial"/>
          <w:sz w:val="24"/>
          <w:szCs w:val="24"/>
          <w:lang w:eastAsia="en-GB"/>
        </w:rPr>
        <w:t xml:space="preserve">, L., </w:t>
      </w:r>
      <w:proofErr w:type="spellStart"/>
      <w:r w:rsidRPr="00F03486">
        <w:rPr>
          <w:rFonts w:ascii="Arial" w:hAnsi="Arial" w:cs="Arial"/>
          <w:sz w:val="24"/>
          <w:szCs w:val="24"/>
          <w:lang w:eastAsia="en-GB"/>
        </w:rPr>
        <w:t>Dinnella</w:t>
      </w:r>
      <w:proofErr w:type="spellEnd"/>
      <w:r w:rsidRPr="00F03486">
        <w:rPr>
          <w:rFonts w:ascii="Arial" w:hAnsi="Arial" w:cs="Arial"/>
          <w:sz w:val="24"/>
          <w:szCs w:val="24"/>
          <w:lang w:eastAsia="en-GB"/>
        </w:rPr>
        <w:t xml:space="preserve">, C., Hartwell, H., </w:t>
      </w:r>
      <w:proofErr w:type="spellStart"/>
      <w:r w:rsidRPr="00F03486">
        <w:rPr>
          <w:rFonts w:ascii="Arial" w:hAnsi="Arial" w:cs="Arial"/>
          <w:sz w:val="24"/>
          <w:szCs w:val="24"/>
          <w:lang w:eastAsia="en-GB"/>
        </w:rPr>
        <w:t>Depezay</w:t>
      </w:r>
      <w:proofErr w:type="spellEnd"/>
      <w:r w:rsidRPr="00F03486">
        <w:rPr>
          <w:rFonts w:ascii="Arial" w:hAnsi="Arial" w:cs="Arial"/>
          <w:sz w:val="24"/>
          <w:szCs w:val="24"/>
          <w:lang w:eastAsia="en-GB"/>
        </w:rPr>
        <w:t xml:space="preserve">, L., Monteleone, E., </w:t>
      </w:r>
      <w:proofErr w:type="spellStart"/>
      <w:r w:rsidRPr="00F03486">
        <w:rPr>
          <w:rFonts w:ascii="Arial" w:hAnsi="Arial" w:cs="Arial"/>
          <w:sz w:val="24"/>
          <w:szCs w:val="24"/>
          <w:lang w:eastAsia="en-GB"/>
        </w:rPr>
        <w:t>Giboreau</w:t>
      </w:r>
      <w:proofErr w:type="spellEnd"/>
      <w:r w:rsidRPr="00F03486">
        <w:rPr>
          <w:rFonts w:ascii="Arial" w:hAnsi="Arial" w:cs="Arial"/>
          <w:sz w:val="24"/>
          <w:szCs w:val="24"/>
          <w:lang w:eastAsia="en-GB"/>
        </w:rPr>
        <w:t xml:space="preserve">, A. and Perez-Cueto, F.J., 2017. Comparison of three nudge interventions (priming, default option, and perceived variety) to promote vegetable consumption in a self-service buffet setting. </w:t>
      </w:r>
      <w:proofErr w:type="spellStart"/>
      <w:r w:rsidRPr="00F03486">
        <w:rPr>
          <w:rFonts w:ascii="Arial" w:hAnsi="Arial" w:cs="Arial"/>
          <w:sz w:val="24"/>
          <w:szCs w:val="24"/>
          <w:lang w:eastAsia="en-GB"/>
        </w:rPr>
        <w:t>PloS</w:t>
      </w:r>
      <w:proofErr w:type="spellEnd"/>
      <w:r w:rsidRPr="00F03486">
        <w:rPr>
          <w:rFonts w:ascii="Arial" w:hAnsi="Arial" w:cs="Arial"/>
          <w:sz w:val="24"/>
          <w:szCs w:val="24"/>
          <w:lang w:eastAsia="en-GB"/>
        </w:rPr>
        <w:t xml:space="preserve"> one, 12(5), p.e0176028.</w:t>
      </w:r>
    </w:p>
    <w:p w14:paraId="5E6BCE67" w14:textId="4634F79E"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Göbel, C. et al. (2015) ‘Cutting food waste through cooperation along the food supply chain’, Sustainability, 7(2), pp. 1429–1445.</w:t>
      </w:r>
    </w:p>
    <w:p w14:paraId="1380920E" w14:textId="790C314D"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Ghani, W.A.K. et al. (2013) ‘An application of the theory of planned behaviour to study the influencing factors of participation in source separation of food waste’, Waste Management, 33(6), pp. 1276–1281.</w:t>
      </w:r>
    </w:p>
    <w:p w14:paraId="0F08E2CE" w14:textId="3519375C"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Guruge, D., 2022. Environmental sustainability practices in the hotel industry in New Zealand. Management of Environmental Quality: An International Journal, 33(4), pp.991-1007.</w:t>
      </w:r>
    </w:p>
    <w:p w14:paraId="4E75623B" w14:textId="63CC4D0F"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Gustavsson, J. et al. (2011) Global food losses and food waste: Extent, causes and prevention. Rome: FAO.</w:t>
      </w:r>
    </w:p>
    <w:p w14:paraId="0B7AB157" w14:textId="2FB51C7B"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Heskett, J.L., Jones, T.O., Loveman, G.W., Sasser, W.E. Jr and Schlesinger, L.A. (1994) ‘Putting the service-profit chain to work’, Harvard Business Review, 72(2), pp. 164–174.</w:t>
      </w:r>
    </w:p>
    <w:p w14:paraId="6A998EE5" w14:textId="521260F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Hilton (2025) ‘Hotel location and amenities: Hilton Garden Inn Doncaster Racecourse’, Hilton.com. Available at: https://www.hilton.com/en/hotels/dsadrgi-hilton-garden-inn-doncaster-racecourse/hotel-location/</w:t>
      </w:r>
    </w:p>
    <w:p w14:paraId="03516406" w14:textId="261ECC1C"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Hotel Management Net (2017) ‘Study quantifies cost savings of reducing food waste’, Hotel Management, June. Available at: https://www.hotelmanagement.net/food-beverage/study-quantifies-cost-savings-reducing-food-waste</w:t>
      </w:r>
    </w:p>
    <w:p w14:paraId="40B36147" w14:textId="068902A0"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House of Commons Library (2024) Food waste in the UK: Research briefing, 12 April. Available at: https://commonslibrary.parliament.uk/research-briefings/cbp-7552</w:t>
      </w:r>
    </w:p>
    <w:p w14:paraId="0706692D" w14:textId="7398DF89"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House of Lords Library (2020) Food waste in the UK. Available at: </w:t>
      </w:r>
      <w:hyperlink r:id="rId10" w:history="1">
        <w:r w:rsidR="00602357" w:rsidRPr="00F03486">
          <w:rPr>
            <w:rStyle w:val="Hyperlink"/>
            <w:rFonts w:ascii="Arial" w:hAnsi="Arial" w:cs="Arial"/>
            <w:sz w:val="24"/>
            <w:szCs w:val="24"/>
            <w:lang w:eastAsia="en-GB"/>
          </w:rPr>
          <w:t>https://lordslibrary.parliament.uk/food-waste-in-the-uk/</w:t>
        </w:r>
      </w:hyperlink>
    </w:p>
    <w:p w14:paraId="49F62F8C" w14:textId="7BE5DB65" w:rsidR="00602357" w:rsidRPr="00F03486" w:rsidRDefault="00602357"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Hu, C., Chen, M. and McCain, S.L.C., 2014. Forecasting in short-term planning and management for a casino buffet restaurant. In Management Science Applications in Tourism and Hospitality (pp. 79-98). Routledge.</w:t>
      </w:r>
    </w:p>
    <w:p w14:paraId="49EAEF80" w14:textId="26D52A2F"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 xml:space="preserve">Hyde, R., Moore, R., Kavanagh, L., Watt, M. and </w:t>
      </w:r>
      <w:proofErr w:type="spellStart"/>
      <w:r w:rsidRPr="00F03486">
        <w:rPr>
          <w:rFonts w:ascii="Arial" w:hAnsi="Arial" w:cs="Arial"/>
          <w:sz w:val="24"/>
          <w:szCs w:val="24"/>
          <w:lang w:eastAsia="en-GB"/>
        </w:rPr>
        <w:t>Schianetz</w:t>
      </w:r>
      <w:proofErr w:type="spellEnd"/>
      <w:r w:rsidRPr="00F03486">
        <w:rPr>
          <w:rFonts w:ascii="Arial" w:hAnsi="Arial" w:cs="Arial"/>
          <w:sz w:val="24"/>
          <w:szCs w:val="24"/>
          <w:lang w:eastAsia="en-GB"/>
        </w:rPr>
        <w:t>, K., 2016. Indicators, audits and measuring success. In Steering Sustainability in an Urbanising World (pp. 99-109). Routledge.</w:t>
      </w:r>
    </w:p>
    <w:p w14:paraId="6D2230B5" w14:textId="300BC6CA"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Kallbekken</w:t>
      </w:r>
      <w:proofErr w:type="spellEnd"/>
      <w:r w:rsidRPr="00F03486">
        <w:rPr>
          <w:rFonts w:ascii="Arial" w:hAnsi="Arial" w:cs="Arial"/>
          <w:sz w:val="24"/>
          <w:szCs w:val="24"/>
          <w:lang w:eastAsia="en-GB"/>
        </w:rPr>
        <w:t>, S. and Sælen, H. (2013) ‘“Nudging” hotel guests to reduce food waste as a win–win environmental measure’, Economics Letters, 119(3), pp. 325–327.</w:t>
      </w:r>
    </w:p>
    <w:p w14:paraId="082E4EC9" w14:textId="7C729E4E"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Kasavan</w:t>
      </w:r>
      <w:proofErr w:type="spellEnd"/>
      <w:r w:rsidRPr="00F03486">
        <w:rPr>
          <w:rFonts w:ascii="Arial" w:hAnsi="Arial" w:cs="Arial"/>
          <w:sz w:val="24"/>
          <w:szCs w:val="24"/>
          <w:lang w:eastAsia="en-GB"/>
        </w:rPr>
        <w:t xml:space="preserve">, S., Siron, R., Yusoff, S. and </w:t>
      </w:r>
      <w:proofErr w:type="spellStart"/>
      <w:r w:rsidRPr="00F03486">
        <w:rPr>
          <w:rFonts w:ascii="Arial" w:hAnsi="Arial" w:cs="Arial"/>
          <w:sz w:val="24"/>
          <w:szCs w:val="24"/>
          <w:lang w:eastAsia="en-GB"/>
        </w:rPr>
        <w:t>Fakri</w:t>
      </w:r>
      <w:proofErr w:type="spellEnd"/>
      <w:r w:rsidRPr="00F03486">
        <w:rPr>
          <w:rFonts w:ascii="Arial" w:hAnsi="Arial" w:cs="Arial"/>
          <w:sz w:val="24"/>
          <w:szCs w:val="24"/>
          <w:lang w:eastAsia="en-GB"/>
        </w:rPr>
        <w:t>, M.F.R., 2022. Drivers of food waste generation and best practice towards sustainable food waste management in the hotel sector: A systematic review. Environmental science and pollution research, 29(32), pp.48152-48167.</w:t>
      </w:r>
    </w:p>
    <w:p w14:paraId="6CA0ACDC" w14:textId="23185DD4" w:rsidR="000C638E" w:rsidRPr="00F03486" w:rsidRDefault="000C638E"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Kiger, M.E. and </w:t>
      </w:r>
      <w:proofErr w:type="spellStart"/>
      <w:r w:rsidRPr="00F03486">
        <w:rPr>
          <w:rFonts w:ascii="Arial" w:hAnsi="Arial" w:cs="Arial"/>
          <w:sz w:val="24"/>
          <w:szCs w:val="24"/>
          <w:lang w:eastAsia="en-GB"/>
        </w:rPr>
        <w:t>Varpio</w:t>
      </w:r>
      <w:proofErr w:type="spellEnd"/>
      <w:r w:rsidRPr="00F03486">
        <w:rPr>
          <w:rFonts w:ascii="Arial" w:hAnsi="Arial" w:cs="Arial"/>
          <w:sz w:val="24"/>
          <w:szCs w:val="24"/>
          <w:lang w:eastAsia="en-GB"/>
        </w:rPr>
        <w:t xml:space="preserve">, L. (2020). Thematic Analysis of Qualitative data: AMEE Guide no. 131. Medical Teacher, 42(8), pp.846–854. </w:t>
      </w:r>
      <w:proofErr w:type="spellStart"/>
      <w:proofErr w:type="gramStart"/>
      <w:r w:rsidRPr="00F03486">
        <w:rPr>
          <w:rFonts w:ascii="Arial" w:hAnsi="Arial" w:cs="Arial"/>
          <w:sz w:val="24"/>
          <w:szCs w:val="24"/>
          <w:lang w:eastAsia="en-GB"/>
        </w:rPr>
        <w:t>doi:https</w:t>
      </w:r>
      <w:proofErr w:type="spellEnd"/>
      <w:r w:rsidRPr="00F03486">
        <w:rPr>
          <w:rFonts w:ascii="Arial" w:hAnsi="Arial" w:cs="Arial"/>
          <w:sz w:val="24"/>
          <w:szCs w:val="24"/>
          <w:lang w:eastAsia="en-GB"/>
        </w:rPr>
        <w:t>://doi.org/10.1080/0142159X.2020.1755030</w:t>
      </w:r>
      <w:proofErr w:type="gramEnd"/>
      <w:r w:rsidRPr="00F03486">
        <w:rPr>
          <w:rFonts w:ascii="Arial" w:hAnsi="Arial" w:cs="Arial"/>
          <w:sz w:val="24"/>
          <w:szCs w:val="24"/>
          <w:lang w:eastAsia="en-GB"/>
        </w:rPr>
        <w:t>.</w:t>
      </w:r>
    </w:p>
    <w:p w14:paraId="2722C44E" w14:textId="4ED6067A"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Kozinets</w:t>
      </w:r>
      <w:proofErr w:type="spellEnd"/>
      <w:r w:rsidRPr="00F03486">
        <w:rPr>
          <w:rFonts w:ascii="Arial" w:hAnsi="Arial" w:cs="Arial"/>
          <w:sz w:val="24"/>
          <w:szCs w:val="24"/>
          <w:lang w:eastAsia="en-GB"/>
        </w:rPr>
        <w:t xml:space="preserve">, R.V. (2015) </w:t>
      </w:r>
      <w:proofErr w:type="spellStart"/>
      <w:r w:rsidRPr="00F03486">
        <w:rPr>
          <w:rFonts w:ascii="Arial" w:hAnsi="Arial" w:cs="Arial"/>
          <w:sz w:val="24"/>
          <w:szCs w:val="24"/>
          <w:lang w:eastAsia="en-GB"/>
        </w:rPr>
        <w:t>Netnography</w:t>
      </w:r>
      <w:proofErr w:type="spellEnd"/>
      <w:r w:rsidRPr="00F03486">
        <w:rPr>
          <w:rFonts w:ascii="Arial" w:hAnsi="Arial" w:cs="Arial"/>
          <w:sz w:val="24"/>
          <w:szCs w:val="24"/>
          <w:lang w:eastAsia="en-GB"/>
        </w:rPr>
        <w:t xml:space="preserve">: Redefined. 2nd </w:t>
      </w:r>
      <w:proofErr w:type="spellStart"/>
      <w:r w:rsidRPr="00F03486">
        <w:rPr>
          <w:rFonts w:ascii="Arial" w:hAnsi="Arial" w:cs="Arial"/>
          <w:sz w:val="24"/>
          <w:szCs w:val="24"/>
          <w:lang w:eastAsia="en-GB"/>
        </w:rPr>
        <w:t>edn</w:t>
      </w:r>
      <w:proofErr w:type="spellEnd"/>
      <w:r w:rsidRPr="00F03486">
        <w:rPr>
          <w:rFonts w:ascii="Arial" w:hAnsi="Arial" w:cs="Arial"/>
          <w:sz w:val="24"/>
          <w:szCs w:val="24"/>
          <w:lang w:eastAsia="en-GB"/>
        </w:rPr>
        <w:t>. Thousand Oaks, CA: SAGE.</w:t>
      </w:r>
    </w:p>
    <w:p w14:paraId="385437B4" w14:textId="03C36106"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Kriwet, T. et al. (2025) ‘Reducing food waste in the HORECA sector using AI-based waste-tracking systems’, Journal of Cleaner Production, 320, 129092.</w:t>
      </w:r>
    </w:p>
    <w:p w14:paraId="57F75C6B" w14:textId="2673164F"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Lai, J.H., Yik, F.W. and Man, C.S., 2012. Carbon audit: a literature review and an empirical study on a hotel. Facilities, 30(9/10), pp.417-431.</w:t>
      </w:r>
    </w:p>
    <w:p w14:paraId="4E12E7B7" w14:textId="049B45BE"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Legislation.gov.uk (2024) The Separation of Waste (England) Regulations 2024. Available at: </w:t>
      </w:r>
      <w:hyperlink r:id="rId11" w:history="1">
        <w:r w:rsidR="000C638E" w:rsidRPr="00F03486">
          <w:rPr>
            <w:rStyle w:val="Hyperlink"/>
            <w:rFonts w:ascii="Arial" w:hAnsi="Arial" w:cs="Arial"/>
            <w:sz w:val="24"/>
            <w:szCs w:val="24"/>
            <w:lang w:eastAsia="en-GB"/>
          </w:rPr>
          <w:t>https://www.legislation.gov.uk/uksi/2024/666/contents</w:t>
        </w:r>
      </w:hyperlink>
    </w:p>
    <w:p w14:paraId="4C05479F" w14:textId="0795D5E3" w:rsidR="000C638E" w:rsidRPr="00F03486" w:rsidRDefault="000C638E"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Malinauskaite</w:t>
      </w:r>
      <w:proofErr w:type="spellEnd"/>
      <w:r w:rsidRPr="00F03486">
        <w:rPr>
          <w:rFonts w:ascii="Arial" w:hAnsi="Arial" w:cs="Arial"/>
          <w:sz w:val="24"/>
          <w:szCs w:val="24"/>
          <w:lang w:eastAsia="en-GB"/>
        </w:rPr>
        <w:t xml:space="preserve">, J., </w:t>
      </w:r>
      <w:proofErr w:type="spellStart"/>
      <w:r w:rsidRPr="00F03486">
        <w:rPr>
          <w:rFonts w:ascii="Arial" w:hAnsi="Arial" w:cs="Arial"/>
          <w:sz w:val="24"/>
          <w:szCs w:val="24"/>
          <w:lang w:eastAsia="en-GB"/>
        </w:rPr>
        <w:t>Jouhara</w:t>
      </w:r>
      <w:proofErr w:type="spellEnd"/>
      <w:r w:rsidRPr="00F03486">
        <w:rPr>
          <w:rFonts w:ascii="Arial" w:hAnsi="Arial" w:cs="Arial"/>
          <w:sz w:val="24"/>
          <w:szCs w:val="24"/>
          <w:lang w:eastAsia="en-GB"/>
        </w:rPr>
        <w:t xml:space="preserve">, H., </w:t>
      </w:r>
      <w:proofErr w:type="spellStart"/>
      <w:r w:rsidRPr="00F03486">
        <w:rPr>
          <w:rFonts w:ascii="Arial" w:hAnsi="Arial" w:cs="Arial"/>
          <w:sz w:val="24"/>
          <w:szCs w:val="24"/>
          <w:lang w:eastAsia="en-GB"/>
        </w:rPr>
        <w:t>Czajczyńska</w:t>
      </w:r>
      <w:proofErr w:type="spellEnd"/>
      <w:r w:rsidRPr="00F03486">
        <w:rPr>
          <w:rFonts w:ascii="Arial" w:hAnsi="Arial" w:cs="Arial"/>
          <w:sz w:val="24"/>
          <w:szCs w:val="24"/>
          <w:lang w:eastAsia="en-GB"/>
        </w:rPr>
        <w:t xml:space="preserve">, D., </w:t>
      </w:r>
      <w:proofErr w:type="spellStart"/>
      <w:r w:rsidRPr="00F03486">
        <w:rPr>
          <w:rFonts w:ascii="Arial" w:hAnsi="Arial" w:cs="Arial"/>
          <w:sz w:val="24"/>
          <w:szCs w:val="24"/>
          <w:lang w:eastAsia="en-GB"/>
        </w:rPr>
        <w:t>Stanchev</w:t>
      </w:r>
      <w:proofErr w:type="spellEnd"/>
      <w:r w:rsidRPr="00F03486">
        <w:rPr>
          <w:rFonts w:ascii="Arial" w:hAnsi="Arial" w:cs="Arial"/>
          <w:sz w:val="24"/>
          <w:szCs w:val="24"/>
          <w:lang w:eastAsia="en-GB"/>
        </w:rPr>
        <w:t xml:space="preserve">, P., </w:t>
      </w:r>
      <w:proofErr w:type="spellStart"/>
      <w:r w:rsidRPr="00F03486">
        <w:rPr>
          <w:rFonts w:ascii="Arial" w:hAnsi="Arial" w:cs="Arial"/>
          <w:sz w:val="24"/>
          <w:szCs w:val="24"/>
          <w:lang w:eastAsia="en-GB"/>
        </w:rPr>
        <w:t>Katsou</w:t>
      </w:r>
      <w:proofErr w:type="spellEnd"/>
      <w:r w:rsidRPr="00F03486">
        <w:rPr>
          <w:rFonts w:ascii="Arial" w:hAnsi="Arial" w:cs="Arial"/>
          <w:sz w:val="24"/>
          <w:szCs w:val="24"/>
          <w:lang w:eastAsia="en-GB"/>
        </w:rPr>
        <w:t xml:space="preserve">, E., Rostkowski, P., Thorne, R.J., Colón, J., </w:t>
      </w:r>
      <w:proofErr w:type="spellStart"/>
      <w:r w:rsidRPr="00F03486">
        <w:rPr>
          <w:rFonts w:ascii="Arial" w:hAnsi="Arial" w:cs="Arial"/>
          <w:sz w:val="24"/>
          <w:szCs w:val="24"/>
          <w:lang w:eastAsia="en-GB"/>
        </w:rPr>
        <w:t>Ponsá</w:t>
      </w:r>
      <w:proofErr w:type="spellEnd"/>
      <w:r w:rsidRPr="00F03486">
        <w:rPr>
          <w:rFonts w:ascii="Arial" w:hAnsi="Arial" w:cs="Arial"/>
          <w:sz w:val="24"/>
          <w:szCs w:val="24"/>
          <w:lang w:eastAsia="en-GB"/>
        </w:rPr>
        <w:t xml:space="preserve">, S., Al-Mansour, F., </w:t>
      </w:r>
      <w:proofErr w:type="spellStart"/>
      <w:r w:rsidRPr="00F03486">
        <w:rPr>
          <w:rFonts w:ascii="Arial" w:hAnsi="Arial" w:cs="Arial"/>
          <w:sz w:val="24"/>
          <w:szCs w:val="24"/>
          <w:lang w:eastAsia="en-GB"/>
        </w:rPr>
        <w:t>Anguilano</w:t>
      </w:r>
      <w:proofErr w:type="spellEnd"/>
      <w:r w:rsidRPr="00F03486">
        <w:rPr>
          <w:rFonts w:ascii="Arial" w:hAnsi="Arial" w:cs="Arial"/>
          <w:sz w:val="24"/>
          <w:szCs w:val="24"/>
          <w:lang w:eastAsia="en-GB"/>
        </w:rPr>
        <w:t xml:space="preserve">, L., </w:t>
      </w:r>
      <w:proofErr w:type="spellStart"/>
      <w:r w:rsidRPr="00F03486">
        <w:rPr>
          <w:rFonts w:ascii="Arial" w:hAnsi="Arial" w:cs="Arial"/>
          <w:sz w:val="24"/>
          <w:szCs w:val="24"/>
          <w:lang w:eastAsia="en-GB"/>
        </w:rPr>
        <w:t>Krzyżyńska</w:t>
      </w:r>
      <w:proofErr w:type="spellEnd"/>
      <w:r w:rsidRPr="00F03486">
        <w:rPr>
          <w:rFonts w:ascii="Arial" w:hAnsi="Arial" w:cs="Arial"/>
          <w:sz w:val="24"/>
          <w:szCs w:val="24"/>
          <w:lang w:eastAsia="en-GB"/>
        </w:rPr>
        <w:t xml:space="preserve">, R., López, I.C., </w:t>
      </w:r>
      <w:proofErr w:type="spellStart"/>
      <w:r w:rsidRPr="00F03486">
        <w:rPr>
          <w:rFonts w:ascii="Arial" w:hAnsi="Arial" w:cs="Arial"/>
          <w:sz w:val="24"/>
          <w:szCs w:val="24"/>
          <w:lang w:eastAsia="en-GB"/>
        </w:rPr>
        <w:t>Vlasopoulos</w:t>
      </w:r>
      <w:proofErr w:type="spellEnd"/>
      <w:r w:rsidRPr="00F03486">
        <w:rPr>
          <w:rFonts w:ascii="Arial" w:hAnsi="Arial" w:cs="Arial"/>
          <w:sz w:val="24"/>
          <w:szCs w:val="24"/>
          <w:lang w:eastAsia="en-GB"/>
        </w:rPr>
        <w:t xml:space="preserve">, A. and Spencer, N. (2017). Municipal solid waste management and waste-to-energy in the context of a circular economy and energy recycling in Europe. Energy, [online] 141, pp.2013–2044. </w:t>
      </w:r>
      <w:proofErr w:type="spellStart"/>
      <w:proofErr w:type="gramStart"/>
      <w:r w:rsidRPr="00F03486">
        <w:rPr>
          <w:rFonts w:ascii="Arial" w:hAnsi="Arial" w:cs="Arial"/>
          <w:sz w:val="24"/>
          <w:szCs w:val="24"/>
          <w:lang w:eastAsia="en-GB"/>
        </w:rPr>
        <w:t>doi:https</w:t>
      </w:r>
      <w:proofErr w:type="spellEnd"/>
      <w:r w:rsidRPr="00F03486">
        <w:rPr>
          <w:rFonts w:ascii="Arial" w:hAnsi="Arial" w:cs="Arial"/>
          <w:sz w:val="24"/>
          <w:szCs w:val="24"/>
          <w:lang w:eastAsia="en-GB"/>
        </w:rPr>
        <w:t>://doi.org/10.1016/j.energy.2017.11.128</w:t>
      </w:r>
      <w:proofErr w:type="gramEnd"/>
      <w:r w:rsidRPr="00F03486">
        <w:rPr>
          <w:rFonts w:ascii="Arial" w:hAnsi="Arial" w:cs="Arial"/>
          <w:sz w:val="24"/>
          <w:szCs w:val="24"/>
          <w:lang w:eastAsia="en-GB"/>
        </w:rPr>
        <w:t>.</w:t>
      </w:r>
    </w:p>
    <w:p w14:paraId="0BE2FB16" w14:textId="03D6D378"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Mena, C., </w:t>
      </w:r>
      <w:proofErr w:type="spellStart"/>
      <w:r w:rsidRPr="00F03486">
        <w:rPr>
          <w:rFonts w:ascii="Arial" w:hAnsi="Arial" w:cs="Arial"/>
          <w:sz w:val="24"/>
          <w:szCs w:val="24"/>
          <w:lang w:eastAsia="en-GB"/>
        </w:rPr>
        <w:t>Adenso</w:t>
      </w:r>
      <w:proofErr w:type="spellEnd"/>
      <w:r w:rsidRPr="00F03486">
        <w:rPr>
          <w:rFonts w:ascii="Arial" w:hAnsi="Arial" w:cs="Arial"/>
          <w:sz w:val="24"/>
          <w:szCs w:val="24"/>
          <w:lang w:eastAsia="en-GB"/>
        </w:rPr>
        <w:t xml:space="preserve">-Díaz, B. and Yurt, O. (2011) ‘The causes of food waste in the supplier-retailer interface: </w:t>
      </w:r>
      <w:proofErr w:type="gramStart"/>
      <w:r w:rsidRPr="00F03486">
        <w:rPr>
          <w:rFonts w:ascii="Arial" w:hAnsi="Arial" w:cs="Arial"/>
          <w:sz w:val="24"/>
          <w:szCs w:val="24"/>
          <w:lang w:eastAsia="en-GB"/>
        </w:rPr>
        <w:t>Evidences</w:t>
      </w:r>
      <w:proofErr w:type="gramEnd"/>
      <w:r w:rsidRPr="00F03486">
        <w:rPr>
          <w:rFonts w:ascii="Arial" w:hAnsi="Arial" w:cs="Arial"/>
          <w:sz w:val="24"/>
          <w:szCs w:val="24"/>
          <w:lang w:eastAsia="en-GB"/>
        </w:rPr>
        <w:t xml:space="preserve"> from the UK and Spain’, Resources, Conservation and Recycling, 55(6), pp. 648–658.</w:t>
      </w:r>
    </w:p>
    <w:p w14:paraId="7FEF2500" w14:textId="637B522C"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Michailidou, A. and Halkias, G. (2021) ‘Constructing the food waste issue on social media: A discursive analysis’, Journal of Consumer Culture, 21(1), pp. 34–55.</w:t>
      </w:r>
    </w:p>
    <w:p w14:paraId="78083377" w14:textId="0D0C48F0"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Minimising Plate Waste (2021) ‘Minimising plate waste at hotel breakfast buffets: An experimental approach through persuasive messages’, British Food Journal, 123(5), pp. 1432–1455.</w:t>
      </w:r>
    </w:p>
    <w:p w14:paraId="7C86DD81" w14:textId="7A372AE9"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Munir, K., 2022. Sustainable food waste management strategies by applying practice theory in hospitality and food services-a systematic literature review. Journal of Cleaner Production, 331, p.129991.</w:t>
      </w:r>
    </w:p>
    <w:p w14:paraId="5E31AC3F" w14:textId="1A3B1235"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E. and Wright, N. (2014) ‘Environmental impacts of buffet food waste in hospitality’, International Journal of Hospitality Management, 40, pp. 57–6</w:t>
      </w:r>
    </w:p>
    <w:p w14:paraId="3622A047" w14:textId="67364488"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Papargyropoulou</w:t>
      </w:r>
      <w:proofErr w:type="spellEnd"/>
      <w:r w:rsidRPr="00F03486">
        <w:rPr>
          <w:rFonts w:ascii="Arial" w:hAnsi="Arial" w:cs="Arial"/>
          <w:sz w:val="24"/>
          <w:szCs w:val="24"/>
          <w:lang w:eastAsia="en-GB"/>
        </w:rPr>
        <w:t>, E. et al. (2019) ‘Patterns and causes of food waste in the hospitality and food service sector: Insights from Malaysia’, Sustainability, 11(21), 6016.</w:t>
      </w:r>
    </w:p>
    <w:p w14:paraId="5FAAEB9C" w14:textId="27F007F9"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proofErr w:type="spellStart"/>
      <w:r w:rsidRPr="00F03486">
        <w:rPr>
          <w:rFonts w:ascii="Arial" w:hAnsi="Arial" w:cs="Arial"/>
          <w:sz w:val="24"/>
          <w:szCs w:val="24"/>
          <w:lang w:eastAsia="en-GB"/>
        </w:rPr>
        <w:t>Piras</w:t>
      </w:r>
      <w:proofErr w:type="spellEnd"/>
      <w:r w:rsidRPr="00F03486">
        <w:rPr>
          <w:rFonts w:ascii="Arial" w:hAnsi="Arial" w:cs="Arial"/>
          <w:sz w:val="24"/>
          <w:szCs w:val="24"/>
          <w:lang w:eastAsia="en-GB"/>
        </w:rPr>
        <w:t>, S. et al. (2021) ‘From social interactions to private environmental behaviours: The case of consumer food waste’, Environmental Research Letters, 16(11), 114045.</w:t>
      </w:r>
    </w:p>
    <w:p w14:paraId="7BB36FF2" w14:textId="3E6EAAE2"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Principato, L., Secondi, L. and Pratesi, C.A. (2015) ‘Fostering the transition towards an economic system without food waste: Reflections on policy instruments to support food recovery and redistribution’, Sustainability, 7(3), pp. 3187–3205.</w:t>
      </w:r>
    </w:p>
    <w:p w14:paraId="34B3795B" w14:textId="369E6842"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Quested, T.E. and Johnson, H. (2009) ‘Household food and drink waste in the UK’, Waste Management, 29(7), pp. 1911–1918.</w:t>
      </w:r>
    </w:p>
    <w:p w14:paraId="07E8D396" w14:textId="761282BE"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Quested, T. et al. (2013) ‘Spaghetti soup: The complex world of food waste behaviours’, Resources, Conservation and Recycling, 79, pp. 43–51.</w:t>
      </w:r>
    </w:p>
    <w:p w14:paraId="230893B8" w14:textId="36631858" w:rsidR="00F03486" w:rsidRPr="00F03486" w:rsidRDefault="00F03486"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Pirani, S.I. and Arafat, H.A., 2016. Reduction of food waste generation in the hospitality industry. Journal of cleaner production, 132, pp.129-145.</w:t>
      </w:r>
    </w:p>
    <w:p w14:paraId="38610711" w14:textId="3F2E99E6"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Ruiz-</w:t>
      </w:r>
      <w:proofErr w:type="spellStart"/>
      <w:r w:rsidRPr="00F03486">
        <w:rPr>
          <w:rFonts w:ascii="Arial" w:hAnsi="Arial" w:cs="Arial"/>
          <w:sz w:val="24"/>
          <w:szCs w:val="24"/>
          <w:lang w:eastAsia="en-GB"/>
        </w:rPr>
        <w:t>Salmón</w:t>
      </w:r>
      <w:proofErr w:type="spellEnd"/>
      <w:r w:rsidRPr="00F03486">
        <w:rPr>
          <w:rFonts w:ascii="Arial" w:hAnsi="Arial" w:cs="Arial"/>
          <w:sz w:val="24"/>
          <w:szCs w:val="24"/>
          <w:lang w:eastAsia="en-GB"/>
        </w:rPr>
        <w:t xml:space="preserve">, A. and </w:t>
      </w:r>
      <w:proofErr w:type="spellStart"/>
      <w:r w:rsidRPr="00F03486">
        <w:rPr>
          <w:rFonts w:ascii="Arial" w:hAnsi="Arial" w:cs="Arial"/>
          <w:sz w:val="24"/>
          <w:szCs w:val="24"/>
          <w:lang w:eastAsia="en-GB"/>
        </w:rPr>
        <w:t>Ceña</w:t>
      </w:r>
      <w:proofErr w:type="spellEnd"/>
      <w:r w:rsidRPr="00F03486">
        <w:rPr>
          <w:rFonts w:ascii="Arial" w:hAnsi="Arial" w:cs="Arial"/>
          <w:sz w:val="24"/>
          <w:szCs w:val="24"/>
          <w:lang w:eastAsia="en-GB"/>
        </w:rPr>
        <w:t>, F. (2015) ‘Guest perceptions of buffet sustainability measures in midscale hotels’, Sustainable Hospitality Journal, 3(2), pp. 23–38.</w:t>
      </w:r>
    </w:p>
    <w:p w14:paraId="5517FB2C" w14:textId="79D2F58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Rutherford, D.G. and O’Fallon, M.J. (2012) Hotel Management and Operations. 5th </w:t>
      </w:r>
      <w:proofErr w:type="spellStart"/>
      <w:r w:rsidRPr="00F03486">
        <w:rPr>
          <w:rFonts w:ascii="Arial" w:hAnsi="Arial" w:cs="Arial"/>
          <w:sz w:val="24"/>
          <w:szCs w:val="24"/>
          <w:lang w:eastAsia="en-GB"/>
        </w:rPr>
        <w:t>edn</w:t>
      </w:r>
      <w:proofErr w:type="spellEnd"/>
      <w:r w:rsidRPr="00F03486">
        <w:rPr>
          <w:rFonts w:ascii="Arial" w:hAnsi="Arial" w:cs="Arial"/>
          <w:sz w:val="24"/>
          <w:szCs w:val="24"/>
          <w:lang w:eastAsia="en-GB"/>
        </w:rPr>
        <w:t>. Hoboken, NJ: Wiley.</w:t>
      </w:r>
    </w:p>
    <w:p w14:paraId="1DBB099A" w14:textId="2D22283E"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Silvennoinen, K. et al. (2015) ‘Food waste volume and composition in Finnish households’, British Food Journal, 116(11), pp. 1829–1841.</w:t>
      </w:r>
    </w:p>
    <w:p w14:paraId="6D758243" w14:textId="126E911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Smith Travel Research (2024) ‘UK hotel performance benchmarks’, STR Global Annual Report 2024, pp. 12–15.</w:t>
      </w:r>
    </w:p>
    <w:p w14:paraId="0D6A638F" w14:textId="36C0EC88"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Sosa, G. et al. (2025) ‘Food waste in the UK hospitality and food service sector: Effectiveness of AI-driven forecasting’, Waste Management, 125, pp. 45–54.</w:t>
      </w:r>
    </w:p>
    <w:p w14:paraId="777B059A" w14:textId="223EFAB2"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Stancu, V., Haugaard, P. and Lähteenmäki, L. (2016) ‘Determinants of consumer food waste behaviour: Two routes to food waste’, Appetite, 96, pp. 7–17.</w:t>
      </w:r>
    </w:p>
    <w:p w14:paraId="30E083CB" w14:textId="6524379C"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The Earl of Doncaster Hotel (2025) ‘Situated within easy walking distance of Doncaster Racecourse’, theearl.co.uk.</w:t>
      </w:r>
    </w:p>
    <w:p w14:paraId="44D7CF80" w14:textId="13B7CEA3"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The Restaurant HQ (2025) ‘24 Eye-Opening Restaurant Food Waste Statistics in 2025’, The Restaurant HQ, 1 March. Available at: https://www.therestauranthq.com/trends/restaurant-food-waste-statistics/</w:t>
      </w:r>
    </w:p>
    <w:p w14:paraId="07FDB81E" w14:textId="2DDD093A"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Thyberg, K.L. and Tonjes, D.J. (2016) ‘Drivers of food waste and their implications for sustainable policy development’, Resources, Conservation and Recycling, 106, pp. 110–123.</w:t>
      </w:r>
    </w:p>
    <w:p w14:paraId="5F99D69A" w14:textId="1C3B66A2"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TripAdvisor (2025a) ‘Good stay excellent breakfast’, TripAdvisor, reviewed February 2025. Available at: https://www.tripadvisor.com/ShowUserReviews-g187067-d14947988-r878001892-Hilton_Garden_Inn_Doncaster_Racecourse.html</w:t>
      </w:r>
    </w:p>
    <w:p w14:paraId="1BCAD190" w14:textId="02366719"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TripAdvisor (2025b) ‘Guest review: “take only what you can eat” signage and smaller plates praised’, TripAdvisor, reviewed March 2025. Available at: https://www.tripadvisor.co.uk/Hotel_Review-g187067-d14947988-Reviews-Hilton_Garden_Inn_Doncaster_Racecourse.html</w:t>
      </w:r>
    </w:p>
    <w:p w14:paraId="0A779DC6" w14:textId="7548EED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United Nations (2025) Goal 12: Ensure sustainable consumption and production patterns. Available at: </w:t>
      </w:r>
      <w:hyperlink r:id="rId12" w:history="1">
        <w:r w:rsidR="000C638E" w:rsidRPr="00F03486">
          <w:rPr>
            <w:rStyle w:val="Hyperlink"/>
            <w:rFonts w:ascii="Arial" w:hAnsi="Arial" w:cs="Arial"/>
            <w:sz w:val="24"/>
            <w:szCs w:val="24"/>
            <w:lang w:eastAsia="en-GB"/>
          </w:rPr>
          <w:t>https://sdgs.un.org/goals/goal12</w:t>
        </w:r>
      </w:hyperlink>
    </w:p>
    <w:p w14:paraId="754FB4C1" w14:textId="3C4173FA" w:rsidR="000C638E" w:rsidRPr="00F03486" w:rsidRDefault="000C638E"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Wang, Y., Yuan, Z. and Tang, Y. (2021). Enhancing food security and environmental sustainability: A critical review of food loss and waste management. Resources, Environment and Sustainability, [online] 4(100023), p.100023. </w:t>
      </w:r>
      <w:proofErr w:type="spellStart"/>
      <w:proofErr w:type="gramStart"/>
      <w:r w:rsidRPr="00F03486">
        <w:rPr>
          <w:rFonts w:ascii="Arial" w:hAnsi="Arial" w:cs="Arial"/>
          <w:sz w:val="24"/>
          <w:szCs w:val="24"/>
          <w:lang w:eastAsia="en-GB"/>
        </w:rPr>
        <w:t>doi:https</w:t>
      </w:r>
      <w:proofErr w:type="spellEnd"/>
      <w:r w:rsidRPr="00F03486">
        <w:rPr>
          <w:rFonts w:ascii="Arial" w:hAnsi="Arial" w:cs="Arial"/>
          <w:sz w:val="24"/>
          <w:szCs w:val="24"/>
          <w:lang w:eastAsia="en-GB"/>
        </w:rPr>
        <w:t>://doi.org/10.1016/j.resenv.2021.100023</w:t>
      </w:r>
      <w:proofErr w:type="gramEnd"/>
      <w:r w:rsidRPr="00F03486">
        <w:rPr>
          <w:rFonts w:ascii="Arial" w:hAnsi="Arial" w:cs="Arial"/>
          <w:sz w:val="24"/>
          <w:szCs w:val="24"/>
          <w:lang w:eastAsia="en-GB"/>
        </w:rPr>
        <w:t>.</w:t>
      </w:r>
    </w:p>
    <w:p w14:paraId="6ED57F49" w14:textId="2153826B"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Wirtz, J. and Zeithaml, V.A. (2018) ‘Cost-effective service excellence: Integrating quality and efficiency’, in Routledge Handbook of Hospitality Management, Abingdon: Routledge, pp. 45–60.</w:t>
      </w:r>
    </w:p>
    <w:p w14:paraId="6357AF20" w14:textId="1BBF06FC"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World Resources Institute (WRI) (2017) ‘New research finds companies saved $14 for every $1 invested in reducing food waste’, 7 March. Available at: https://www.wri.org/news/release-new-research-finds-companies-saved-14-every-1-invested-reducing-food-waste</w:t>
      </w:r>
    </w:p>
    <w:p w14:paraId="5F107C5F" w14:textId="0A7BA94C"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lastRenderedPageBreak/>
        <w:t>WRAP (2013) ‘The true cost of waste in hospitality and food service’, WRAP. Available at: https://www.wrap.org.uk/resources/report/true-cost-waste-hospitality-and-food-service</w:t>
      </w:r>
    </w:p>
    <w:p w14:paraId="4E75F410" w14:textId="451A817B"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WRAP (2018) ‘Foodprints framework: Measuring and benchmarking food waste in hospitality’, WRAP. Available at: https://wrap.org.uk/foodprints</w:t>
      </w:r>
    </w:p>
    <w:p w14:paraId="6F7F6731" w14:textId="24E6205B"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WRAP (2023) Action on food waste: The Courtauld Commitment 2030. Available at: https://www.wrap.org.uk/taking-action/food-drink/actions/action-on-food-waste</w:t>
      </w:r>
    </w:p>
    <w:p w14:paraId="6518E2A2" w14:textId="2B74004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 xml:space="preserve">Yin, R.K. (2009) Case Study Research: Design and Methods. 4th </w:t>
      </w:r>
      <w:proofErr w:type="spellStart"/>
      <w:r w:rsidRPr="00F03486">
        <w:rPr>
          <w:rFonts w:ascii="Arial" w:hAnsi="Arial" w:cs="Arial"/>
          <w:sz w:val="24"/>
          <w:szCs w:val="24"/>
          <w:lang w:eastAsia="en-GB"/>
        </w:rPr>
        <w:t>edn</w:t>
      </w:r>
      <w:proofErr w:type="spellEnd"/>
      <w:r w:rsidRPr="00F03486">
        <w:rPr>
          <w:rFonts w:ascii="Arial" w:hAnsi="Arial" w:cs="Arial"/>
          <w:sz w:val="24"/>
          <w:szCs w:val="24"/>
          <w:lang w:eastAsia="en-GB"/>
        </w:rPr>
        <w:t>. Thousand Oaks, CA: SAGE.</w:t>
      </w:r>
    </w:p>
    <w:p w14:paraId="06BB5B4A" w14:textId="77777777" w:rsidR="00FB4A6C" w:rsidRPr="00F03486" w:rsidRDefault="00FB4A6C"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Xue, L. et al. (2017) ‘Missing food, missing data? A critical review of global food losses and food waste data’, Environmental Science and Technology, 51(12), pp. 6618–6633.</w:t>
      </w:r>
    </w:p>
    <w:p w14:paraId="66E2969C" w14:textId="1B67C053" w:rsidR="000C638E" w:rsidRPr="00F03486" w:rsidRDefault="000C638E" w:rsidP="00F03486">
      <w:pPr>
        <w:pStyle w:val="ListParagraph"/>
        <w:numPr>
          <w:ilvl w:val="0"/>
          <w:numId w:val="2"/>
        </w:numPr>
        <w:spacing w:line="360" w:lineRule="auto"/>
        <w:jc w:val="both"/>
        <w:rPr>
          <w:rFonts w:ascii="Arial" w:hAnsi="Arial" w:cs="Arial"/>
          <w:sz w:val="24"/>
          <w:szCs w:val="24"/>
          <w:lang w:eastAsia="en-GB"/>
        </w:rPr>
      </w:pPr>
      <w:r w:rsidRPr="00F03486">
        <w:rPr>
          <w:rFonts w:ascii="Arial" w:hAnsi="Arial" w:cs="Arial"/>
          <w:sz w:val="24"/>
          <w:szCs w:val="24"/>
          <w:lang w:eastAsia="en-GB"/>
        </w:rPr>
        <w:t>Zaman, A.U. (2015) ‘A comprehensive review of the development of zero waste management: Lessons learned and guidelines’, Journal of Cleaner Production, 91, pp. 12–25.</w:t>
      </w:r>
    </w:p>
    <w:p w14:paraId="5CA9D1B7" w14:textId="77777777" w:rsidR="00FB4A6C" w:rsidRDefault="00FB4A6C" w:rsidP="00FB4A6C">
      <w:pPr>
        <w:rPr>
          <w:lang w:eastAsia="en-GB"/>
        </w:rPr>
      </w:pPr>
    </w:p>
    <w:p w14:paraId="79DF3D48" w14:textId="77777777" w:rsidR="00FB4A6C" w:rsidRDefault="00FB4A6C" w:rsidP="00FB4A6C">
      <w:pPr>
        <w:rPr>
          <w:lang w:eastAsia="en-GB"/>
        </w:rPr>
      </w:pPr>
    </w:p>
    <w:p w14:paraId="104980C3" w14:textId="77777777" w:rsidR="00FB4A6C" w:rsidRDefault="00FB4A6C" w:rsidP="00FB4A6C">
      <w:pPr>
        <w:rPr>
          <w:lang w:eastAsia="en-GB"/>
        </w:rPr>
      </w:pPr>
    </w:p>
    <w:p w14:paraId="6EDD827E" w14:textId="77777777" w:rsidR="00FB4A6C" w:rsidRDefault="00FB4A6C" w:rsidP="00FB4A6C">
      <w:pPr>
        <w:rPr>
          <w:lang w:eastAsia="en-GB"/>
        </w:rPr>
      </w:pPr>
    </w:p>
    <w:p w14:paraId="14D28023" w14:textId="77777777" w:rsidR="00FB4A6C" w:rsidRPr="00FB4A6C" w:rsidRDefault="00FB4A6C" w:rsidP="00FB4A6C">
      <w:pPr>
        <w:rPr>
          <w:lang w:eastAsia="en-GB"/>
        </w:rPr>
      </w:pPr>
    </w:p>
    <w:sectPr w:rsidR="00FB4A6C" w:rsidRPr="00FB4A6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E381D" w14:textId="77777777" w:rsidR="00C822A8" w:rsidRDefault="00C822A8" w:rsidP="000A0EE7">
      <w:pPr>
        <w:spacing w:after="0" w:line="240" w:lineRule="auto"/>
      </w:pPr>
      <w:r>
        <w:separator/>
      </w:r>
    </w:p>
  </w:endnote>
  <w:endnote w:type="continuationSeparator" w:id="0">
    <w:p w14:paraId="1A8CB7DC" w14:textId="77777777" w:rsidR="00C822A8" w:rsidRDefault="00C822A8" w:rsidP="000A0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17004"/>
      <w:docPartObj>
        <w:docPartGallery w:val="Page Numbers (Bottom of Page)"/>
        <w:docPartUnique/>
      </w:docPartObj>
    </w:sdtPr>
    <w:sdtEndPr>
      <w:rPr>
        <w:noProof/>
      </w:rPr>
    </w:sdtEndPr>
    <w:sdtContent>
      <w:p w14:paraId="46FB591C" w14:textId="2C847136" w:rsidR="000A0EE7" w:rsidRDefault="000A0E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A9FB7C" w14:textId="77777777" w:rsidR="000A0EE7" w:rsidRDefault="000A0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C248B" w14:textId="77777777" w:rsidR="00C822A8" w:rsidRDefault="00C822A8" w:rsidP="000A0EE7">
      <w:pPr>
        <w:spacing w:after="0" w:line="240" w:lineRule="auto"/>
      </w:pPr>
      <w:r>
        <w:separator/>
      </w:r>
    </w:p>
  </w:footnote>
  <w:footnote w:type="continuationSeparator" w:id="0">
    <w:p w14:paraId="5324C42E" w14:textId="77777777" w:rsidR="00C822A8" w:rsidRDefault="00C822A8" w:rsidP="000A0E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2B6E81"/>
    <w:multiLevelType w:val="hybridMultilevel"/>
    <w:tmpl w:val="456CA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6A36A2"/>
    <w:multiLevelType w:val="multilevel"/>
    <w:tmpl w:val="6936C4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2532D58"/>
    <w:multiLevelType w:val="multilevel"/>
    <w:tmpl w:val="4782C7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754132640">
    <w:abstractNumId w:val="1"/>
  </w:num>
  <w:num w:numId="2" w16cid:durableId="1361661103">
    <w:abstractNumId w:val="2"/>
  </w:num>
  <w:num w:numId="3" w16cid:durableId="737170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EE7"/>
    <w:rsid w:val="000A0EE7"/>
    <w:rsid w:val="000C638E"/>
    <w:rsid w:val="001604E6"/>
    <w:rsid w:val="001762BF"/>
    <w:rsid w:val="0028512D"/>
    <w:rsid w:val="002B4B74"/>
    <w:rsid w:val="002F3DCD"/>
    <w:rsid w:val="00477A8F"/>
    <w:rsid w:val="00494F95"/>
    <w:rsid w:val="0053582B"/>
    <w:rsid w:val="0054062A"/>
    <w:rsid w:val="00602357"/>
    <w:rsid w:val="00796DB5"/>
    <w:rsid w:val="007B0CC3"/>
    <w:rsid w:val="007E6643"/>
    <w:rsid w:val="007E6D76"/>
    <w:rsid w:val="009515D1"/>
    <w:rsid w:val="00AE15C5"/>
    <w:rsid w:val="00B151A8"/>
    <w:rsid w:val="00C808DB"/>
    <w:rsid w:val="00C822A8"/>
    <w:rsid w:val="00C82D1F"/>
    <w:rsid w:val="00D73CFE"/>
    <w:rsid w:val="00F03486"/>
    <w:rsid w:val="00F64282"/>
    <w:rsid w:val="00FB4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DF8F5"/>
  <w15:chartTrackingRefBased/>
  <w15:docId w15:val="{4610AF94-A47A-47E1-8D88-55375036A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A0E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0E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0E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0E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0E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E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E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E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A0E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0E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0E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0E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0E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E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E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EE7"/>
    <w:rPr>
      <w:rFonts w:eastAsiaTheme="majorEastAsia" w:cstheme="majorBidi"/>
      <w:color w:val="272727" w:themeColor="text1" w:themeTint="D8"/>
    </w:rPr>
  </w:style>
  <w:style w:type="paragraph" w:styleId="Title">
    <w:name w:val="Title"/>
    <w:basedOn w:val="Normal"/>
    <w:next w:val="Normal"/>
    <w:link w:val="TitleChar"/>
    <w:uiPriority w:val="10"/>
    <w:qFormat/>
    <w:rsid w:val="000A0E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E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E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E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EE7"/>
    <w:pPr>
      <w:spacing w:before="160"/>
      <w:jc w:val="center"/>
    </w:pPr>
    <w:rPr>
      <w:i/>
      <w:iCs/>
      <w:color w:val="404040" w:themeColor="text1" w:themeTint="BF"/>
    </w:rPr>
  </w:style>
  <w:style w:type="character" w:customStyle="1" w:styleId="QuoteChar">
    <w:name w:val="Quote Char"/>
    <w:basedOn w:val="DefaultParagraphFont"/>
    <w:link w:val="Quote"/>
    <w:uiPriority w:val="29"/>
    <w:rsid w:val="000A0EE7"/>
    <w:rPr>
      <w:i/>
      <w:iCs/>
      <w:color w:val="404040" w:themeColor="text1" w:themeTint="BF"/>
    </w:rPr>
  </w:style>
  <w:style w:type="paragraph" w:styleId="ListParagraph">
    <w:name w:val="List Paragraph"/>
    <w:basedOn w:val="Normal"/>
    <w:uiPriority w:val="34"/>
    <w:qFormat/>
    <w:rsid w:val="000A0EE7"/>
    <w:pPr>
      <w:ind w:left="720"/>
      <w:contextualSpacing/>
    </w:pPr>
  </w:style>
  <w:style w:type="character" w:styleId="IntenseEmphasis">
    <w:name w:val="Intense Emphasis"/>
    <w:basedOn w:val="DefaultParagraphFont"/>
    <w:uiPriority w:val="21"/>
    <w:qFormat/>
    <w:rsid w:val="000A0EE7"/>
    <w:rPr>
      <w:i/>
      <w:iCs/>
      <w:color w:val="2F5496" w:themeColor="accent1" w:themeShade="BF"/>
    </w:rPr>
  </w:style>
  <w:style w:type="paragraph" w:styleId="IntenseQuote">
    <w:name w:val="Intense Quote"/>
    <w:basedOn w:val="Normal"/>
    <w:next w:val="Normal"/>
    <w:link w:val="IntenseQuoteChar"/>
    <w:uiPriority w:val="30"/>
    <w:qFormat/>
    <w:rsid w:val="000A0E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0EE7"/>
    <w:rPr>
      <w:i/>
      <w:iCs/>
      <w:color w:val="2F5496" w:themeColor="accent1" w:themeShade="BF"/>
    </w:rPr>
  </w:style>
  <w:style w:type="character" w:styleId="IntenseReference">
    <w:name w:val="Intense Reference"/>
    <w:basedOn w:val="DefaultParagraphFont"/>
    <w:uiPriority w:val="32"/>
    <w:qFormat/>
    <w:rsid w:val="000A0EE7"/>
    <w:rPr>
      <w:b/>
      <w:bCs/>
      <w:smallCaps/>
      <w:color w:val="2F5496" w:themeColor="accent1" w:themeShade="BF"/>
      <w:spacing w:val="5"/>
    </w:rPr>
  </w:style>
  <w:style w:type="paragraph" w:styleId="Header">
    <w:name w:val="header"/>
    <w:basedOn w:val="Normal"/>
    <w:link w:val="HeaderChar"/>
    <w:uiPriority w:val="99"/>
    <w:unhideWhenUsed/>
    <w:rsid w:val="000A0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EE7"/>
  </w:style>
  <w:style w:type="paragraph" w:styleId="Footer">
    <w:name w:val="footer"/>
    <w:basedOn w:val="Normal"/>
    <w:link w:val="FooterChar"/>
    <w:uiPriority w:val="99"/>
    <w:unhideWhenUsed/>
    <w:rsid w:val="000A0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EE7"/>
  </w:style>
  <w:style w:type="paragraph" w:styleId="TOCHeading">
    <w:name w:val="TOC Heading"/>
    <w:basedOn w:val="Heading1"/>
    <w:next w:val="Normal"/>
    <w:uiPriority w:val="39"/>
    <w:unhideWhenUsed/>
    <w:qFormat/>
    <w:rsid w:val="0054062A"/>
    <w:pPr>
      <w:outlineLvl w:val="9"/>
    </w:pPr>
    <w:rPr>
      <w:kern w:val="0"/>
      <w:lang w:val="en-US"/>
      <w14:ligatures w14:val="none"/>
    </w:rPr>
  </w:style>
  <w:style w:type="paragraph" w:styleId="TOC1">
    <w:name w:val="toc 1"/>
    <w:basedOn w:val="Normal"/>
    <w:next w:val="Normal"/>
    <w:autoRedefine/>
    <w:uiPriority w:val="39"/>
    <w:unhideWhenUsed/>
    <w:rsid w:val="0054062A"/>
    <w:pPr>
      <w:spacing w:after="100"/>
    </w:pPr>
  </w:style>
  <w:style w:type="character" w:styleId="Hyperlink">
    <w:name w:val="Hyperlink"/>
    <w:basedOn w:val="DefaultParagraphFont"/>
    <w:uiPriority w:val="99"/>
    <w:unhideWhenUsed/>
    <w:rsid w:val="0054062A"/>
    <w:rPr>
      <w:color w:val="0563C1" w:themeColor="hyperlink"/>
      <w:u w:val="single"/>
    </w:rPr>
  </w:style>
  <w:style w:type="character" w:styleId="UnresolvedMention">
    <w:name w:val="Unresolved Mention"/>
    <w:basedOn w:val="DefaultParagraphFont"/>
    <w:uiPriority w:val="99"/>
    <w:semiHidden/>
    <w:unhideWhenUsed/>
    <w:rsid w:val="000C63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dgs.un.org/goals/goal1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si/2024/666/conten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ordslibrary.parliament.uk/food-waste-in-the-uk/" TargetMode="External"/><Relationship Id="rId4" Type="http://schemas.openxmlformats.org/officeDocument/2006/relationships/settings" Target="settings.xml"/><Relationship Id="rId9" Type="http://schemas.openxmlformats.org/officeDocument/2006/relationships/hyperlink" Target="https://foodwastepact.refed.org/resources/best-practices-for-hospitality-teams-to-reduce-food-waste-at-events-pcfw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FEEFD2-D644-4441-A33C-205B7F035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Pages>
  <Words>10841</Words>
  <Characters>61795</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A Amanioaei</dc:creator>
  <cp:keywords/>
  <dc:description/>
  <cp:lastModifiedBy>Eliza Andreea Amanioaei (2216057)</cp:lastModifiedBy>
  <cp:revision>8</cp:revision>
  <dcterms:created xsi:type="dcterms:W3CDTF">2025-06-12T20:04:00Z</dcterms:created>
  <dcterms:modified xsi:type="dcterms:W3CDTF">2025-06-12T22:06:00Z</dcterms:modified>
</cp:coreProperties>
</file>