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DD543" w14:textId="2DBC8C3C" w:rsidR="006D4328" w:rsidRDefault="00000000">
      <w:pPr>
        <w:spacing w:before="1200"/>
        <w:jc w:val="center"/>
      </w:pPr>
      <w:r>
        <w:rPr>
          <w:b/>
          <w:color w:val="00529B"/>
        </w:rPr>
        <w:t>CONTEMPORARY HUMAN RESOURCE</w:t>
      </w:r>
      <w:r>
        <w:rPr>
          <w:b/>
          <w:color w:val="00529B"/>
        </w:rPr>
        <w:br/>
        <w:t>CHALLENGES AT GREGGS PLC</w:t>
      </w:r>
    </w:p>
    <w:p w14:paraId="4F9BF96C" w14:textId="77777777" w:rsidR="00932F8D" w:rsidRDefault="00932F8D">
      <w:pPr>
        <w:spacing w:before="240"/>
        <w:jc w:val="center"/>
        <w:rPr>
          <w:b/>
        </w:rPr>
      </w:pPr>
    </w:p>
    <w:p w14:paraId="45EB3A3D" w14:textId="5B0450C8" w:rsidR="006D4328" w:rsidRDefault="00000000">
      <w:pPr>
        <w:spacing w:before="240"/>
        <w:jc w:val="center"/>
      </w:pPr>
      <w:r>
        <w:rPr>
          <w:b/>
        </w:rPr>
        <w:t>Assessment 1 – Formal Report</w:t>
      </w:r>
    </w:p>
    <w:p w14:paraId="6C261A43" w14:textId="77777777" w:rsidR="006D4328" w:rsidRDefault="00000000">
      <w:r>
        <w:br/>
      </w:r>
    </w:p>
    <w:tbl>
      <w:tblPr>
        <w:tblStyle w:val="TableGrid"/>
        <w:tblW w:w="0" w:type="auto"/>
        <w:jc w:val="center"/>
        <w:tblLayout w:type="fixed"/>
        <w:tblLook w:val="04A0" w:firstRow="1" w:lastRow="0" w:firstColumn="1" w:lastColumn="0" w:noHBand="0" w:noVBand="1"/>
      </w:tblPr>
      <w:tblGrid>
        <w:gridCol w:w="4680"/>
        <w:gridCol w:w="4680"/>
      </w:tblGrid>
      <w:tr w:rsidR="006D4328" w14:paraId="23455740" w14:textId="77777777">
        <w:trPr>
          <w:jc w:val="center"/>
        </w:trPr>
        <w:tc>
          <w:tcPr>
            <w:tcW w:w="4680" w:type="dxa"/>
            <w:shd w:val="clear" w:color="auto" w:fill="D9EAF7"/>
            <w:vAlign w:val="center"/>
          </w:tcPr>
          <w:p w14:paraId="0CCA6FF5" w14:textId="77777777" w:rsidR="006D4328" w:rsidRDefault="00000000">
            <w:pPr>
              <w:jc w:val="left"/>
            </w:pPr>
            <w:r>
              <w:rPr>
                <w:b/>
              </w:rPr>
              <w:t>Student Name</w:t>
            </w:r>
          </w:p>
        </w:tc>
        <w:tc>
          <w:tcPr>
            <w:tcW w:w="4680" w:type="dxa"/>
            <w:vAlign w:val="center"/>
          </w:tcPr>
          <w:p w14:paraId="4D35C7F8" w14:textId="77777777" w:rsidR="006D4328" w:rsidRDefault="00000000">
            <w:pPr>
              <w:jc w:val="left"/>
            </w:pPr>
            <w:r>
              <w:t>Ana Maria Salazar Basich</w:t>
            </w:r>
          </w:p>
        </w:tc>
      </w:tr>
      <w:tr w:rsidR="006D4328" w14:paraId="5D4644C6" w14:textId="77777777">
        <w:trPr>
          <w:jc w:val="center"/>
        </w:trPr>
        <w:tc>
          <w:tcPr>
            <w:tcW w:w="4680" w:type="dxa"/>
            <w:shd w:val="clear" w:color="auto" w:fill="D9EAF7"/>
            <w:vAlign w:val="center"/>
          </w:tcPr>
          <w:p w14:paraId="36310A24" w14:textId="77777777" w:rsidR="006D4328" w:rsidRDefault="00000000">
            <w:pPr>
              <w:jc w:val="left"/>
            </w:pPr>
            <w:r>
              <w:rPr>
                <w:b/>
              </w:rPr>
              <w:t>Student Number</w:t>
            </w:r>
          </w:p>
        </w:tc>
        <w:tc>
          <w:tcPr>
            <w:tcW w:w="4680" w:type="dxa"/>
            <w:vAlign w:val="center"/>
          </w:tcPr>
          <w:p w14:paraId="125EE365" w14:textId="77777777" w:rsidR="006D4328" w:rsidRDefault="00000000">
            <w:pPr>
              <w:jc w:val="left"/>
            </w:pPr>
            <w:r>
              <w:t>2433792</w:t>
            </w:r>
          </w:p>
        </w:tc>
      </w:tr>
      <w:tr w:rsidR="006D4328" w14:paraId="41E43ECE" w14:textId="77777777">
        <w:trPr>
          <w:jc w:val="center"/>
        </w:trPr>
        <w:tc>
          <w:tcPr>
            <w:tcW w:w="4680" w:type="dxa"/>
            <w:shd w:val="clear" w:color="auto" w:fill="D9EAF7"/>
            <w:vAlign w:val="center"/>
          </w:tcPr>
          <w:p w14:paraId="6BC94AC6" w14:textId="77777777" w:rsidR="006D4328" w:rsidRDefault="00000000">
            <w:pPr>
              <w:jc w:val="left"/>
            </w:pPr>
            <w:r>
              <w:rPr>
                <w:b/>
              </w:rPr>
              <w:t>Module Code</w:t>
            </w:r>
          </w:p>
        </w:tc>
        <w:tc>
          <w:tcPr>
            <w:tcW w:w="4680" w:type="dxa"/>
            <w:vAlign w:val="center"/>
          </w:tcPr>
          <w:p w14:paraId="24468EE2" w14:textId="77777777" w:rsidR="006D4328" w:rsidRDefault="00000000">
            <w:pPr>
              <w:jc w:val="left"/>
            </w:pPr>
            <w:r>
              <w:t>BALM5002</w:t>
            </w:r>
          </w:p>
        </w:tc>
      </w:tr>
      <w:tr w:rsidR="006D4328" w14:paraId="6BF2C06C" w14:textId="77777777">
        <w:trPr>
          <w:jc w:val="center"/>
        </w:trPr>
        <w:tc>
          <w:tcPr>
            <w:tcW w:w="4680" w:type="dxa"/>
            <w:shd w:val="clear" w:color="auto" w:fill="D9EAF7"/>
            <w:vAlign w:val="center"/>
          </w:tcPr>
          <w:p w14:paraId="6C4A4258" w14:textId="77777777" w:rsidR="006D4328" w:rsidRDefault="00000000">
            <w:pPr>
              <w:jc w:val="left"/>
            </w:pPr>
            <w:r>
              <w:rPr>
                <w:b/>
              </w:rPr>
              <w:t>Module Title</w:t>
            </w:r>
          </w:p>
        </w:tc>
        <w:tc>
          <w:tcPr>
            <w:tcW w:w="4680" w:type="dxa"/>
            <w:vAlign w:val="center"/>
          </w:tcPr>
          <w:p w14:paraId="77E01E2E" w14:textId="77777777" w:rsidR="006D4328" w:rsidRDefault="00000000">
            <w:pPr>
              <w:jc w:val="left"/>
            </w:pPr>
            <w:r>
              <w:t>Developing, Managing and Leading Individuals and Teams</w:t>
            </w:r>
          </w:p>
        </w:tc>
      </w:tr>
      <w:tr w:rsidR="006D4328" w14:paraId="77DD6F8B" w14:textId="77777777">
        <w:trPr>
          <w:jc w:val="center"/>
        </w:trPr>
        <w:tc>
          <w:tcPr>
            <w:tcW w:w="4680" w:type="dxa"/>
            <w:shd w:val="clear" w:color="auto" w:fill="D9EAF7"/>
            <w:vAlign w:val="center"/>
          </w:tcPr>
          <w:p w14:paraId="5ACCD6DC" w14:textId="77777777" w:rsidR="006D4328" w:rsidRDefault="00000000">
            <w:pPr>
              <w:jc w:val="left"/>
            </w:pPr>
            <w:r>
              <w:rPr>
                <w:b/>
              </w:rPr>
              <w:t>Lecturer</w:t>
            </w:r>
          </w:p>
        </w:tc>
        <w:tc>
          <w:tcPr>
            <w:tcW w:w="4680" w:type="dxa"/>
            <w:vAlign w:val="center"/>
          </w:tcPr>
          <w:p w14:paraId="7F5B97DA" w14:textId="77777777" w:rsidR="006D4328" w:rsidRDefault="00000000">
            <w:r>
              <w:t>Mohammad Rahman</w:t>
            </w:r>
          </w:p>
        </w:tc>
      </w:tr>
      <w:tr w:rsidR="006D4328" w14:paraId="3B36B167" w14:textId="77777777">
        <w:trPr>
          <w:jc w:val="center"/>
        </w:trPr>
        <w:tc>
          <w:tcPr>
            <w:tcW w:w="4680" w:type="dxa"/>
            <w:shd w:val="clear" w:color="auto" w:fill="D9EAF7"/>
            <w:vAlign w:val="center"/>
          </w:tcPr>
          <w:p w14:paraId="050D1053" w14:textId="77777777" w:rsidR="006D4328" w:rsidRDefault="00000000">
            <w:pPr>
              <w:jc w:val="left"/>
            </w:pPr>
            <w:r>
              <w:rPr>
                <w:b/>
              </w:rPr>
              <w:t>Assignment Title</w:t>
            </w:r>
          </w:p>
        </w:tc>
        <w:tc>
          <w:tcPr>
            <w:tcW w:w="4680" w:type="dxa"/>
            <w:vAlign w:val="center"/>
          </w:tcPr>
          <w:p w14:paraId="6137F81F" w14:textId="77777777" w:rsidR="006D4328" w:rsidRDefault="00000000">
            <w:pPr>
              <w:jc w:val="left"/>
            </w:pPr>
            <w:r>
              <w:t>Contemporary Human Resource Challenges at Greggs plc</w:t>
            </w:r>
          </w:p>
        </w:tc>
      </w:tr>
    </w:tbl>
    <w:p w14:paraId="123091EA" w14:textId="0751750E" w:rsidR="006D4328" w:rsidRDefault="006D4328" w:rsidP="00932F8D">
      <w:pPr>
        <w:spacing w:before="500"/>
        <w:sectPr w:rsidR="006D432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6C5A7647" w14:textId="77777777" w:rsidR="006D4328" w:rsidRDefault="00000000">
      <w:pPr>
        <w:pStyle w:val="Heading1"/>
      </w:pPr>
      <w:r>
        <w:rPr>
          <w:rFonts w:ascii="Arial" w:hAnsi="Arial"/>
        </w:rPr>
        <w:lastRenderedPageBreak/>
        <w:t>Introduction</w:t>
      </w:r>
    </w:p>
    <w:p w14:paraId="65786B71" w14:textId="77777777" w:rsidR="006D4328" w:rsidRDefault="00000000">
      <w:pPr>
        <w:ind w:firstLine="432"/>
      </w:pPr>
      <w:r>
        <w:t>This report looks at three current human resource challenges affecting Greggs plc: technological change, talent attraction and retention, and diversity, equity and inclusion (DEI). Greggs is a useful case because its growth depends on more than 33,000 employees across retail, manufacturing, logistics and support roles, while the business continues to expand its shop network, digital services and automation (Greggs plc, 2026a). The report explains how these issues affect performance, employee engagement and long-term sustainability. It then evaluates suitable HR practices and considers how departmental managers can put them into practice quickly and effectively, before giving practical recommendations.</w:t>
      </w:r>
    </w:p>
    <w:p w14:paraId="57BEAC62" w14:textId="77777777" w:rsidR="006D4328" w:rsidRDefault="00000000">
      <w:pPr>
        <w:pStyle w:val="Heading1"/>
      </w:pPr>
      <w:r>
        <w:rPr>
          <w:rFonts w:ascii="Arial" w:hAnsi="Arial"/>
        </w:rPr>
        <w:t>1. Explanation of Key Organisational Factors</w:t>
      </w:r>
    </w:p>
    <w:p w14:paraId="48E81FBD" w14:textId="77777777" w:rsidR="006D4328" w:rsidRDefault="00000000">
      <w:pPr>
        <w:pStyle w:val="Heading2"/>
      </w:pPr>
      <w:r>
        <w:rPr>
          <w:rFonts w:ascii="Arial" w:hAnsi="Arial"/>
        </w:rPr>
        <w:t>1.1 Adapting to technological advancements</w:t>
      </w:r>
    </w:p>
    <w:p w14:paraId="0C168455" w14:textId="26943DDF" w:rsidR="006D4328" w:rsidRDefault="00000000">
      <w:pPr>
        <w:ind w:firstLine="432"/>
      </w:pPr>
      <w:r>
        <w:t xml:space="preserve">Greggs is investing in digital customer services, technology and more automated supply-chain operations. In 2026, the company was also testing self-service ‘Greggs Express’ units, while new distribution centres were designed to use more automation and reduce manual work (Greggs plc, 2026b). These changes can improve </w:t>
      </w:r>
      <w:r w:rsidR="00B22A2B">
        <w:t>speed</w:t>
      </w:r>
      <w:r>
        <w:t>, consistency and productivity, but they also change how jobs are carried out and the skills employees need.</w:t>
      </w:r>
    </w:p>
    <w:p w14:paraId="56DF6F38" w14:textId="77777777" w:rsidR="006D4328" w:rsidRDefault="00000000">
      <w:pPr>
        <w:ind w:firstLine="432"/>
      </w:pPr>
      <w:r>
        <w:t>The main HR challenge is making sure employees are confident using new systems and understand why the changes are needed. Vial (2019) explains that digital transformation affects the wider organisation, not just the IT department. If change is poorly managed, employees may feel insecure about their jobs, resist new systems or struggle because they have not received enough training. Automation can also make the remaining work feel faster or more closely monitored.</w:t>
      </w:r>
    </w:p>
    <w:p w14:paraId="54BA95FA" w14:textId="77777777" w:rsidR="006D4328" w:rsidRDefault="00000000">
      <w:pPr>
        <w:ind w:firstLine="432"/>
      </w:pPr>
      <w:r>
        <w:t>Technology therefore affects employee engagement as well as efficiency. Greggs should give people time to learn, explain the reasons for change and involve employees where possible. Young and Tong (2025) show that the way technology and automation are managed can affect employees’ experience of work. For Greggs, long-term success will depend on digital investment, training, fair use of employee data and roles that still allow good customer service.</w:t>
      </w:r>
    </w:p>
    <w:p w14:paraId="15188179" w14:textId="77777777" w:rsidR="006D4328" w:rsidRDefault="006D4328"/>
    <w:p w14:paraId="682BB6C7" w14:textId="77777777" w:rsidR="006D4328" w:rsidRDefault="00000000">
      <w:pPr>
        <w:pStyle w:val="Heading2"/>
      </w:pPr>
      <w:r>
        <w:rPr>
          <w:rFonts w:ascii="Arial" w:hAnsi="Arial"/>
        </w:rPr>
        <w:lastRenderedPageBreak/>
        <w:t>1.2 Talent acquisition and retention</w:t>
      </w:r>
    </w:p>
    <w:p w14:paraId="700FD67E" w14:textId="77777777" w:rsidR="006D4328" w:rsidRDefault="00000000">
      <w:pPr>
        <w:ind w:firstLine="432"/>
      </w:pPr>
      <w:r>
        <w:t>Greggs’ growth creates a regular need for shop employees, managers, drivers, manufacturing staff and people with specialist skills. Hogarth and McCartney (2024) highlight ongoing competition for talent and the importance of workforce planning and retention. High turnover would cost Greggs more in recruitment and training, reduce experience within teams and place extra pressure on employees who stay.</w:t>
      </w:r>
    </w:p>
    <w:p w14:paraId="2AA496B0" w14:textId="77777777" w:rsidR="006D4328" w:rsidRDefault="00000000">
      <w:pPr>
        <w:ind w:firstLine="432"/>
      </w:pPr>
      <w:r>
        <w:t>Greggs already offers profit sharing, paid breaks, product discounts, pension contributions, wellbeing support and enhanced family leave (Greggs Careers, n.d.). These benefits can help attract and retain employees, but they are not enough on their own. Front-line roles can involve early starts, weekends and busy periods. Employees may still leave if rotas are unpredictable, managers are unsupportive or development opportunities are unclear.</w:t>
      </w:r>
    </w:p>
    <w:p w14:paraId="07359B9B" w14:textId="77777777" w:rsidR="006D4328" w:rsidRDefault="00000000">
      <w:pPr>
        <w:ind w:firstLine="432"/>
      </w:pPr>
      <w:r>
        <w:t>Staff shortages can slow service, increase stress and make it harder to maintain food quality and safety. Engagement may also fall when employees cannot see a clear path to progress. Greggs supports internal development across different parts of the business (Greggs plc, 2026c), but continued expansion means it needs enough future supervisors, managers and specialists. Sustainable growth therefore depends on recruiting the right people and giving them reasons to stay.</w:t>
      </w:r>
    </w:p>
    <w:p w14:paraId="2E9F4F98" w14:textId="77777777" w:rsidR="006D4328" w:rsidRDefault="00000000">
      <w:pPr>
        <w:pStyle w:val="Heading2"/>
      </w:pPr>
      <w:r>
        <w:rPr>
          <w:rFonts w:ascii="Arial" w:hAnsi="Arial"/>
        </w:rPr>
        <w:t>1.3 Diversity, equity and inclusion</w:t>
      </w:r>
    </w:p>
    <w:p w14:paraId="30BD3C3B" w14:textId="77777777" w:rsidR="006D4328" w:rsidRDefault="00000000">
      <w:pPr>
        <w:ind w:firstLine="432"/>
      </w:pPr>
      <w:r>
        <w:t>DEI is important for Greggs because the company serves customers from many different communities. Diversity is about representation, equity is about fair access to opportunities, and inclusion means people feel respected, valued and able to contribute (Shore et al., 2011). A workforce can be diverse without being truly inclusive, so numbers alone do not show whether employees have a fair experience.</w:t>
      </w:r>
    </w:p>
    <w:p w14:paraId="66BC7E3F" w14:textId="77777777" w:rsidR="006D4328" w:rsidRDefault="00000000">
      <w:pPr>
        <w:ind w:firstLine="432"/>
      </w:pPr>
      <w:r>
        <w:t>Greggs has taken positive steps. It was reaccredited against the National Equality Standard in 2025, offers inclusive leadership training, supports colleague networks and runs Fresh Start (Greggs plc, 2026c). Its 2025 pay-gap report, however, shows uneven representation. Women made up 62 per cent of the workforce but 44 per cent of senior management, while the mean gender pay gap was 8.89 per cent. White employees made up 90 per cent of the top three management grades (Greggs plc, 2025).</w:t>
      </w:r>
    </w:p>
    <w:p w14:paraId="6844166B" w14:textId="77777777" w:rsidR="006D4328" w:rsidRDefault="00000000">
      <w:pPr>
        <w:ind w:firstLine="432"/>
      </w:pPr>
      <w:r>
        <w:t xml:space="preserve">These figures do not prove that people doing the same job are paid differently, but they show that some groups are less represented in senior roles. If employees do not believe promotion is fair, trust and engagement can fall. Nishii (2013) found that an inclusive climate </w:t>
      </w:r>
      <w:r>
        <w:lastRenderedPageBreak/>
        <w:t>can help diverse teams work more effectively. Greggs should therefore focus not only on recruitment, but also on fair progression, employee voice and manager accountability.</w:t>
      </w:r>
    </w:p>
    <w:p w14:paraId="171CF76B" w14:textId="77777777" w:rsidR="006D4328" w:rsidRDefault="00000000">
      <w:pPr>
        <w:pStyle w:val="Heading1"/>
      </w:pPr>
      <w:r>
        <w:rPr>
          <w:rFonts w:ascii="Arial" w:hAnsi="Arial"/>
        </w:rPr>
        <w:t>2. Evaluation of Contemporary HR Practices</w:t>
      </w:r>
    </w:p>
    <w:p w14:paraId="4D4C709A" w14:textId="77777777" w:rsidR="006D4328" w:rsidRDefault="00000000">
      <w:pPr>
        <w:pStyle w:val="Heading2"/>
      </w:pPr>
      <w:r>
        <w:rPr>
          <w:rFonts w:ascii="Arial" w:hAnsi="Arial"/>
        </w:rPr>
        <w:t>2.1 Digital HR systems and workforce analytics</w:t>
      </w:r>
    </w:p>
    <w:p w14:paraId="0888AEA6" w14:textId="77777777" w:rsidR="006D4328" w:rsidRDefault="00000000">
      <w:pPr>
        <w:ind w:firstLine="432"/>
      </w:pPr>
      <w:r>
        <w:t>Greggs could make greater use of an integrated digital HR system covering recruitment, onboarding, learning, rotas, performance and employee feedback. A mobile-friendly platform would suit a workforce spread across many locations, as employees could access induction, short training modules and important updates more easily. People analytics could also help managers spot patterns in turnover, absence, skills gaps, recruitment times and promotion rates. CIPD (2025a) explains that people analytics is most useful when linked to clear business questions and evidence-based decisions.</w:t>
      </w:r>
    </w:p>
    <w:p w14:paraId="7EA0BC97" w14:textId="77777777" w:rsidR="006D4328" w:rsidRDefault="00000000">
      <w:pPr>
        <w:ind w:firstLine="432"/>
      </w:pPr>
      <w:r>
        <w:t>The main benefit is better visibility. Managers could spot staffing problems earlier, target training and compare trends across sites. However, data does not explain everything. A high turnover rate may point to poor scheduling, workload or management, but managers still need to speak to employees to understand why. Old data can also repeat existing bias, while too much monitoring may make employees feel watched.</w:t>
      </w:r>
    </w:p>
    <w:p w14:paraId="776FE616" w14:textId="77777777" w:rsidR="006D4328" w:rsidRDefault="00000000">
      <w:pPr>
        <w:ind w:firstLine="432"/>
      </w:pPr>
      <w:r>
        <w:t>Greggs should therefore use analytics to support decisions, not make them automatically. It should explain what data is collected and why, keep only the information it needs, and make sure managers apply judgement. Digital tools would work best alongside face-to-face support, employee feedback and reasonable adjustments for people who may struggle with access or confidence.</w:t>
      </w:r>
    </w:p>
    <w:p w14:paraId="1ADAD64D" w14:textId="77777777" w:rsidR="006D4328" w:rsidRDefault="00000000">
      <w:pPr>
        <w:pStyle w:val="Heading2"/>
      </w:pPr>
      <w:r>
        <w:rPr>
          <w:rFonts w:ascii="Arial" w:hAnsi="Arial"/>
        </w:rPr>
        <w:t>2.2 Employer branding, workforce planning and retention</w:t>
      </w:r>
    </w:p>
    <w:p w14:paraId="585C08A2" w14:textId="77777777" w:rsidR="006D4328" w:rsidRDefault="00000000">
      <w:pPr>
        <w:ind w:firstLine="432"/>
      </w:pPr>
      <w:r>
        <w:t>Greggs should link its employer brand with strategic workforce planning. Plans for new shops, longer opening hours, automation and supply-chain growth should be turned into clear estimates of how many employees are needed and what skills they should have. This would allow Greggs to recruit earlier for difficult roles and use apprenticeships, cross-training and internal promotion where appropriate. Its benefits and ten per cent profit-sharing arrangement also show candidates that employees share in the success of the business (Greggs plc, 2026a).</w:t>
      </w:r>
    </w:p>
    <w:p w14:paraId="5DC425B0" w14:textId="77777777" w:rsidR="006D4328" w:rsidRDefault="00000000">
      <w:pPr>
        <w:ind w:firstLine="432"/>
      </w:pPr>
      <w:r>
        <w:t xml:space="preserve">Retention needs several things to work together: fair and predictable rotas, supportive managers, recognition, wellbeing support and clear career opportunities. The Ability-Motivation-Opportunity model suggests that people perform better when they have the skills, motivation </w:t>
      </w:r>
      <w:r>
        <w:lastRenderedPageBreak/>
        <w:t>and opportunity to contribute (Appelbaum et al., 2000). Kahn (1990) also links engagement with meaningful work and a sense of safety. Young and Tong (2025) found that employees who rate their line managers more positively are less likely to think about leaving.</w:t>
      </w:r>
    </w:p>
    <w:p w14:paraId="48E6ADEC" w14:textId="77777777" w:rsidR="006D4328" w:rsidRDefault="00000000">
      <w:pPr>
        <w:ind w:firstLine="432"/>
      </w:pPr>
      <w:r>
        <w:t>Employer branding can lose credibility if the experience after joining does not match what was promised. Greggs should therefore measure not only applicant numbers, but also retention after six and twelve months, internal promotion, absence, engagement and reasons for leaving.</w:t>
      </w:r>
    </w:p>
    <w:p w14:paraId="54AB2088" w14:textId="77777777" w:rsidR="006D4328" w:rsidRDefault="00000000">
      <w:pPr>
        <w:pStyle w:val="Heading2"/>
      </w:pPr>
      <w:r>
        <w:rPr>
          <w:rFonts w:ascii="Arial" w:hAnsi="Arial"/>
        </w:rPr>
        <w:t>2.3 Inclusive recruitment, DEI policies and leadership development</w:t>
      </w:r>
    </w:p>
    <w:p w14:paraId="440BED87" w14:textId="77777777" w:rsidR="006D4328" w:rsidRDefault="00000000">
      <w:pPr>
        <w:ind w:firstLine="432"/>
      </w:pPr>
      <w:r>
        <w:t>Greggs should continue to improve inclusive recruitment by using clear job adverts, skills-based criteria, structured interviews, reasonable adjustments and consistent scoring. These methods can reduce personal bias and make the process fairer for candidates from different backgrounds, including disabled and neurodivergent applicants. Fresh Start is useful because it reaches people who may be missed by traditional recruitment. However, recruiting a diverse workforce is only the first step; employees also need fair access to mentoring, development and promotion.</w:t>
      </w:r>
    </w:p>
    <w:p w14:paraId="18A43201" w14:textId="77777777" w:rsidR="006D4328" w:rsidRDefault="00000000">
      <w:pPr>
        <w:ind w:firstLine="432"/>
      </w:pPr>
      <w:r>
        <w:t>This matters because Greggs’ own data shows less diversity at senior levels. The company could review who receives development opportunities, use clear promotion criteria and ask managers to explain decisions against agreed skills and behaviours. Colleague networks can also give employees a stronger voice. CIPD (2025b) argues that EDI works best when it is part of normal leadership and people management rather than treated as a separate activity.</w:t>
      </w:r>
    </w:p>
    <w:p w14:paraId="6E1F21A8" w14:textId="07AA5482" w:rsidR="006D4328" w:rsidRDefault="00000000">
      <w:pPr>
        <w:ind w:firstLine="432"/>
      </w:pPr>
      <w:r>
        <w:t>Training alone will not change outcomes if managers are not held responsible. Targets can help focus attention, but badly designed targets can become a box-ticking exercise. Greggs should explain why diversity data is collected and protect confidentiality. The aim should be fair opportunities and a workplace where people feel included, rather than simply improving headline diversity</w:t>
      </w:r>
      <w:r w:rsidR="00B22A2B">
        <w:t xml:space="preserve"> </w:t>
      </w:r>
      <w:r>
        <w:t>figures.</w:t>
      </w:r>
    </w:p>
    <w:p w14:paraId="3B5B2D4E" w14:textId="77777777" w:rsidR="006D4328" w:rsidRDefault="00000000">
      <w:pPr>
        <w:pStyle w:val="Heading1"/>
      </w:pPr>
      <w:r>
        <w:rPr>
          <w:rFonts w:ascii="Arial" w:hAnsi="Arial"/>
        </w:rPr>
        <w:t>3. Critical Evaluation of Managerial Implementation</w:t>
      </w:r>
    </w:p>
    <w:p w14:paraId="33E5EC2B" w14:textId="77777777" w:rsidR="006D4328" w:rsidRDefault="00000000">
      <w:pPr>
        <w:ind w:firstLine="432"/>
      </w:pPr>
      <w:r>
        <w:t>Departmental managers are the link between HR policy and what employees actually experience at work. Purcell and Hutchinson (2007) show that front-line managers play an important part in turning HR practices into performance. At Greggs, managers in shops, manufacturing, logistics and support teams should therefore take responsibility for implementation rather than leaving it entirely to the central People team.</w:t>
      </w:r>
    </w:p>
    <w:p w14:paraId="16A1F781" w14:textId="77777777" w:rsidR="006D4328" w:rsidRDefault="00000000">
      <w:pPr>
        <w:ind w:firstLine="432"/>
      </w:pPr>
      <w:r>
        <w:lastRenderedPageBreak/>
        <w:t>First, senior leaders should give managers clear responsibilities. Measures could include training, recruitment quality, early turnover, internal progression, absence, engagement and DEI results. However, these measures need balance. If managers are judged mainly on labour cost or speed, they may cut staffing too far or rush recruitment and onboarding. Performance reviews should therefore look at both results and behaviour, including whether managers listen to employees, make reasonable adjustments and deal fairly with concerns.</w:t>
      </w:r>
    </w:p>
    <w:p w14:paraId="5EA0C715" w14:textId="77777777" w:rsidR="006D4328" w:rsidRDefault="00000000">
      <w:pPr>
        <w:ind w:firstLine="432"/>
      </w:pPr>
      <w:r>
        <w:t>Second, communication should work both ways. Greggs has a large workforce working different shifts, so briefings, mobile updates and manager guides can help keep messages consistent. However, employees also need time to ask questions, practise new systems and raise concerns. Managers should explain why a change is urgent, what will change and what will stay the same. Edmondson (1999) explains that psychological safety helps employees speak up about mistakes or problems without fear of embarrassment or punishment. This is important when staff are adapting to new technology or reporting possible unfair treatment.</w:t>
      </w:r>
    </w:p>
    <w:p w14:paraId="59026BCF" w14:textId="77777777" w:rsidR="006D4328" w:rsidRDefault="00000000">
      <w:r>
        <w:t>Organisational culture is also important. If managers consistently support fairness, learning and employee voice, new HR practices are more likely to become part of normal working life (CIPD, 2025b). If managers say one thing but behave differently, employees are less likely to trust the change.</w:t>
      </w:r>
    </w:p>
    <w:p w14:paraId="4CEED5B7" w14:textId="77777777" w:rsidR="006D4328" w:rsidRDefault="00000000">
      <w:pPr>
        <w:ind w:firstLine="432"/>
      </w:pPr>
      <w:r>
        <w:t>Third, urgent action does not mean introducing everything at once. Greggs could test new HR systems, recruitment methods or retention ideas in a small group of shops and supply-chain sites before using them across the business. Clear deadlines would keep progress moving, while employee feedback and equality checks could identify problems early. Some changes may need to happen quickly, but short review points can still be used to correct issues.</w:t>
      </w:r>
    </w:p>
    <w:p w14:paraId="0189AE71" w14:textId="77777777" w:rsidR="006D4328" w:rsidRDefault="00000000">
      <w:pPr>
        <w:ind w:firstLine="432"/>
      </w:pPr>
      <w:r>
        <w:t>Possible barriers include lack of management time, different levels of management skill, change fatigue and daily operational pressure. Greggs can respond with practical training, coaching, simple processes and support from HR. Managers also need enough staffing to attend training and hold proper conversations with employees. This matters because a policy cannot be implemented well if managers do not have the time or confidence to use it. Senior leaders should show that the changes matter and support managers when results are weak.</w:t>
      </w:r>
    </w:p>
    <w:p w14:paraId="19F5DA2D" w14:textId="77777777" w:rsidR="006D4328" w:rsidRDefault="00000000">
      <w:pPr>
        <w:ind w:firstLine="432"/>
      </w:pPr>
      <w:r>
        <w:t xml:space="preserve">Finally, monitoring should be used to improve practice, not simply produce reports. Dashboards can show differences in turnover, absence, promotion or engagement between locations and employee groups, but managers should investigate the reasons before drawing conclusions. Regular reviews should agree actions and check progress. Good practice from </w:t>
      </w:r>
      <w:r>
        <w:lastRenderedPageBreak/>
        <w:t>successful sites should be shared, while repeated failure to follow agreed standards should be addressed through management performance reviews. This approach keeps managers accountable while allowing Greggs to learn and improve.</w:t>
      </w:r>
    </w:p>
    <w:p w14:paraId="07BFC1E0" w14:textId="77777777" w:rsidR="006D4328" w:rsidRDefault="00000000">
      <w:pPr>
        <w:pStyle w:val="Heading1"/>
      </w:pPr>
      <w:r>
        <w:rPr>
          <w:rFonts w:ascii="Arial" w:hAnsi="Arial"/>
        </w:rPr>
        <w:t>Conclusion</w:t>
      </w:r>
    </w:p>
    <w:p w14:paraId="627D5EF7" w14:textId="77777777" w:rsidR="006D4328" w:rsidRDefault="00000000">
      <w:pPr>
        <w:ind w:firstLine="432"/>
      </w:pPr>
      <w:r>
        <w:t>Greggs already has several strengths, including a well-known brand, employee benefits, development opportunities and clear DEI commitments. However, growth, automation and changing expectations from employees mean its HR approach must continue to develop. Technology can improve productivity, but employees need training, clear communication and fair use of data. Benefits can help recruitment, but retention also depends on good management, workload, rotas and progression. Greggs has made progress on DEI, although its pay-gap and senior management data show that fair progression still needs attention. Overall, HR practices will be most effective when managers apply them consistently and employees experience them as fair and supportive.</w:t>
      </w:r>
    </w:p>
    <w:p w14:paraId="7EB10ED8" w14:textId="77777777" w:rsidR="006D4328" w:rsidRDefault="00000000">
      <w:pPr>
        <w:pStyle w:val="Heading1"/>
      </w:pPr>
      <w:r>
        <w:rPr>
          <w:rFonts w:ascii="Arial" w:hAnsi="Arial"/>
        </w:rPr>
        <w:t>Recommendations</w:t>
      </w:r>
    </w:p>
    <w:p w14:paraId="69936635" w14:textId="77777777" w:rsidR="006D4328" w:rsidRDefault="00000000">
      <w:pPr>
        <w:pStyle w:val="ListNumber"/>
        <w:ind w:hanging="72"/>
      </w:pPr>
      <w:r>
        <w:t>Introduce a mobile-friendly HR and learning system, with digital skills training, employee consultation and clear rules on how employee data is used.</w:t>
      </w:r>
    </w:p>
    <w:p w14:paraId="56C4F544" w14:textId="77777777" w:rsidR="006D4328" w:rsidRDefault="00000000">
      <w:pPr>
        <w:pStyle w:val="ListNumber"/>
        <w:ind w:hanging="72"/>
      </w:pPr>
      <w:r>
        <w:t>Create a three-year workforce plan linked to shop openings, longer trading hours and supply-chain changes, and review skills and succession needs every quarter.</w:t>
      </w:r>
    </w:p>
    <w:p w14:paraId="5D020EC3" w14:textId="77777777" w:rsidR="006D4328" w:rsidRDefault="00000000">
      <w:pPr>
        <w:pStyle w:val="ListNumber"/>
        <w:ind w:hanging="72"/>
      </w:pPr>
      <w:r>
        <w:t>Use a retention dashboard to track rotas, early turnover, absence, engagement, promotion and reasons for leaving by role, location and relevant employee groups.</w:t>
      </w:r>
    </w:p>
    <w:p w14:paraId="32FD3F9C" w14:textId="77777777" w:rsidR="006D4328" w:rsidRDefault="00000000">
      <w:pPr>
        <w:pStyle w:val="ListNumber"/>
        <w:ind w:hanging="72"/>
      </w:pPr>
      <w:r>
        <w:t>Use clear skills-based criteria, structured scoring and reasonable adjustments in recruitment and promotion to improve fairness.</w:t>
      </w:r>
    </w:p>
    <w:p w14:paraId="387E054F" w14:textId="77777777" w:rsidR="006D4328" w:rsidRDefault="00000000">
      <w:pPr>
        <w:pStyle w:val="ListNumber"/>
        <w:ind w:hanging="72"/>
      </w:pPr>
      <w:r>
        <w:t>Give managers clear people targets, regular reviews and coaching, and use employee feedback before rolling major changes out across the business.</w:t>
      </w:r>
    </w:p>
    <w:p w14:paraId="559E8608" w14:textId="77777777" w:rsidR="006D4328" w:rsidRDefault="00000000">
      <w:r>
        <w:br w:type="page"/>
      </w:r>
    </w:p>
    <w:p w14:paraId="3D88D50C" w14:textId="77777777" w:rsidR="006D4328" w:rsidRDefault="00000000">
      <w:pPr>
        <w:pStyle w:val="Heading1"/>
        <w:jc w:val="left"/>
      </w:pPr>
      <w:r>
        <w:rPr>
          <w:rFonts w:ascii="Arial" w:hAnsi="Arial"/>
        </w:rPr>
        <w:lastRenderedPageBreak/>
        <w:t>Reference List</w:t>
      </w:r>
    </w:p>
    <w:p w14:paraId="4561F5AA" w14:textId="77777777" w:rsidR="006D4328" w:rsidRDefault="00000000">
      <w:pPr>
        <w:spacing w:after="100" w:line="276" w:lineRule="auto"/>
        <w:ind w:left="360" w:hanging="360"/>
        <w:jc w:val="left"/>
      </w:pPr>
      <w:r>
        <w:t>Appelbaum, E., Bailey, T., Berg, P. and Kalleberg, A.L. (2000) Manufacturing Advantage: Why High-Performance Work Systems Pay Off. Ithaca, NY: Cornell University Press.</w:t>
      </w:r>
    </w:p>
    <w:p w14:paraId="5A1A5F76" w14:textId="77777777" w:rsidR="006D4328" w:rsidRDefault="00000000">
      <w:pPr>
        <w:spacing w:after="100"/>
        <w:ind w:left="360" w:hanging="360"/>
        <w:jc w:val="left"/>
      </w:pPr>
      <w:r>
        <w:t xml:space="preserve">CIPD (2025a) People analytics. Factsheet, 7 February. Available at: </w:t>
      </w:r>
      <w:hyperlink r:id="rId14">
        <w:r>
          <w:rPr>
            <w:color w:val="0563C1"/>
            <w:u w:val="single"/>
          </w:rPr>
          <w:t>https://www.cipd.org/uk/knowledge/factsheets/analytics-factsheet/</w:t>
        </w:r>
      </w:hyperlink>
      <w:r>
        <w:t xml:space="preserve"> (Accessed: 9 August 2026).</w:t>
      </w:r>
    </w:p>
    <w:p w14:paraId="40CD1080" w14:textId="7B66DE99" w:rsidR="006D4328" w:rsidRDefault="00000000">
      <w:pPr>
        <w:spacing w:after="100"/>
        <w:ind w:left="360" w:hanging="360"/>
        <w:jc w:val="left"/>
      </w:pPr>
      <w:r>
        <w:t xml:space="preserve">CIPD (2025b) Resetting EDI and reaffirming inclusion. London: Chartered Institute of Personnel and Development. Available at: </w:t>
      </w:r>
      <w:hyperlink r:id="rId15" w:history="1">
        <w:r w:rsidR="00932F8D" w:rsidRPr="006F50F5">
          <w:rPr>
            <w:rStyle w:val="Hyperlink"/>
          </w:rPr>
          <w:t>https://www.cipd.org/globalassets/media/knowledge/knowledge-hub/reports/2025-pdfs/8841-resetting-edi-and-reaffirming-inclusion.pdf</w:t>
        </w:r>
      </w:hyperlink>
      <w:r>
        <w:t xml:space="preserve"> (Accessed: 9 August 2026).</w:t>
      </w:r>
    </w:p>
    <w:p w14:paraId="15FEE827" w14:textId="2E00524E" w:rsidR="006D4328" w:rsidRDefault="00000000">
      <w:pPr>
        <w:spacing w:after="100"/>
        <w:ind w:left="360" w:hanging="360"/>
        <w:jc w:val="left"/>
      </w:pPr>
      <w:r>
        <w:t xml:space="preserve">Edmondson, A. (1999) ‘Psychological safety and learning </w:t>
      </w:r>
      <w:r w:rsidR="00932F8D">
        <w:t>behavior</w:t>
      </w:r>
      <w:r>
        <w:t xml:space="preserve"> in work teams’, Administrative Science Quarterly, 44(2), pp. 350–383. doi: 10.2307/2666999.</w:t>
      </w:r>
    </w:p>
    <w:p w14:paraId="6F1CD7FD" w14:textId="77777777" w:rsidR="006D4328" w:rsidRDefault="00000000">
      <w:pPr>
        <w:spacing w:after="100" w:line="276" w:lineRule="auto"/>
        <w:ind w:left="360" w:hanging="360"/>
        <w:jc w:val="left"/>
      </w:pPr>
      <w:r>
        <w:t xml:space="preserve">Greggs Careers (n.d.) Rewarding You. Available at: </w:t>
      </w:r>
      <w:hyperlink r:id="rId16">
        <w:r>
          <w:rPr>
            <w:color w:val="0563C1"/>
            <w:u w:val="single"/>
          </w:rPr>
          <w:t>https://careers.greggs.com/rewarding-you</w:t>
        </w:r>
      </w:hyperlink>
      <w:r>
        <w:t xml:space="preserve"> (Accessed: 3 August 2026).</w:t>
      </w:r>
    </w:p>
    <w:p w14:paraId="4096EB1D" w14:textId="77777777" w:rsidR="006D4328" w:rsidRDefault="00000000">
      <w:pPr>
        <w:spacing w:after="100" w:line="276" w:lineRule="auto"/>
        <w:ind w:left="360" w:hanging="360"/>
        <w:jc w:val="left"/>
      </w:pPr>
      <w:r>
        <w:t xml:space="preserve">Greggs plc (2025) Our 2025 Pay Gap Report. Available at: </w:t>
      </w:r>
      <w:hyperlink r:id="rId17">
        <w:r>
          <w:rPr>
            <w:color w:val="0563C1"/>
            <w:u w:val="single"/>
          </w:rPr>
          <w:t>https://assets.greggs.com/f/162306/x/a3ab1ad0af/greggs-pay-gap-2025.pdf</w:t>
        </w:r>
      </w:hyperlink>
      <w:r>
        <w:t xml:space="preserve"> (Accessed: 3 August 2026).</w:t>
      </w:r>
    </w:p>
    <w:p w14:paraId="78C68814" w14:textId="77777777" w:rsidR="006D4328" w:rsidRDefault="00000000">
      <w:pPr>
        <w:spacing w:after="100" w:line="276" w:lineRule="auto"/>
        <w:ind w:left="360" w:hanging="360"/>
        <w:jc w:val="left"/>
      </w:pPr>
      <w:r>
        <w:t xml:space="preserve">Greggs plc (2026a) Annual Report and Accounts 2025. Available at: </w:t>
      </w:r>
      <w:hyperlink r:id="rId18">
        <w:r>
          <w:rPr>
            <w:color w:val="0563C1"/>
            <w:u w:val="single"/>
          </w:rPr>
          <w:t>https://corporate.greggs.co.uk/investors/results-and-regulatory-news</w:t>
        </w:r>
      </w:hyperlink>
      <w:r>
        <w:t xml:space="preserve"> (Accessed: 3 August 2026).</w:t>
      </w:r>
    </w:p>
    <w:p w14:paraId="735F7195" w14:textId="77777777" w:rsidR="006D4328" w:rsidRDefault="00000000">
      <w:pPr>
        <w:spacing w:after="100" w:line="276" w:lineRule="auto"/>
        <w:ind w:left="360" w:hanging="360"/>
        <w:jc w:val="left"/>
      </w:pPr>
      <w:r>
        <w:t xml:space="preserve">Greggs plc (2026b) Interim Results Presentation for the 26 Weeks Ended 27 June 2026. Available at: </w:t>
      </w:r>
      <w:hyperlink r:id="rId19">
        <w:r>
          <w:rPr>
            <w:color w:val="0563C1"/>
            <w:u w:val="single"/>
          </w:rPr>
          <w:t>https://corporate.greggs.co.uk/investors/results-and-regulatory-news</w:t>
        </w:r>
      </w:hyperlink>
      <w:r>
        <w:t xml:space="preserve"> (Accessed: 3 August 2026).</w:t>
      </w:r>
    </w:p>
    <w:p w14:paraId="2F9546F5" w14:textId="77777777" w:rsidR="006D4328" w:rsidRDefault="00000000">
      <w:pPr>
        <w:spacing w:after="100" w:line="276" w:lineRule="auto"/>
        <w:ind w:left="360" w:hanging="360"/>
        <w:jc w:val="left"/>
      </w:pPr>
      <w:r>
        <w:t xml:space="preserve">Greggs plc (2026c) Better Business: Embracing Diversity and Making Greggs a Great Place to Work. Available at: </w:t>
      </w:r>
      <w:hyperlink r:id="rId20">
        <w:r>
          <w:rPr>
            <w:color w:val="0563C1"/>
            <w:u w:val="single"/>
          </w:rPr>
          <w:t>https://corporate.greggs.co.uk/doing-good/better-business</w:t>
        </w:r>
      </w:hyperlink>
      <w:r>
        <w:t xml:space="preserve"> (Accessed: 3 August 2026).</w:t>
      </w:r>
    </w:p>
    <w:p w14:paraId="0CCFF927" w14:textId="77777777" w:rsidR="006D4328" w:rsidRDefault="00000000">
      <w:pPr>
        <w:spacing w:after="100" w:line="276" w:lineRule="auto"/>
        <w:ind w:left="360" w:hanging="360"/>
        <w:jc w:val="left"/>
      </w:pPr>
      <w:r>
        <w:t>Hogarth, A. and McCartney, C. (2024) Resourcing and Talent Planning Report 2024. London: Chartered Institute of Personnel and Development.</w:t>
      </w:r>
    </w:p>
    <w:p w14:paraId="2195FFF9" w14:textId="0C842C7D" w:rsidR="006D4328" w:rsidRDefault="00000000">
      <w:pPr>
        <w:spacing w:after="100" w:line="276" w:lineRule="auto"/>
        <w:ind w:left="360" w:hanging="360"/>
        <w:jc w:val="left"/>
      </w:pPr>
      <w:r>
        <w:t xml:space="preserve">Kahn, W.A. (1990) ‘Psychological conditions of personal engagement and disengagement at work’, Academy of Management Journal, 33(4), pp. 692–724. </w:t>
      </w:r>
    </w:p>
    <w:p w14:paraId="1289ACC8" w14:textId="04C3B4A0" w:rsidR="006D4328" w:rsidRDefault="00000000">
      <w:pPr>
        <w:spacing w:after="100" w:line="276" w:lineRule="auto"/>
        <w:ind w:left="360" w:hanging="360"/>
        <w:jc w:val="left"/>
      </w:pPr>
      <w:r>
        <w:t xml:space="preserve">Nishii, L.H. (2013) ‘The benefits of climate for inclusion for gender-diverse groups’, Academy of Management Journal, 56(6), pp. 1754–1774. </w:t>
      </w:r>
    </w:p>
    <w:p w14:paraId="46B62669" w14:textId="037DD009" w:rsidR="006D4328" w:rsidRDefault="00000000">
      <w:pPr>
        <w:spacing w:after="100" w:line="276" w:lineRule="auto"/>
        <w:ind w:left="360" w:hanging="360"/>
        <w:jc w:val="left"/>
      </w:pPr>
      <w:r>
        <w:t xml:space="preserve">Purcell, J. and Hutchinson, S. (2007) ‘Front-line managers as agents in the HRM-performance causal chain: theory, analysis and evidence’, Human Resource Management Journal, 17(1), pp. 3–20. </w:t>
      </w:r>
    </w:p>
    <w:p w14:paraId="54EC54FF" w14:textId="4E5B8DAA" w:rsidR="006D4328" w:rsidRDefault="00000000">
      <w:pPr>
        <w:spacing w:after="100" w:line="276" w:lineRule="auto"/>
        <w:ind w:left="360" w:hanging="360"/>
        <w:jc w:val="left"/>
      </w:pPr>
      <w:r>
        <w:lastRenderedPageBreak/>
        <w:t xml:space="preserve">Shore, L.M., Randel, A.E., Chung, B.G., Dean, M.A., Holcombe Ehrhart, K. and Singh, G. (2011) ‘Inclusion and diversity in work groups: a review and model for future research’, Journal of Management, 37(4), pp. 1262–1289. </w:t>
      </w:r>
    </w:p>
    <w:p w14:paraId="0985A616" w14:textId="71884CD8" w:rsidR="006D4328" w:rsidRDefault="00000000">
      <w:pPr>
        <w:spacing w:after="100" w:line="276" w:lineRule="auto"/>
        <w:ind w:left="360" w:hanging="360"/>
        <w:jc w:val="left"/>
      </w:pPr>
      <w:r>
        <w:t xml:space="preserve">Vial, G. (2019) ‘Understanding digital transformation: a review and a research agenda’, The Journal of Strategic Information Systems, 28(2), pp. 118–144. </w:t>
      </w:r>
    </w:p>
    <w:p w14:paraId="67415F99" w14:textId="77777777" w:rsidR="006D4328" w:rsidRDefault="00000000">
      <w:pPr>
        <w:spacing w:after="100" w:line="276" w:lineRule="auto"/>
        <w:ind w:left="360" w:hanging="360"/>
        <w:jc w:val="left"/>
      </w:pPr>
      <w:r>
        <w:t xml:space="preserve">Young, J. and Tong, D. (2025) CIPD Good Work Index 2025. London: Chartered Institute of Personnel and Development. Available at: </w:t>
      </w:r>
      <w:hyperlink r:id="rId21">
        <w:r>
          <w:rPr>
            <w:color w:val="0563C1"/>
            <w:u w:val="single"/>
          </w:rPr>
          <w:t>https://www.cipd.org/globalassets/media/knowledge/knowledge-hub/reports/2025-pdfs/8868-good-work-index-2025-report-web1.pdf</w:t>
        </w:r>
      </w:hyperlink>
      <w:r>
        <w:t xml:space="preserve"> (Accessed: 9 August 2026).</w:t>
      </w:r>
    </w:p>
    <w:sectPr w:rsidR="006D4328" w:rsidSect="00034616">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D057B6" w14:textId="77777777" w:rsidR="006F31B2" w:rsidRDefault="006F31B2">
      <w:pPr>
        <w:spacing w:after="0" w:line="240" w:lineRule="auto"/>
      </w:pPr>
      <w:r>
        <w:separator/>
      </w:r>
    </w:p>
  </w:endnote>
  <w:endnote w:type="continuationSeparator" w:id="0">
    <w:p w14:paraId="7519FB94" w14:textId="77777777" w:rsidR="006F31B2" w:rsidRDefault="006F3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4B9097" w14:textId="77777777" w:rsidR="00B22A2B" w:rsidRDefault="00B22A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5FC1A0" w14:textId="77777777" w:rsidR="006D4328" w:rsidRDefault="00000000">
    <w:pPr>
      <w:pStyle w:val="Footer"/>
      <w:jc w:val="center"/>
    </w:pPr>
    <w:r>
      <w:rPr>
        <w:rFonts w:cs="Arial"/>
      </w:rPr>
      <w:fldChar w:fldCharType="begin"/>
    </w:r>
    <w:r>
      <w:rPr>
        <w:rFonts w:cs="Arial"/>
      </w:rPr>
      <w:instrText xml:space="preserve"> PAGE </w:instrText>
    </w:r>
    <w:r>
      <w:rPr>
        <w:rFonts w:cs="Arial"/>
      </w:rPr>
      <w:fldChar w:fldCharType="separate"/>
    </w:r>
    <w:r>
      <w:rPr>
        <w:rFonts w:cs="Arial"/>
      </w:rPr>
      <w:t>1</w:t>
    </w:r>
    <w:r>
      <w:rPr>
        <w:rFonts w:cs="Arial"/>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46EDA" w14:textId="77777777" w:rsidR="00B22A2B" w:rsidRDefault="00B22A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C3A36" w14:textId="77777777" w:rsidR="006D4328" w:rsidRDefault="00000000">
    <w:pPr>
      <w:pStyle w:val="Footer"/>
      <w:jc w:val="center"/>
    </w:pPr>
    <w:r>
      <w:fldChar w:fldCharType="begin"/>
    </w:r>
    <w:r>
      <w:instrText xml:space="preserve"> PAGE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AD3CD" w14:textId="77777777" w:rsidR="006F31B2" w:rsidRDefault="006F31B2">
      <w:pPr>
        <w:spacing w:after="0" w:line="240" w:lineRule="auto"/>
      </w:pPr>
      <w:r>
        <w:separator/>
      </w:r>
    </w:p>
  </w:footnote>
  <w:footnote w:type="continuationSeparator" w:id="0">
    <w:p w14:paraId="3849EF81" w14:textId="77777777" w:rsidR="006F31B2" w:rsidRDefault="006F31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963AA" w14:textId="77777777" w:rsidR="00B22A2B" w:rsidRDefault="00B22A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423F85" w14:textId="2210B962" w:rsidR="006D4328" w:rsidRDefault="00932F8D">
    <w:pPr>
      <w:pStyle w:val="Header"/>
    </w:pPr>
    <w:r>
      <w:t xml:space="preserve">                                                                                                                 </w:t>
    </w:r>
    <w:r>
      <w:rPr>
        <w:noProof/>
      </w:rPr>
      <w:drawing>
        <wp:inline distT="0" distB="0" distL="0" distR="0" wp14:anchorId="31FEA950" wp14:editId="11B22E45">
          <wp:extent cx="1524000" cy="1409700"/>
          <wp:effectExtent l="0" t="0" r="0" b="0"/>
          <wp:docPr id="20" name="Picture 19" descr="UWTSDLondon (@UWTSDLondon) / Posts / X">
            <a:extLst xmlns:a="http://schemas.openxmlformats.org/drawingml/2006/main">
              <a:ext uri="{FF2B5EF4-FFF2-40B4-BE49-F238E27FC236}">
                <a16:creationId xmlns:a16="http://schemas.microsoft.com/office/drawing/2014/main" id="{5E1BB008-587D-9749-707B-1E7A3B737A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descr="UWTSDLondon (@UWTSDLondon) / Posts / X">
                    <a:extLst>
                      <a:ext uri="{FF2B5EF4-FFF2-40B4-BE49-F238E27FC236}">
                        <a16:creationId xmlns:a16="http://schemas.microsoft.com/office/drawing/2014/main" id="{5E1BB008-587D-9749-707B-1E7A3B737A21}"/>
                      </a:ext>
                    </a:extLst>
                  </pic:cNvPr>
                  <pic:cNvPicPr>
                    <a:picLocks noChangeAspect="1"/>
                  </pic:cNvPicPr>
                </pic:nvPicPr>
                <pic:blipFill>
                  <a:blip r:embed="rId1"/>
                  <a:stretch>
                    <a:fillRect/>
                  </a:stretch>
                </pic:blipFill>
                <pic:spPr>
                  <a:xfrm>
                    <a:off x="0" y="0"/>
                    <a:ext cx="1524000" cy="1409700"/>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3DCF56" w14:textId="77777777" w:rsidR="00B22A2B" w:rsidRDefault="00B22A2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3B8AC" w14:textId="081CA474" w:rsidR="006D4328" w:rsidRDefault="006D4328">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20725404">
    <w:abstractNumId w:val="8"/>
  </w:num>
  <w:num w:numId="2" w16cid:durableId="855651822">
    <w:abstractNumId w:val="6"/>
  </w:num>
  <w:num w:numId="3" w16cid:durableId="184712286">
    <w:abstractNumId w:val="5"/>
  </w:num>
  <w:num w:numId="4" w16cid:durableId="1409424235">
    <w:abstractNumId w:val="4"/>
  </w:num>
  <w:num w:numId="5" w16cid:durableId="95945337">
    <w:abstractNumId w:val="7"/>
  </w:num>
  <w:num w:numId="6" w16cid:durableId="585921985">
    <w:abstractNumId w:val="3"/>
  </w:num>
  <w:num w:numId="7" w16cid:durableId="1150095513">
    <w:abstractNumId w:val="2"/>
  </w:num>
  <w:num w:numId="8" w16cid:durableId="1547909445">
    <w:abstractNumId w:val="1"/>
  </w:num>
  <w:num w:numId="9" w16cid:durableId="1364865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6D4328"/>
    <w:rsid w:val="006F31B2"/>
    <w:rsid w:val="00932F8D"/>
    <w:rsid w:val="00AA1D8D"/>
    <w:rsid w:val="00B22A2B"/>
    <w:rsid w:val="00B47730"/>
    <w:rsid w:val="00CB0664"/>
    <w:rsid w:val="00D34C1F"/>
    <w:rsid w:val="00F163F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CF8521"/>
  <w14:defaultImageDpi w14:val="300"/>
  <w15:docId w15:val="{520A9C38-2D0A-487F-B94B-85DF49CD7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200"/>
      <w:outlineLvl w:val="0"/>
    </w:pPr>
    <w:rPr>
      <w:rFonts w:asciiTheme="majorHAnsi" w:eastAsiaTheme="majorEastAsia" w:hAnsiTheme="majorHAnsi" w:cstheme="majorBidi"/>
      <w:b/>
      <w:bCs/>
      <w:color w:val="00529B"/>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00529B"/>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itleCustom">
    <w:name w:val="Title Custom"/>
    <w:pPr>
      <w:spacing w:before="200" w:after="120"/>
      <w:jc w:val="center"/>
    </w:pPr>
    <w:rPr>
      <w:rFonts w:ascii="Arial" w:eastAsia="Arial" w:hAnsi="Arial"/>
      <w:b/>
      <w:color w:val="00529B"/>
      <w:sz w:val="40"/>
    </w:rPr>
  </w:style>
  <w:style w:type="character" w:styleId="Hyperlink">
    <w:name w:val="Hyperlink"/>
    <w:basedOn w:val="DefaultParagraphFont"/>
    <w:uiPriority w:val="99"/>
    <w:unhideWhenUsed/>
    <w:rsid w:val="00932F8D"/>
    <w:rPr>
      <w:color w:val="0000FF" w:themeColor="hyperlink"/>
      <w:u w:val="single"/>
    </w:rPr>
  </w:style>
  <w:style w:type="character" w:styleId="UnresolvedMention">
    <w:name w:val="Unresolved Mention"/>
    <w:basedOn w:val="DefaultParagraphFont"/>
    <w:uiPriority w:val="99"/>
    <w:semiHidden/>
    <w:unhideWhenUsed/>
    <w:rsid w:val="00932F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corporate.greggs.co.uk/investors/results-and-regulatory-news" TargetMode="External"/><Relationship Id="rId3" Type="http://schemas.openxmlformats.org/officeDocument/2006/relationships/styles" Target="styles.xml"/><Relationship Id="rId21" Type="http://schemas.openxmlformats.org/officeDocument/2006/relationships/hyperlink" Target="https://www.cipd.org/globalassets/media/knowledge/knowledge-hub/reports/2025-pdfs/8868-good-work-index-2025-report-web1.pdf"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assets.greggs.com/f/162306/x/a3ab1ad0af/greggs-pay-gap-2025.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areers.greggs.com/rewarding-you" TargetMode="External"/><Relationship Id="rId20" Type="http://schemas.openxmlformats.org/officeDocument/2006/relationships/hyperlink" Target="https://corporate.greggs.co.uk/doing-good/better-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globalassets/media/knowledge/knowledge-hub/reports/2025-pdfs/8841-resetting-edi-and-reaffirming-inclusion.pdf" TargetMode="External"/><Relationship Id="rId23" Type="http://schemas.openxmlformats.org/officeDocument/2006/relationships/footer" Target="footer4.xml"/><Relationship Id="rId10" Type="http://schemas.openxmlformats.org/officeDocument/2006/relationships/footer" Target="footer1.xml"/><Relationship Id="rId19" Type="http://schemas.openxmlformats.org/officeDocument/2006/relationships/hyperlink" Target="https://corporate.greggs.co.uk/investors/results-and-regulatory-news"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cipd.org/uk/knowledge/factsheets/analytics-factsheet/" TargetMode="External"/><Relationship Id="rId22" Type="http://schemas.openxmlformats.org/officeDocument/2006/relationships/header" Target="header4.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2727</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18240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ana maria salazar basich</cp:lastModifiedBy>
  <cp:revision>2</cp:revision>
  <dcterms:created xsi:type="dcterms:W3CDTF">2026-08-09T13:06:00Z</dcterms:created>
  <dcterms:modified xsi:type="dcterms:W3CDTF">2026-08-09T13:06:00Z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0c22e7fc-3a4f-4ef9-9dd6-08206a22c0bd</vt:lpwstr>
  </property>
</Properties>
</file>