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ackground w:color="FFFFFF"/>
  <w:body>
    <w:p w:rsidR="00D915F8" w:rsidRDefault="005A42D6">
      <w:pPr>
        <w:spacing w:after="200" w:line="360" w:lineRule="auto"/>
        <w:jc w:val="center"/>
        <w:rPr>
          <w:rFonts w:ascii="Times New Roman" w:eastAsia="Times New Roman" w:hAnsi="Times New Roman" w:cs="Times New Roman"/>
          <w:b/>
          <w:bCs/>
          <w:sz w:val="32"/>
          <w:szCs w:val="32"/>
        </w:rPr>
      </w:pPr>
      <w:r>
        <w:rPr>
          <w:b/>
          <w:bCs/>
          <w:noProof/>
          <w:sz w:val="24"/>
          <w:szCs w:val="24"/>
          <w:lang w:val="en-IN"/>
        </w:rPr>
        <w:drawing>
          <wp:inline distT="114300" distB="114300" distL="114300" distR="114300">
            <wp:extent cx="3381375" cy="1352550"/>
            <wp:effectExtent l="0" t="0" r="0" b="0"/>
            <wp:docPr id="25"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7"/>
                    <a:srcRect/>
                    <a:stretch>
                      <a:fillRect/>
                    </a:stretch>
                  </pic:blipFill>
                  <pic:spPr>
                    <a:xfrm>
                      <a:off x="0" y="0"/>
                      <a:ext cx="3381375" cy="1352550"/>
                    </a:xfrm>
                    <a:prstGeom prst="rect">
                      <a:avLst/>
                    </a:prstGeom>
                    <a:ln/>
                  </pic:spPr>
                </pic:pic>
              </a:graphicData>
            </a:graphic>
          </wp:inline>
        </w:drawing>
      </w:r>
    </w:p>
    <w:p w:rsidR="00D915F8" w:rsidRDefault="00D915F8">
      <w:pPr>
        <w:spacing w:line="360" w:lineRule="auto"/>
        <w:jc w:val="center"/>
        <w:rPr>
          <w:rFonts w:ascii="Times New Roman" w:eastAsia="Times New Roman" w:hAnsi="Times New Roman" w:cs="Times New Roman"/>
          <w:b/>
          <w:bCs/>
          <w:sz w:val="32"/>
          <w:szCs w:val="32"/>
        </w:rPr>
      </w:pPr>
    </w:p>
    <w:p w:rsidR="00D915F8" w:rsidRDefault="00D915F8">
      <w:pPr>
        <w:spacing w:line="360" w:lineRule="auto"/>
        <w:jc w:val="center"/>
        <w:rPr>
          <w:rFonts w:ascii="Times New Roman" w:eastAsia="Times New Roman" w:hAnsi="Times New Roman" w:cs="Times New Roman"/>
          <w:b/>
          <w:bCs/>
          <w:sz w:val="32"/>
          <w:szCs w:val="32"/>
        </w:rPr>
      </w:pPr>
    </w:p>
    <w:p w:rsidR="00D915F8" w:rsidRDefault="005A42D6">
      <w:pPr>
        <w:spacing w:after="200"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Student Name: Shivangi Chovatiya</w:t>
      </w:r>
    </w:p>
    <w:p w:rsidR="00D915F8" w:rsidRDefault="005A42D6">
      <w:pPr>
        <w:spacing w:after="200"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Student ID: 2434752</w:t>
      </w:r>
    </w:p>
    <w:p w:rsidR="00D915F8" w:rsidRDefault="005A42D6">
      <w:pPr>
        <w:spacing w:after="200"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Subject Name</w:t>
      </w:r>
      <w:r w:rsidR="00047E59">
        <w:rPr>
          <w:rFonts w:ascii="Times New Roman" w:eastAsia="Times New Roman" w:hAnsi="Times New Roman" w:cs="Times New Roman"/>
          <w:b/>
          <w:bCs/>
          <w:sz w:val="32"/>
          <w:szCs w:val="32"/>
        </w:rPr>
        <w:t xml:space="preserve">: strategic management </w:t>
      </w:r>
    </w:p>
    <w:p w:rsidR="00D915F8" w:rsidRDefault="005A42D6">
      <w:pPr>
        <w:spacing w:after="200"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Student Code: LCMB7003</w:t>
      </w:r>
    </w:p>
    <w:p w:rsidR="00D915F8" w:rsidRDefault="005A42D6" w:rsidP="00047E59">
      <w:pPr>
        <w:spacing w:after="200"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Lecturer's Name: Amare Desta</w:t>
      </w:r>
    </w:p>
    <w:p w:rsidR="00D915F8" w:rsidRDefault="005A42D6">
      <w:pPr>
        <w:spacing w:after="200"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Term: 2</w:t>
      </w:r>
    </w:p>
    <w:p w:rsidR="00D915F8" w:rsidRDefault="005A42D6">
      <w:pPr>
        <w:spacing w:after="200"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Word Count: 5000</w:t>
      </w:r>
    </w:p>
    <w:p w:rsidR="00D915F8" w:rsidRDefault="005A42D6">
      <w:pPr>
        <w:spacing w:line="360" w:lineRule="auto"/>
        <w:jc w:val="center"/>
        <w:rPr>
          <w:rFonts w:ascii="Times New Roman" w:eastAsia="Times New Roman" w:hAnsi="Times New Roman" w:cs="Times New Roman"/>
          <w:sz w:val="24"/>
          <w:szCs w:val="24"/>
        </w:rPr>
      </w:pPr>
      <w:r>
        <w:br w:type="page"/>
      </w:r>
    </w:p>
    <w:p w:rsidR="00D915F8" w:rsidRDefault="005A42D6">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 xml:space="preserve">Table of Contents </w:t>
      </w:r>
    </w:p>
    <w:sdt>
      <w:sdtPr>
        <w:id w:val="997349971"/>
        <w:docPartObj>
          <w:docPartGallery w:val="Table of Contents"/>
          <w:docPartUnique/>
        </w:docPartObj>
      </w:sdtPr>
      <w:sdtEndPr/>
      <w:sdtContent>
        <w:p w:rsidR="00D915F8" w:rsidRDefault="005A42D6">
          <w:pPr>
            <w:widowControl w:val="0"/>
            <w:tabs>
              <w:tab w:val="right" w:pos="12000"/>
            </w:tabs>
            <w:spacing w:before="60" w:line="360" w:lineRule="auto"/>
            <w:jc w:val="both"/>
            <w:rPr>
              <w:rFonts w:ascii="Times New Roman" w:eastAsia="Times New Roman" w:hAnsi="Times New Roman" w:cs="Times New Roman"/>
              <w:b/>
              <w:bCs/>
              <w:color w:val="000000"/>
              <w:sz w:val="24"/>
              <w:szCs w:val="24"/>
            </w:rPr>
          </w:pPr>
          <w:r>
            <w:fldChar w:fldCharType="begin"/>
          </w:r>
          <w:r>
            <w:instrText xml:space="preserve"> TOC \h \u \z \t "Heading 1,1,Heading 2,2,Heading 3,3,Heading 4,4,Heading 5,5,Heading 6,6,"</w:instrText>
          </w:r>
          <w:r>
            <w:fldChar w:fldCharType="separate"/>
          </w:r>
          <w:hyperlink w:anchor="_heading=h.vxrw7rljscv5">
            <w:r>
              <w:rPr>
                <w:rFonts w:ascii="Times New Roman" w:eastAsia="Times New Roman" w:hAnsi="Times New Roman" w:cs="Times New Roman"/>
                <w:color w:val="000000"/>
                <w:sz w:val="24"/>
                <w:szCs w:val="24"/>
              </w:rPr>
              <w:t>1. Introduction</w:t>
            </w:r>
            <w:r>
              <w:rPr>
                <w:rFonts w:ascii="Times New Roman" w:eastAsia="Times New Roman" w:hAnsi="Times New Roman" w:cs="Times New Roman"/>
                <w:color w:val="000000"/>
                <w:sz w:val="24"/>
                <w:szCs w:val="24"/>
              </w:rPr>
              <w:tab/>
              <w:t>3</w:t>
            </w:r>
          </w:hyperlink>
        </w:p>
        <w:p w:rsidR="00D915F8" w:rsidRDefault="005A42D6">
          <w:pPr>
            <w:widowControl w:val="0"/>
            <w:tabs>
              <w:tab w:val="right" w:pos="12000"/>
            </w:tabs>
            <w:spacing w:before="60" w:line="360" w:lineRule="auto"/>
            <w:jc w:val="both"/>
            <w:rPr>
              <w:rFonts w:ascii="Times New Roman" w:eastAsia="Times New Roman" w:hAnsi="Times New Roman" w:cs="Times New Roman"/>
              <w:b/>
              <w:bCs/>
              <w:color w:val="000000"/>
              <w:sz w:val="24"/>
              <w:szCs w:val="24"/>
            </w:rPr>
          </w:pPr>
          <w:hyperlink w:anchor="_heading=h.gfw2vblg0ez6">
            <w:r>
              <w:rPr>
                <w:rFonts w:ascii="Times New Roman" w:eastAsia="Times New Roman" w:hAnsi="Times New Roman" w:cs="Times New Roman"/>
                <w:color w:val="000000"/>
                <w:sz w:val="24"/>
                <w:szCs w:val="24"/>
              </w:rPr>
              <w:t>2. Selection of O</w:t>
            </w:r>
            <w:r>
              <w:rPr>
                <w:rFonts w:ascii="Times New Roman" w:eastAsia="Times New Roman" w:hAnsi="Times New Roman" w:cs="Times New Roman"/>
                <w:color w:val="000000"/>
                <w:sz w:val="24"/>
                <w:szCs w:val="24"/>
              </w:rPr>
              <w:t>rganisation and Target Market</w:t>
            </w:r>
            <w:r>
              <w:rPr>
                <w:rFonts w:ascii="Times New Roman" w:eastAsia="Times New Roman" w:hAnsi="Times New Roman" w:cs="Times New Roman"/>
                <w:color w:val="000000"/>
                <w:sz w:val="24"/>
                <w:szCs w:val="24"/>
              </w:rPr>
              <w:tab/>
              <w:t>3</w:t>
            </w:r>
          </w:hyperlink>
        </w:p>
        <w:p w:rsidR="00D915F8" w:rsidRDefault="005A42D6">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heading=h.ufgrf6hndy75">
            <w:r>
              <w:rPr>
                <w:rFonts w:ascii="Times New Roman" w:eastAsia="Times New Roman" w:hAnsi="Times New Roman" w:cs="Times New Roman"/>
                <w:color w:val="000000"/>
                <w:sz w:val="24"/>
                <w:szCs w:val="24"/>
              </w:rPr>
              <w:t>2.1 Overview of the Organisation</w:t>
            </w:r>
            <w:r>
              <w:rPr>
                <w:rFonts w:ascii="Times New Roman" w:eastAsia="Times New Roman" w:hAnsi="Times New Roman" w:cs="Times New Roman"/>
                <w:color w:val="000000"/>
                <w:sz w:val="24"/>
                <w:szCs w:val="24"/>
              </w:rPr>
              <w:tab/>
              <w:t>3</w:t>
            </w:r>
          </w:hyperlink>
        </w:p>
        <w:p w:rsidR="00D915F8" w:rsidRDefault="005A42D6">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heading=h.vi0buvwl43zh">
            <w:r>
              <w:rPr>
                <w:rFonts w:ascii="Times New Roman" w:eastAsia="Times New Roman" w:hAnsi="Times New Roman" w:cs="Times New Roman"/>
                <w:color w:val="000000"/>
                <w:sz w:val="24"/>
                <w:szCs w:val="24"/>
              </w:rPr>
              <w:t>2.2 Rationale for Selecting New Zealand as the Target Market</w:t>
            </w:r>
            <w:r>
              <w:rPr>
                <w:rFonts w:ascii="Times New Roman" w:eastAsia="Times New Roman" w:hAnsi="Times New Roman" w:cs="Times New Roman"/>
                <w:color w:val="000000"/>
                <w:sz w:val="24"/>
                <w:szCs w:val="24"/>
              </w:rPr>
              <w:tab/>
              <w:t>5</w:t>
            </w:r>
          </w:hyperlink>
        </w:p>
        <w:p w:rsidR="00D915F8" w:rsidRDefault="005A42D6">
          <w:pPr>
            <w:widowControl w:val="0"/>
            <w:tabs>
              <w:tab w:val="right" w:pos="12000"/>
            </w:tabs>
            <w:spacing w:before="60" w:line="360" w:lineRule="auto"/>
            <w:jc w:val="both"/>
            <w:rPr>
              <w:rFonts w:ascii="Times New Roman" w:eastAsia="Times New Roman" w:hAnsi="Times New Roman" w:cs="Times New Roman"/>
              <w:b/>
              <w:bCs/>
              <w:color w:val="000000"/>
              <w:sz w:val="24"/>
              <w:szCs w:val="24"/>
            </w:rPr>
          </w:pPr>
          <w:hyperlink w:anchor="_heading=h.byrae9mi7na0">
            <w:r>
              <w:rPr>
                <w:rFonts w:ascii="Times New Roman" w:eastAsia="Times New Roman" w:hAnsi="Times New Roman" w:cs="Times New Roman"/>
                <w:color w:val="000000"/>
                <w:sz w:val="24"/>
                <w:szCs w:val="24"/>
              </w:rPr>
              <w:t>3. Comprehensive Strategic Analysis</w:t>
            </w:r>
            <w:r>
              <w:rPr>
                <w:rFonts w:ascii="Times New Roman" w:eastAsia="Times New Roman" w:hAnsi="Times New Roman" w:cs="Times New Roman"/>
                <w:color w:val="000000"/>
                <w:sz w:val="24"/>
                <w:szCs w:val="24"/>
              </w:rPr>
              <w:tab/>
              <w:t>7</w:t>
            </w:r>
          </w:hyperlink>
        </w:p>
        <w:p w:rsidR="00D915F8" w:rsidRDefault="005A42D6">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heading=h.o5klmuhq5bt5">
            <w:r>
              <w:rPr>
                <w:rFonts w:ascii="Times New Roman" w:eastAsia="Times New Roman" w:hAnsi="Times New Roman" w:cs="Times New Roman"/>
                <w:color w:val="000000"/>
                <w:sz w:val="24"/>
                <w:szCs w:val="24"/>
              </w:rPr>
              <w:t>3.1 PESTEL Analysis</w:t>
            </w:r>
            <w:r>
              <w:rPr>
                <w:rFonts w:ascii="Times New Roman" w:eastAsia="Times New Roman" w:hAnsi="Times New Roman" w:cs="Times New Roman"/>
                <w:color w:val="000000"/>
                <w:sz w:val="24"/>
                <w:szCs w:val="24"/>
              </w:rPr>
              <w:tab/>
              <w:t>7</w:t>
            </w:r>
          </w:hyperlink>
        </w:p>
        <w:p w:rsidR="00D915F8" w:rsidRDefault="005A42D6">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heading=h.u3oc8io0g8s9">
            <w:r>
              <w:rPr>
                <w:rFonts w:ascii="Times New Roman" w:eastAsia="Times New Roman" w:hAnsi="Times New Roman" w:cs="Times New Roman"/>
                <w:color w:val="000000"/>
                <w:sz w:val="24"/>
                <w:szCs w:val="24"/>
              </w:rPr>
              <w:t>3.2 Porter’s Five Forces Analysis</w:t>
            </w:r>
            <w:r>
              <w:rPr>
                <w:rFonts w:ascii="Times New Roman" w:eastAsia="Times New Roman" w:hAnsi="Times New Roman" w:cs="Times New Roman"/>
                <w:color w:val="000000"/>
                <w:sz w:val="24"/>
                <w:szCs w:val="24"/>
              </w:rPr>
              <w:tab/>
              <w:t>11</w:t>
            </w:r>
          </w:hyperlink>
        </w:p>
        <w:p w:rsidR="00D915F8" w:rsidRDefault="005A42D6">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heading=h.mzhatxbkmwji">
            <w:r>
              <w:rPr>
                <w:rFonts w:ascii="Times New Roman" w:eastAsia="Times New Roman" w:hAnsi="Times New Roman" w:cs="Times New Roman"/>
                <w:color w:val="000000"/>
                <w:sz w:val="24"/>
                <w:szCs w:val="24"/>
              </w:rPr>
              <w:t>3.3 Porter’s Diamond Model</w:t>
            </w:r>
            <w:r>
              <w:rPr>
                <w:rFonts w:ascii="Times New Roman" w:eastAsia="Times New Roman" w:hAnsi="Times New Roman" w:cs="Times New Roman"/>
                <w:color w:val="000000"/>
                <w:sz w:val="24"/>
                <w:szCs w:val="24"/>
              </w:rPr>
              <w:tab/>
              <w:t>13</w:t>
            </w:r>
          </w:hyperlink>
        </w:p>
        <w:p w:rsidR="00D915F8" w:rsidRDefault="005A42D6">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heading=h.guylyj9uk5xi">
            <w:r>
              <w:rPr>
                <w:rFonts w:ascii="Times New Roman" w:eastAsia="Times New Roman" w:hAnsi="Times New Roman" w:cs="Times New Roman"/>
                <w:color w:val="000000"/>
                <w:sz w:val="24"/>
                <w:szCs w:val="24"/>
              </w:rPr>
              <w:t>3.4 VRIO Analysis</w:t>
            </w:r>
            <w:r>
              <w:rPr>
                <w:rFonts w:ascii="Times New Roman" w:eastAsia="Times New Roman" w:hAnsi="Times New Roman" w:cs="Times New Roman"/>
                <w:color w:val="000000"/>
                <w:sz w:val="24"/>
                <w:szCs w:val="24"/>
              </w:rPr>
              <w:tab/>
              <w:t>14</w:t>
            </w:r>
          </w:hyperlink>
        </w:p>
        <w:p w:rsidR="00D915F8" w:rsidRDefault="005A42D6">
          <w:pPr>
            <w:widowControl w:val="0"/>
            <w:tabs>
              <w:tab w:val="right" w:pos="12000"/>
            </w:tabs>
            <w:spacing w:before="60" w:line="360" w:lineRule="auto"/>
            <w:jc w:val="both"/>
            <w:rPr>
              <w:rFonts w:ascii="Times New Roman" w:eastAsia="Times New Roman" w:hAnsi="Times New Roman" w:cs="Times New Roman"/>
              <w:b/>
              <w:bCs/>
              <w:color w:val="000000"/>
              <w:sz w:val="24"/>
              <w:szCs w:val="24"/>
            </w:rPr>
          </w:pPr>
          <w:hyperlink w:anchor="_heading=h.17j6rls4rdmf">
            <w:r>
              <w:rPr>
                <w:rFonts w:ascii="Times New Roman" w:eastAsia="Times New Roman" w:hAnsi="Times New Roman" w:cs="Times New Roman"/>
                <w:color w:val="000000"/>
                <w:sz w:val="24"/>
                <w:szCs w:val="24"/>
              </w:rPr>
              <w:t>4. Strategic Development and Formulation</w:t>
            </w:r>
            <w:r>
              <w:rPr>
                <w:rFonts w:ascii="Times New Roman" w:eastAsia="Times New Roman" w:hAnsi="Times New Roman" w:cs="Times New Roman"/>
                <w:color w:val="000000"/>
                <w:sz w:val="24"/>
                <w:szCs w:val="24"/>
              </w:rPr>
              <w:tab/>
              <w:t>15</w:t>
            </w:r>
          </w:hyperlink>
        </w:p>
        <w:p w:rsidR="00D915F8" w:rsidRDefault="005A42D6">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heading=h.4alz9wfiimcu">
            <w:r>
              <w:rPr>
                <w:rFonts w:ascii="Times New Roman" w:eastAsia="Times New Roman" w:hAnsi="Times New Roman" w:cs="Times New Roman"/>
                <w:color w:val="000000"/>
                <w:sz w:val="24"/>
                <w:szCs w:val="24"/>
              </w:rPr>
              <w:t>4.1. Strategic Direction: Market development</w:t>
            </w:r>
            <w:r>
              <w:rPr>
                <w:rFonts w:ascii="Times New Roman" w:eastAsia="Times New Roman" w:hAnsi="Times New Roman" w:cs="Times New Roman"/>
                <w:color w:val="000000"/>
                <w:sz w:val="24"/>
                <w:szCs w:val="24"/>
              </w:rPr>
              <w:tab/>
              <w:t>15</w:t>
            </w:r>
          </w:hyperlink>
        </w:p>
        <w:p w:rsidR="00D915F8" w:rsidRDefault="005A42D6">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heading=h.nsjiq33obzkx">
            <w:r>
              <w:rPr>
                <w:rFonts w:ascii="Times New Roman" w:eastAsia="Times New Roman" w:hAnsi="Times New Roman" w:cs="Times New Roman"/>
                <w:color w:val="000000"/>
                <w:sz w:val="24"/>
                <w:szCs w:val="24"/>
              </w:rPr>
              <w:t>4.2. Entry Strategy</w:t>
            </w:r>
            <w:r>
              <w:rPr>
                <w:rFonts w:ascii="Times New Roman" w:eastAsia="Times New Roman" w:hAnsi="Times New Roman" w:cs="Times New Roman"/>
                <w:color w:val="000000"/>
                <w:sz w:val="24"/>
                <w:szCs w:val="24"/>
              </w:rPr>
              <w:tab/>
              <w:t>17</w:t>
            </w:r>
          </w:hyperlink>
        </w:p>
        <w:p w:rsidR="00D915F8" w:rsidRDefault="005A42D6">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heading=h.cfuya3w87z4y">
            <w:r>
              <w:rPr>
                <w:rFonts w:ascii="Times New Roman" w:eastAsia="Times New Roman" w:hAnsi="Times New Roman" w:cs="Times New Roman"/>
                <w:color w:val="000000"/>
                <w:sz w:val="24"/>
                <w:szCs w:val="24"/>
              </w:rPr>
              <w:t>4.3. Sustainable Competitive Advantage</w:t>
            </w:r>
            <w:r>
              <w:rPr>
                <w:rFonts w:ascii="Times New Roman" w:eastAsia="Times New Roman" w:hAnsi="Times New Roman" w:cs="Times New Roman"/>
                <w:color w:val="000000"/>
                <w:sz w:val="24"/>
                <w:szCs w:val="24"/>
              </w:rPr>
              <w:tab/>
              <w:t>18</w:t>
            </w:r>
          </w:hyperlink>
        </w:p>
        <w:p w:rsidR="00D915F8" w:rsidRDefault="005A42D6">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heading=h.ysk21t5thfhz">
            <w:r>
              <w:rPr>
                <w:rFonts w:ascii="Times New Roman" w:eastAsia="Times New Roman" w:hAnsi="Times New Roman" w:cs="Times New Roman"/>
                <w:color w:val="000000"/>
                <w:sz w:val="24"/>
                <w:szCs w:val="24"/>
              </w:rPr>
              <w:t xml:space="preserve">4.4. </w:t>
            </w:r>
            <w:r>
              <w:rPr>
                <w:rFonts w:ascii="Times New Roman" w:eastAsia="Times New Roman" w:hAnsi="Times New Roman" w:cs="Times New Roman"/>
                <w:color w:val="000000"/>
                <w:sz w:val="24"/>
                <w:szCs w:val="24"/>
              </w:rPr>
              <w:t>CSR and Ethical Strategy</w:t>
            </w:r>
            <w:r>
              <w:rPr>
                <w:rFonts w:ascii="Times New Roman" w:eastAsia="Times New Roman" w:hAnsi="Times New Roman" w:cs="Times New Roman"/>
                <w:color w:val="000000"/>
                <w:sz w:val="24"/>
                <w:szCs w:val="24"/>
              </w:rPr>
              <w:tab/>
              <w:t>19</w:t>
            </w:r>
          </w:hyperlink>
        </w:p>
        <w:p w:rsidR="00D915F8" w:rsidRDefault="005A42D6">
          <w:pPr>
            <w:widowControl w:val="0"/>
            <w:tabs>
              <w:tab w:val="right" w:pos="12000"/>
            </w:tabs>
            <w:spacing w:before="60" w:line="360" w:lineRule="auto"/>
            <w:jc w:val="both"/>
            <w:rPr>
              <w:rFonts w:ascii="Times New Roman" w:eastAsia="Times New Roman" w:hAnsi="Times New Roman" w:cs="Times New Roman"/>
              <w:b/>
              <w:bCs/>
              <w:color w:val="000000"/>
              <w:sz w:val="24"/>
              <w:szCs w:val="24"/>
            </w:rPr>
          </w:pPr>
          <w:hyperlink w:anchor="_heading=h.xgwfgu1vad12">
            <w:r>
              <w:rPr>
                <w:rFonts w:ascii="Times New Roman" w:eastAsia="Times New Roman" w:hAnsi="Times New Roman" w:cs="Times New Roman"/>
                <w:color w:val="000000"/>
                <w:sz w:val="24"/>
                <w:szCs w:val="24"/>
              </w:rPr>
              <w:t>5. Performance Evaluation Framework</w:t>
            </w:r>
            <w:r>
              <w:rPr>
                <w:rFonts w:ascii="Times New Roman" w:eastAsia="Times New Roman" w:hAnsi="Times New Roman" w:cs="Times New Roman"/>
                <w:color w:val="000000"/>
                <w:sz w:val="24"/>
                <w:szCs w:val="24"/>
              </w:rPr>
              <w:tab/>
              <w:t>20</w:t>
            </w:r>
          </w:hyperlink>
        </w:p>
        <w:p w:rsidR="00D915F8" w:rsidRDefault="005A42D6">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heading=h.hzjy9g0p72x">
            <w:r>
              <w:rPr>
                <w:rFonts w:ascii="Times New Roman" w:eastAsia="Times New Roman" w:hAnsi="Times New Roman" w:cs="Times New Roman"/>
                <w:color w:val="000000"/>
                <w:sz w:val="24"/>
                <w:szCs w:val="24"/>
              </w:rPr>
              <w:t>5.1.  Balanced Scorecard</w:t>
            </w:r>
            <w:r>
              <w:rPr>
                <w:rFonts w:ascii="Times New Roman" w:eastAsia="Times New Roman" w:hAnsi="Times New Roman" w:cs="Times New Roman"/>
                <w:color w:val="000000"/>
                <w:sz w:val="24"/>
                <w:szCs w:val="24"/>
              </w:rPr>
              <w:tab/>
              <w:t>20</w:t>
            </w:r>
          </w:hyperlink>
        </w:p>
        <w:p w:rsidR="00D915F8" w:rsidRDefault="005A42D6">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heading=h.g08oummnf6jc">
            <w:r>
              <w:rPr>
                <w:rFonts w:ascii="Times New Roman" w:eastAsia="Times New Roman" w:hAnsi="Times New Roman" w:cs="Times New Roman"/>
                <w:color w:val="000000"/>
                <w:sz w:val="24"/>
                <w:szCs w:val="24"/>
              </w:rPr>
              <w:t>5.2. Triple Bottom Line (TBL)</w:t>
            </w:r>
            <w:r>
              <w:rPr>
                <w:rFonts w:ascii="Times New Roman" w:eastAsia="Times New Roman" w:hAnsi="Times New Roman" w:cs="Times New Roman"/>
                <w:color w:val="000000"/>
                <w:sz w:val="24"/>
                <w:szCs w:val="24"/>
              </w:rPr>
              <w:tab/>
              <w:t>23</w:t>
            </w:r>
          </w:hyperlink>
        </w:p>
        <w:p w:rsidR="00D915F8" w:rsidRDefault="005A42D6">
          <w:pPr>
            <w:widowControl w:val="0"/>
            <w:tabs>
              <w:tab w:val="right" w:pos="12000"/>
            </w:tabs>
            <w:spacing w:before="60" w:line="360" w:lineRule="auto"/>
            <w:jc w:val="both"/>
            <w:rPr>
              <w:rFonts w:ascii="Times New Roman" w:eastAsia="Times New Roman" w:hAnsi="Times New Roman" w:cs="Times New Roman"/>
              <w:b/>
              <w:bCs/>
              <w:color w:val="000000"/>
              <w:sz w:val="24"/>
              <w:szCs w:val="24"/>
            </w:rPr>
          </w:pPr>
          <w:hyperlink w:anchor="_heading=h.npefphsara48">
            <w:r>
              <w:rPr>
                <w:rFonts w:ascii="Times New Roman" w:eastAsia="Times New Roman" w:hAnsi="Times New Roman" w:cs="Times New Roman"/>
                <w:color w:val="000000"/>
                <w:sz w:val="24"/>
                <w:szCs w:val="24"/>
              </w:rPr>
              <w:t>6. Conclusion</w:t>
            </w:r>
            <w:r>
              <w:rPr>
                <w:rFonts w:ascii="Times New Roman" w:eastAsia="Times New Roman" w:hAnsi="Times New Roman" w:cs="Times New Roman"/>
                <w:color w:val="000000"/>
                <w:sz w:val="24"/>
                <w:szCs w:val="24"/>
              </w:rPr>
              <w:tab/>
              <w:t>25</w:t>
            </w:r>
          </w:hyperlink>
        </w:p>
        <w:p w:rsidR="00D915F8" w:rsidRDefault="005A42D6">
          <w:pPr>
            <w:widowControl w:val="0"/>
            <w:tabs>
              <w:tab w:val="right" w:pos="12000"/>
            </w:tabs>
            <w:spacing w:before="60" w:line="360" w:lineRule="auto"/>
            <w:jc w:val="both"/>
            <w:rPr>
              <w:rFonts w:ascii="Times New Roman" w:eastAsia="Times New Roman" w:hAnsi="Times New Roman" w:cs="Times New Roman"/>
              <w:b/>
              <w:bCs/>
              <w:color w:val="000000"/>
              <w:sz w:val="24"/>
              <w:szCs w:val="24"/>
            </w:rPr>
          </w:pPr>
          <w:hyperlink w:anchor="_heading=h.5nmgqd908q46">
            <w:r>
              <w:rPr>
                <w:rFonts w:ascii="Times New Roman" w:eastAsia="Times New Roman" w:hAnsi="Times New Roman" w:cs="Times New Roman"/>
                <w:color w:val="000000"/>
                <w:sz w:val="24"/>
                <w:szCs w:val="24"/>
              </w:rPr>
              <w:t>Reference</w:t>
            </w:r>
            <w:r>
              <w:rPr>
                <w:rFonts w:ascii="Times New Roman" w:eastAsia="Times New Roman" w:hAnsi="Times New Roman" w:cs="Times New Roman"/>
                <w:color w:val="000000"/>
                <w:sz w:val="24"/>
                <w:szCs w:val="24"/>
              </w:rPr>
              <w:tab/>
              <w:t>27</w:t>
            </w:r>
          </w:hyperlink>
          <w:r>
            <w:fldChar w:fldCharType="end"/>
          </w:r>
        </w:p>
      </w:sdtContent>
    </w:sdt>
    <w:p w:rsidR="00D915F8" w:rsidRDefault="005A42D6">
      <w:pPr>
        <w:spacing w:line="360" w:lineRule="auto"/>
        <w:jc w:val="both"/>
        <w:rPr>
          <w:rFonts w:ascii="Times New Roman" w:eastAsia="Times New Roman" w:hAnsi="Times New Roman" w:cs="Times New Roman"/>
          <w:sz w:val="24"/>
          <w:szCs w:val="24"/>
        </w:rPr>
      </w:pPr>
      <w:r>
        <w:br w:type="page"/>
      </w:r>
    </w:p>
    <w:p w:rsidR="00D915F8" w:rsidRDefault="005A42D6">
      <w:pPr>
        <w:pStyle w:val="Heading1"/>
      </w:pPr>
      <w:bookmarkStart w:id="0" w:name="_heading=h.vxrw7rljscv5" w:colFirst="0" w:colLast="0"/>
      <w:bookmarkEnd w:id="0"/>
      <w:r>
        <w:lastRenderedPageBreak/>
        <w:t>1. Introduction</w:t>
      </w:r>
      <w:bookmarkStart w:id="1" w:name="_GoBack"/>
      <w:bookmarkEnd w:id="1"/>
    </w:p>
    <w:p w:rsidR="00D915F8" w:rsidRDefault="005A42D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worldwide business environment is marked by rapid changes that are mainly </w:t>
      </w:r>
      <w:r>
        <w:rPr>
          <w:rFonts w:ascii="Times New Roman" w:eastAsia="Times New Roman" w:hAnsi="Times New Roman" w:cs="Times New Roman"/>
          <w:sz w:val="24"/>
          <w:szCs w:val="24"/>
        </w:rPr>
        <w:t xml:space="preserve">influenced by technological innovation, changing consumer expectations, sustainability becoming more of a pressing issue, and the competition getting fiercer. For companies in the global outdoor apparel and equipment sector, strategic agility is essential </w:t>
      </w:r>
      <w:r>
        <w:rPr>
          <w:rFonts w:ascii="Times New Roman" w:eastAsia="Times New Roman" w:hAnsi="Times New Roman" w:cs="Times New Roman"/>
          <w:sz w:val="24"/>
          <w:szCs w:val="24"/>
        </w:rPr>
        <w:t xml:space="preserve">not only to maintain a competitive position but also to being able to seize new international growth opportunities. This report, first of all, through a critical lens, assesses and then develops a detailed roll-out plan for The North Face (TNF) - a global </w:t>
      </w:r>
      <w:r>
        <w:rPr>
          <w:rFonts w:ascii="Times New Roman" w:eastAsia="Times New Roman" w:hAnsi="Times New Roman" w:cs="Times New Roman"/>
          <w:sz w:val="24"/>
          <w:szCs w:val="24"/>
        </w:rPr>
        <w:t>leader in outdoor performance branding to New Zealand, a market that is very much in tune with outdoor recreation, environmental conservation, and the consumption of luxury adventure wear. This report aims to utilise advanced strategic management framework</w:t>
      </w:r>
      <w:r>
        <w:rPr>
          <w:rFonts w:ascii="Times New Roman" w:eastAsia="Times New Roman" w:hAnsi="Times New Roman" w:cs="Times New Roman"/>
          <w:sz w:val="24"/>
          <w:szCs w:val="24"/>
        </w:rPr>
        <w:t xml:space="preserve">s to determine market attractiveness, understand the competitive landscape, and develop a strong strategy for global expansion. </w:t>
      </w:r>
    </w:p>
    <w:p w:rsidR="00D915F8" w:rsidRDefault="005A42D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Using PESTLE analysis, Porter's Five Forces, Porter's Diamond Model, VRIO analysis, Ansoff Matrix, and generic competitive stra</w:t>
      </w:r>
      <w:r>
        <w:rPr>
          <w:rFonts w:ascii="Times New Roman" w:eastAsia="Times New Roman" w:hAnsi="Times New Roman" w:cs="Times New Roman"/>
          <w:sz w:val="24"/>
          <w:szCs w:val="24"/>
        </w:rPr>
        <w:t>tegies, the report combines theory with the actual ground situation to come up with a feasible and data-driven plan for market entry. The study is based on the secondary data, which are the industry reports, academic journals, annual reports, and news arti</w:t>
      </w:r>
      <w:r>
        <w:rPr>
          <w:rFonts w:ascii="Times New Roman" w:eastAsia="Times New Roman" w:hAnsi="Times New Roman" w:cs="Times New Roman"/>
          <w:sz w:val="24"/>
          <w:szCs w:val="24"/>
        </w:rPr>
        <w:t>cles from all over the world. Moreover, the document outlines a performance assessment system employing the Balanced Scorecard (BSC) technique, delineating the major performance indicators (KPIs) that would facilitate The North Face in keeping track of the</w:t>
      </w:r>
      <w:r>
        <w:rPr>
          <w:rFonts w:ascii="Times New Roman" w:eastAsia="Times New Roman" w:hAnsi="Times New Roman" w:cs="Times New Roman"/>
          <w:sz w:val="24"/>
          <w:szCs w:val="24"/>
        </w:rPr>
        <w:t xml:space="preserve"> financial, customer, internal process, and learning-and-growth results after the market entry. The report, through the use of a structured and analytical method, serves as a vehicle for a clear and logical strategy, which TNF can use not only to efficient</w:t>
      </w:r>
      <w:r>
        <w:rPr>
          <w:rFonts w:ascii="Times New Roman" w:eastAsia="Times New Roman" w:hAnsi="Times New Roman" w:cs="Times New Roman"/>
          <w:sz w:val="24"/>
          <w:szCs w:val="24"/>
        </w:rPr>
        <w:t>ly make a breakthrough in the NZ outdoor retail market but also to secure a lasting competitive advantage.</w:t>
      </w:r>
    </w:p>
    <w:p w:rsidR="00D915F8" w:rsidRDefault="005A42D6">
      <w:pPr>
        <w:pStyle w:val="Heading1"/>
      </w:pPr>
      <w:bookmarkStart w:id="2" w:name="_heading=h.gfw2vblg0ez6" w:colFirst="0" w:colLast="0"/>
      <w:bookmarkEnd w:id="2"/>
      <w:r>
        <w:t xml:space="preserve">2. Selection of Organisation and Target Market </w:t>
      </w:r>
    </w:p>
    <w:p w:rsidR="00D915F8" w:rsidRDefault="005A42D6">
      <w:pPr>
        <w:pStyle w:val="Heading2"/>
      </w:pPr>
      <w:bookmarkStart w:id="3" w:name="_heading=h.ufgrf6hndy75" w:colFirst="0" w:colLast="0"/>
      <w:bookmarkEnd w:id="3"/>
      <w:r>
        <w:t xml:space="preserve">2.1 Overview of the Organisation </w:t>
      </w:r>
    </w:p>
    <w:p w:rsidR="00D915F8" w:rsidRDefault="005A42D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From a small mountain gear supplier founded in 1966, The North Face</w:t>
      </w:r>
      <w:r>
        <w:rPr>
          <w:rFonts w:ascii="Times New Roman" w:eastAsia="Times New Roman" w:hAnsi="Times New Roman" w:cs="Times New Roman"/>
          <w:sz w:val="24"/>
          <w:szCs w:val="24"/>
        </w:rPr>
        <w:t xml:space="preserve"> has gradually transformed into one of the most influential outdoor performance brands in the world (The North Face, 2024). The North Face is a sub-brand of VF Corporation. TNF's brand presence can be felt on several continents, such as America, Europe, an</w:t>
      </w:r>
      <w:r>
        <w:rPr>
          <w:rFonts w:ascii="Times New Roman" w:eastAsia="Times New Roman" w:hAnsi="Times New Roman" w:cs="Times New Roman"/>
          <w:sz w:val="24"/>
          <w:szCs w:val="24"/>
        </w:rPr>
        <w:t xml:space="preserve">d the Asia Pacific. It is a brand that stands out owing to its uncompromising commitment to product innovation, technical performance, and sustainability. By heavy investment in research and development, the company creates technologically advanced </w:t>
      </w:r>
      <w:r>
        <w:rPr>
          <w:rFonts w:ascii="Times New Roman" w:eastAsia="Times New Roman" w:hAnsi="Times New Roman" w:cs="Times New Roman"/>
          <w:sz w:val="24"/>
          <w:szCs w:val="24"/>
        </w:rPr>
        <w:lastRenderedPageBreak/>
        <w:t>product</w:t>
      </w:r>
      <w:r>
        <w:rPr>
          <w:rFonts w:ascii="Times New Roman" w:eastAsia="Times New Roman" w:hAnsi="Times New Roman" w:cs="Times New Roman"/>
          <w:sz w:val="24"/>
          <w:szCs w:val="24"/>
        </w:rPr>
        <w:t xml:space="preserve">s of the brand through proprietary innovations such as the use of ThermoBall insulation, FUTURELIGHT breathable waterproofing, and FlashDry moisture management (VFC, D. &amp; 2023). TNF's strategic vision is centred around the idea of enabling exploration and </w:t>
      </w:r>
      <w:r>
        <w:rPr>
          <w:rFonts w:ascii="Times New Roman" w:eastAsia="Times New Roman" w:hAnsi="Times New Roman" w:cs="Times New Roman"/>
          <w:sz w:val="24"/>
          <w:szCs w:val="24"/>
        </w:rPr>
        <w:t>outdoor experiences while being environmentally friendly. The company's sustainability initiatives, such as the "Clothes the Loop" recycling program, the implementation of responsible down standards and increased use of recycled materials, which strongly a</w:t>
      </w:r>
      <w:r>
        <w:rPr>
          <w:rFonts w:ascii="Times New Roman" w:eastAsia="Times New Roman" w:hAnsi="Times New Roman" w:cs="Times New Roman"/>
          <w:sz w:val="24"/>
          <w:szCs w:val="24"/>
        </w:rPr>
        <w:t>lign with modern consumer expectations and global ESG trends, are a good fit for the customers. The company is VF Corporation’s strongest performing brand in terms of revenue. At the quarter's end of March 2024, it generated $814.3 million, which is a slig</w:t>
      </w:r>
      <w:r>
        <w:rPr>
          <w:rFonts w:ascii="Times New Roman" w:eastAsia="Times New Roman" w:hAnsi="Times New Roman" w:cs="Times New Roman"/>
          <w:sz w:val="24"/>
          <w:szCs w:val="24"/>
        </w:rPr>
        <w:t xml:space="preserve">ht decline from 2023. Although its full-year revenue has reached the market of $3.673 billion, which is 1% annual increase and 2% growth (VF Corporation, 2024). </w:t>
      </w:r>
    </w:p>
    <w:p w:rsidR="00D915F8" w:rsidRDefault="005A42D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drawing>
          <wp:inline distT="114300" distB="114300" distL="114300" distR="114300">
            <wp:extent cx="5514975" cy="3876675"/>
            <wp:effectExtent l="0" t="0" r="0" b="0"/>
            <wp:docPr id="1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514975" cy="3876675"/>
                    </a:xfrm>
                    <a:prstGeom prst="rect">
                      <a:avLst/>
                    </a:prstGeom>
                    <a:ln/>
                  </pic:spPr>
                </pic:pic>
              </a:graphicData>
            </a:graphic>
          </wp:inline>
        </w:drawing>
      </w:r>
    </w:p>
    <w:p w:rsidR="00D915F8" w:rsidRDefault="005A42D6">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1: The North Face’s summary revenue information</w:t>
      </w:r>
    </w:p>
    <w:p w:rsidR="00D915F8" w:rsidRDefault="005A42D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(VF Corporation, 2024)</w:t>
      </w:r>
    </w:p>
    <w:p w:rsidR="00D915F8" w:rsidRDefault="005A42D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North Face (TNF) is a good candidate to go abroad due to a number of its core strengths. For one, the brand has a strong global equity, being a performance-durable, technically excellent product, and thus it has, by and large, existing loyalty that can</w:t>
      </w:r>
      <w:r>
        <w:rPr>
          <w:rFonts w:ascii="Times New Roman" w:eastAsia="Times New Roman" w:hAnsi="Times New Roman" w:cs="Times New Roman"/>
          <w:sz w:val="24"/>
          <w:szCs w:val="24"/>
        </w:rPr>
        <w:t xml:space="preserve"> be leveraged in the new regions. Secondly, its parent company, VF Corporation, is like a solid rock financially behind the brand. </w:t>
      </w:r>
      <w:r>
        <w:rPr>
          <w:rFonts w:ascii="Times New Roman" w:eastAsia="Times New Roman" w:hAnsi="Times New Roman" w:cs="Times New Roman"/>
          <w:sz w:val="24"/>
          <w:szCs w:val="24"/>
        </w:rPr>
        <w:lastRenderedPageBreak/>
        <w:t xml:space="preserve">The corporation's strong profitability and diversified brand portfolio are the main reasons for the strategic investments to </w:t>
      </w:r>
      <w:r>
        <w:rPr>
          <w:rFonts w:ascii="Times New Roman" w:eastAsia="Times New Roman" w:hAnsi="Times New Roman" w:cs="Times New Roman"/>
          <w:sz w:val="24"/>
          <w:szCs w:val="24"/>
        </w:rPr>
        <w:t xml:space="preserve">be made in the new international markets. Thirdly, TNF's business model is highly innovative and driven by one primary source, the product department of the company. Fourthly, the brand has a regional footprint to begin with. </w:t>
      </w:r>
    </w:p>
    <w:p w:rsidR="00D915F8" w:rsidRDefault="005A42D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expansion to New Zealand </w:t>
      </w:r>
      <w:r>
        <w:rPr>
          <w:rFonts w:ascii="Times New Roman" w:eastAsia="Times New Roman" w:hAnsi="Times New Roman" w:cs="Times New Roman"/>
          <w:sz w:val="24"/>
          <w:szCs w:val="24"/>
        </w:rPr>
        <w:t>from Australia, where the company have an established retail operation, and supply to New Zealand is a next step, both logistically and strategically quite natural. And lastly, the brand's identity is very much in line with the outdoor culture (Nautiyal et</w:t>
      </w:r>
      <w:r>
        <w:rPr>
          <w:rFonts w:ascii="Times New Roman" w:eastAsia="Times New Roman" w:hAnsi="Times New Roman" w:cs="Times New Roman"/>
          <w:sz w:val="24"/>
          <w:szCs w:val="24"/>
        </w:rPr>
        <w:t xml:space="preserve"> al., 2023). Essentially, the brand was built on four pillars, such as exploration, adventure, the outdoors, and challenge, and its ethos strongly resonates with the lifestyle of an outdoor-oriented economy like New Zealand. These factors combined position</w:t>
      </w:r>
      <w:r>
        <w:rPr>
          <w:rFonts w:ascii="Times New Roman" w:eastAsia="Times New Roman" w:hAnsi="Times New Roman" w:cs="Times New Roman"/>
          <w:sz w:val="24"/>
          <w:szCs w:val="24"/>
        </w:rPr>
        <w:t xml:space="preserve"> The North Face strategically and favourably to carry out a successful international market expansion.</w:t>
      </w:r>
    </w:p>
    <w:p w:rsidR="00D915F8" w:rsidRDefault="005A42D6">
      <w:pPr>
        <w:pStyle w:val="Heading2"/>
      </w:pPr>
      <w:bookmarkStart w:id="4" w:name="_heading=h.vi0buvwl43zh" w:colFirst="0" w:colLast="0"/>
      <w:bookmarkEnd w:id="4"/>
      <w:r>
        <w:t xml:space="preserve">2.2 Rationale for Selecting New Zealand as the Target Market </w:t>
      </w:r>
    </w:p>
    <w:p w:rsidR="00D915F8" w:rsidRDefault="005A42D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Being heavily dependent on the outdoor culture and having a very high adventure tourism vol</w:t>
      </w:r>
      <w:r>
        <w:rPr>
          <w:rFonts w:ascii="Times New Roman" w:eastAsia="Times New Roman" w:hAnsi="Times New Roman" w:cs="Times New Roman"/>
          <w:sz w:val="24"/>
          <w:szCs w:val="24"/>
        </w:rPr>
        <w:t xml:space="preserve">ume, New Zealand is an ideal market for an outdoor brand. The country's rugged terrain and national parks, for instance, Fiordland and Aoraki/Mount Cook, are the major factors behind the constant demand for outdoor gear, which is additionally propelled by </w:t>
      </w:r>
      <w:r>
        <w:rPr>
          <w:rFonts w:ascii="Times New Roman" w:eastAsia="Times New Roman" w:hAnsi="Times New Roman" w:cs="Times New Roman"/>
          <w:sz w:val="24"/>
          <w:szCs w:val="24"/>
        </w:rPr>
        <w:t>the provision of a stable economic and political environment that is business-friendly, has a mature retail sector and advanced logistics infrastructure. On top of that, New Zealand consumers are green-minded, which is in line with the brands that are comm</w:t>
      </w:r>
      <w:r>
        <w:rPr>
          <w:rFonts w:ascii="Times New Roman" w:eastAsia="Times New Roman" w:hAnsi="Times New Roman" w:cs="Times New Roman"/>
          <w:sz w:val="24"/>
          <w:szCs w:val="24"/>
        </w:rPr>
        <w:t xml:space="preserve">itted to giving back to the environment and engaging in ethical and sustainable practices (Rombach and Dean, 2025). However, the market also has established local competitors. </w:t>
      </w:r>
    </w:p>
    <w:p w:rsidR="00D915F8" w:rsidRDefault="005A42D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New Zealand is a country that witnesses a staggering number of more than 3 million international tourists each year, and as a result of which the major attraction activities, most notably the adventurous ones, take the lead (stats.govt.nz, 2025). Adventure</w:t>
      </w:r>
      <w:r>
        <w:rPr>
          <w:rFonts w:ascii="Times New Roman" w:eastAsia="Times New Roman" w:hAnsi="Times New Roman" w:cs="Times New Roman"/>
          <w:sz w:val="24"/>
          <w:szCs w:val="24"/>
        </w:rPr>
        <w:t xml:space="preserve"> tourism is the main reason for the ever-increasing demand for outdoor apparel, especially that of high-end brands that are preferred by international travellers. TNF has an opportunity to create a breakthrough in this location-specific and tourism-driven </w:t>
      </w:r>
      <w:r>
        <w:rPr>
          <w:rFonts w:ascii="Times New Roman" w:eastAsia="Times New Roman" w:hAnsi="Times New Roman" w:cs="Times New Roman"/>
          <w:sz w:val="24"/>
          <w:szCs w:val="24"/>
        </w:rPr>
        <w:t>consumption trend. New Zealand is a secure place economically and politically to live and do business, and it is ranked as one of the world's best countries for start-ups and business operations. Foreign investors can expect a stable business environment d</w:t>
      </w:r>
      <w:r>
        <w:rPr>
          <w:rFonts w:ascii="Times New Roman" w:eastAsia="Times New Roman" w:hAnsi="Times New Roman" w:cs="Times New Roman"/>
          <w:sz w:val="24"/>
          <w:szCs w:val="24"/>
        </w:rPr>
        <w:t xml:space="preserve">ue to factors like a high GDP per capita, low corruption levels, and transparent regulatory frameworks (Kurniasih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2023). </w:t>
      </w:r>
    </w:p>
    <w:p w:rsidR="00D915F8" w:rsidRDefault="005A42D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retail sector is full of life, technologically up-to-date, and has a support system in place through which imports and log</w:t>
      </w:r>
      <w:r>
        <w:rPr>
          <w:rFonts w:ascii="Times New Roman" w:eastAsia="Times New Roman" w:hAnsi="Times New Roman" w:cs="Times New Roman"/>
          <w:sz w:val="24"/>
          <w:szCs w:val="24"/>
        </w:rPr>
        <w:t xml:space="preserve">istics are carried out. The consumers of New Zealand are equally concerned about the environment and are often took to willing to pay for ethically sourced products that have low-impact production and are made of recycled materials. Furthermore, The North </w:t>
      </w:r>
      <w:r>
        <w:rPr>
          <w:rFonts w:ascii="Times New Roman" w:eastAsia="Times New Roman" w:hAnsi="Times New Roman" w:cs="Times New Roman"/>
          <w:sz w:val="24"/>
          <w:szCs w:val="24"/>
        </w:rPr>
        <w:t>Face's sustainability commitments, including circularity initiatives as well as carbon-reduction strategies for go hand in hand with above mentioned aspects (Yang, 2024). Although the outdoor appeal industry in New Zealand is becoming more competitive as t</w:t>
      </w:r>
      <w:r>
        <w:rPr>
          <w:rFonts w:ascii="Times New Roman" w:eastAsia="Times New Roman" w:hAnsi="Times New Roman" w:cs="Times New Roman"/>
          <w:sz w:val="24"/>
          <w:szCs w:val="24"/>
        </w:rPr>
        <w:t>he country attracts huge tourists, outdoor activities and others. In this segment, Kathmandu, Icebreaker and Macpac are the major players (Shaw, 2025). The market is still relatively less penetrated by global premium brands from countries other than Oceani</w:t>
      </w:r>
      <w:r>
        <w:rPr>
          <w:rFonts w:ascii="Times New Roman" w:eastAsia="Times New Roman" w:hAnsi="Times New Roman" w:cs="Times New Roman"/>
          <w:sz w:val="24"/>
          <w:szCs w:val="24"/>
        </w:rPr>
        <w:t xml:space="preserve">a. </w:t>
      </w:r>
    </w:p>
    <w:p w:rsidR="00D915F8" w:rsidRDefault="005A42D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Consumer preferences for quality and performance provide TNF with the opportunity to capture different segments of the market that have been differentiated. New Zealand lies in close proximately to Australia, which is a good idea as it will give the co</w:t>
      </w:r>
      <w:r>
        <w:rPr>
          <w:rFonts w:ascii="Times New Roman" w:eastAsia="Times New Roman" w:hAnsi="Times New Roman" w:cs="Times New Roman"/>
          <w:sz w:val="24"/>
          <w:szCs w:val="24"/>
        </w:rPr>
        <w:t>mpany the benefits of regional synergy in areas such as logistics, marketing as well and supply chain.</w:t>
      </w:r>
    </w:p>
    <w:p w:rsidR="00D915F8" w:rsidRDefault="005A42D6">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2.3 Strategic Fit Between The North Face and New Zealand</w:t>
      </w:r>
    </w:p>
    <w:p w:rsidR="00D915F8" w:rsidRDefault="005A42D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outdoor apparel brand The North Face (TNF) is well-positioned to strategically fit in with t</w:t>
      </w:r>
      <w:r>
        <w:rPr>
          <w:rFonts w:ascii="Times New Roman" w:eastAsia="Times New Roman" w:hAnsi="Times New Roman" w:cs="Times New Roman"/>
          <w:sz w:val="24"/>
          <w:szCs w:val="24"/>
        </w:rPr>
        <w:t xml:space="preserve">he New Zealand market, given that it has a large base of enthusiastic outdoor-loving customers and a natural environment that matches the brand's core identity. This is supported by the recent move to a direct sales model to deepen customer engagement and </w:t>
      </w:r>
      <w:r>
        <w:rPr>
          <w:rFonts w:ascii="Times New Roman" w:eastAsia="Times New Roman" w:hAnsi="Times New Roman" w:cs="Times New Roman"/>
          <w:sz w:val="24"/>
          <w:szCs w:val="24"/>
        </w:rPr>
        <w:t xml:space="preserve">a focus on sustainable products that are locally relevant (Gong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2023). The company is also energising customers by participating in the community through events and experiences in the stores that are in line with the values of New Zealanders. Moreo</w:t>
      </w:r>
      <w:r>
        <w:rPr>
          <w:rFonts w:ascii="Times New Roman" w:eastAsia="Times New Roman" w:hAnsi="Times New Roman" w:cs="Times New Roman"/>
          <w:sz w:val="24"/>
          <w:szCs w:val="24"/>
        </w:rPr>
        <w:t>ver, New Zealand's emphasis on sustainability is a good match in terms of strategy with TNF's environmental goals. The brand's efforts for circularity, its commitments to climate, and its lines made from recycled materials are attractive to New Zealand's e</w:t>
      </w:r>
      <w:r>
        <w:rPr>
          <w:rFonts w:ascii="Times New Roman" w:eastAsia="Times New Roman" w:hAnsi="Times New Roman" w:cs="Times New Roman"/>
          <w:sz w:val="24"/>
          <w:szCs w:val="24"/>
        </w:rPr>
        <w:t xml:space="preserve">co-friendly consumers, resulting in acceptance of the brand in the market. </w:t>
      </w:r>
    </w:p>
    <w:p w:rsidR="00D915F8" w:rsidRDefault="005A42D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Therefore, from a strategic point of view, New Zealand is a natural next step in The North Face's (TNF) Asia-Pacific growth plan, thus the company would be able to make use of the </w:t>
      </w:r>
      <w:r>
        <w:rPr>
          <w:rFonts w:ascii="Times New Roman" w:eastAsia="Times New Roman" w:hAnsi="Times New Roman" w:cs="Times New Roman"/>
          <w:sz w:val="24"/>
          <w:szCs w:val="24"/>
        </w:rPr>
        <w:t>existing regional infrastructure. It also allows the brand to go deeper in the Oceania market and get more brand equity in the region, which is a good complement to their Australian operations.</w:t>
      </w:r>
    </w:p>
    <w:p w:rsidR="00D915F8" w:rsidRDefault="005A42D6">
      <w:pPr>
        <w:pStyle w:val="Heading1"/>
      </w:pPr>
      <w:bookmarkStart w:id="5" w:name="_heading=h.byrae9mi7na0" w:colFirst="0" w:colLast="0"/>
      <w:bookmarkEnd w:id="5"/>
      <w:r>
        <w:lastRenderedPageBreak/>
        <w:t xml:space="preserve">3. Comprehensive Strategic Analysis </w:t>
      </w:r>
    </w:p>
    <w:p w:rsidR="00D915F8" w:rsidRDefault="005A42D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 in-depth strategic ana</w:t>
      </w:r>
      <w:r>
        <w:rPr>
          <w:rFonts w:ascii="Times New Roman" w:eastAsia="Times New Roman" w:hAnsi="Times New Roman" w:cs="Times New Roman"/>
          <w:sz w:val="24"/>
          <w:szCs w:val="24"/>
        </w:rPr>
        <w:t xml:space="preserve">lysis is necessary to evaluate how appealing the New Zealand market is and to figure out what competitive position The North Face can use for its expansion. This part uses various tools of analysis like PESTEL, Porter's Five Forces, Porter's Diamond Model </w:t>
      </w:r>
      <w:r>
        <w:rPr>
          <w:rFonts w:ascii="Times New Roman" w:eastAsia="Times New Roman" w:hAnsi="Times New Roman" w:cs="Times New Roman"/>
          <w:sz w:val="24"/>
          <w:szCs w:val="24"/>
        </w:rPr>
        <w:t>and VRIO to reveal both the local environment for the market and the internal capabilities. The study combines the models with the real-world situation to give a comprehensive picture of TNF's strategic environment</w:t>
      </w:r>
    </w:p>
    <w:p w:rsidR="00D915F8" w:rsidRDefault="005A42D6">
      <w:pPr>
        <w:pStyle w:val="Heading2"/>
      </w:pPr>
      <w:bookmarkStart w:id="6" w:name="_heading=h.o5klmuhq5bt5" w:colFirst="0" w:colLast="0"/>
      <w:bookmarkEnd w:id="6"/>
      <w:r>
        <w:t xml:space="preserve">3.1 PESTEL Analysis </w:t>
      </w:r>
    </w:p>
    <w:p w:rsidR="00D915F8" w:rsidRDefault="005A42D6">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Political</w:t>
      </w:r>
    </w:p>
    <w:p w:rsidR="00D915F8" w:rsidRDefault="005A42D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New Zealan</w:t>
      </w:r>
      <w:r>
        <w:rPr>
          <w:rFonts w:ascii="Times New Roman" w:eastAsia="Times New Roman" w:hAnsi="Times New Roman" w:cs="Times New Roman"/>
          <w:sz w:val="24"/>
          <w:szCs w:val="24"/>
        </w:rPr>
        <w:t>d operates as a parliamentary democracy. New Zealand is known worldwide for its politically stable, transparent and well-governed environment (Li</w:t>
      </w:r>
      <w:r>
        <w:rPr>
          <w:rFonts w:ascii="Times New Roman" w:eastAsia="Times New Roman" w:hAnsi="Times New Roman" w:cs="Times New Roman"/>
          <w:i/>
          <w:iCs/>
          <w:sz w:val="24"/>
          <w:szCs w:val="24"/>
        </w:rPr>
        <w:t xml:space="preserve"> et al., </w:t>
      </w:r>
      <w:r>
        <w:rPr>
          <w:rFonts w:ascii="Times New Roman" w:eastAsia="Times New Roman" w:hAnsi="Times New Roman" w:cs="Times New Roman"/>
          <w:sz w:val="24"/>
          <w:szCs w:val="24"/>
        </w:rPr>
        <w:t>2023). The country is consistently ranked as one of the least corrupt, and this adds to investor confi</w:t>
      </w:r>
      <w:r>
        <w:rPr>
          <w:rFonts w:ascii="Times New Roman" w:eastAsia="Times New Roman" w:hAnsi="Times New Roman" w:cs="Times New Roman"/>
          <w:sz w:val="24"/>
          <w:szCs w:val="24"/>
        </w:rPr>
        <w:t>dence. The government regulation, which supports global trade, ethical labour practices and business as usual in a sustainable way, is very close to The North Face's corporate values. Moreover, New Zealand is keeping good trade relations with the major eco</w:t>
      </w:r>
      <w:r>
        <w:rPr>
          <w:rFonts w:ascii="Times New Roman" w:eastAsia="Times New Roman" w:hAnsi="Times New Roman" w:cs="Times New Roman"/>
          <w:sz w:val="24"/>
          <w:szCs w:val="24"/>
        </w:rPr>
        <w:t>nomies, and it has nice trading arrangements with the countries in the Asia-Pacific region (Hilpert, 2025). The policies that encourage environmental protection, tourism development and outdoor recreational activities are, therefore, providing further supp</w:t>
      </w:r>
      <w:r>
        <w:rPr>
          <w:rFonts w:ascii="Times New Roman" w:eastAsia="Times New Roman" w:hAnsi="Times New Roman" w:cs="Times New Roman"/>
          <w:sz w:val="24"/>
          <w:szCs w:val="24"/>
        </w:rPr>
        <w:t xml:space="preserve">ort for TNF's market entrance. However, these policies are also consistent with TNF's sustainability-driven market positioning, which is a source of strength or legitimacy to the New Zealand consumers. Overall, NZ’s political environment is </w:t>
      </w:r>
      <w:r>
        <w:rPr>
          <w:rFonts w:ascii="Times New Roman" w:eastAsia="Times New Roman" w:hAnsi="Times New Roman" w:cs="Times New Roman"/>
          <w:b/>
          <w:bCs/>
          <w:i/>
          <w:iCs/>
          <w:sz w:val="24"/>
          <w:szCs w:val="24"/>
        </w:rPr>
        <w:t>favourable</w:t>
      </w:r>
      <w:r>
        <w:rPr>
          <w:rFonts w:ascii="Times New Roman" w:eastAsia="Times New Roman" w:hAnsi="Times New Roman" w:cs="Times New Roman"/>
          <w:sz w:val="24"/>
          <w:szCs w:val="24"/>
        </w:rPr>
        <w:t xml:space="preserve"> for </w:t>
      </w:r>
      <w:r>
        <w:rPr>
          <w:rFonts w:ascii="Times New Roman" w:eastAsia="Times New Roman" w:hAnsi="Times New Roman" w:cs="Times New Roman"/>
          <w:sz w:val="24"/>
          <w:szCs w:val="24"/>
        </w:rPr>
        <w:t xml:space="preserve">TNF’s growth. </w:t>
      </w:r>
    </w:p>
    <w:p w:rsidR="00D915F8" w:rsidRDefault="005A42D6">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 xml:space="preserve">Economy </w:t>
      </w:r>
    </w:p>
    <w:p w:rsidR="00D915F8" w:rsidRDefault="005A42D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lastRenderedPageBreak/>
        <w:drawing>
          <wp:inline distT="114300" distB="114300" distL="114300" distR="114300">
            <wp:extent cx="5514975" cy="3552825"/>
            <wp:effectExtent l="0" t="0" r="0" b="0"/>
            <wp:docPr id="15"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9"/>
                    <a:srcRect/>
                    <a:stretch>
                      <a:fillRect/>
                    </a:stretch>
                  </pic:blipFill>
                  <pic:spPr>
                    <a:xfrm>
                      <a:off x="0" y="0"/>
                      <a:ext cx="5514975" cy="3552825"/>
                    </a:xfrm>
                    <a:prstGeom prst="rect">
                      <a:avLst/>
                    </a:prstGeom>
                    <a:ln/>
                  </pic:spPr>
                </pic:pic>
              </a:graphicData>
            </a:graphic>
          </wp:inline>
        </w:drawing>
      </w:r>
    </w:p>
    <w:p w:rsidR="00D915F8" w:rsidRDefault="005A42D6">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2: Gross domestic product (GDP) in current prices in New Zealand 1980-2030</w:t>
      </w:r>
    </w:p>
    <w:p w:rsidR="00D915F8" w:rsidRDefault="005A42D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(O’Neill, 2025)</w:t>
      </w:r>
    </w:p>
    <w:p w:rsidR="00D915F8" w:rsidRDefault="005A42D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GDP of NZ is estimated at 257.73 billion U.S. dollars in 2024. NZ has gone through steady growth since the late 2000s with a continuous upward trend (O’Neill, 2025). New Zealand is a developed country with a partially free economic structure. NZ’s GDP per </w:t>
      </w:r>
      <w:r>
        <w:rPr>
          <w:rFonts w:ascii="Times New Roman" w:eastAsia="Times New Roman" w:hAnsi="Times New Roman" w:cs="Times New Roman"/>
          <w:sz w:val="24"/>
          <w:szCs w:val="24"/>
        </w:rPr>
        <w:t xml:space="preserve">capita is still among the top in Asia-Pacific, and local demand for luxury brand apparel keeps growing. However, premium outdoor clothing is still seen as an investment because of its durability and long-term functional use (Brändström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2024). There</w:t>
      </w:r>
      <w:r>
        <w:rPr>
          <w:rFonts w:ascii="Times New Roman" w:eastAsia="Times New Roman" w:hAnsi="Times New Roman" w:cs="Times New Roman"/>
          <w:sz w:val="24"/>
          <w:szCs w:val="24"/>
        </w:rPr>
        <w:t xml:space="preserve">fore, TNF's product becomes less responsive to price changes. Anyway, a well-developed retail logistics infrastructure, minimal restrictions on foreign direct investment, and high digital readiness are </w:t>
      </w:r>
      <w:r>
        <w:rPr>
          <w:rFonts w:ascii="Times New Roman" w:eastAsia="Times New Roman" w:hAnsi="Times New Roman" w:cs="Times New Roman"/>
          <w:b/>
          <w:bCs/>
          <w:i/>
          <w:iCs/>
          <w:sz w:val="24"/>
          <w:szCs w:val="24"/>
        </w:rPr>
        <w:t>advantageous</w:t>
      </w:r>
      <w:r>
        <w:rPr>
          <w:rFonts w:ascii="Times New Roman" w:eastAsia="Times New Roman" w:hAnsi="Times New Roman" w:cs="Times New Roman"/>
          <w:sz w:val="24"/>
          <w:szCs w:val="24"/>
        </w:rPr>
        <w:t xml:space="preserve"> for the expansion of the physical and onl</w:t>
      </w:r>
      <w:r>
        <w:rPr>
          <w:rFonts w:ascii="Times New Roman" w:eastAsia="Times New Roman" w:hAnsi="Times New Roman" w:cs="Times New Roman"/>
          <w:sz w:val="24"/>
          <w:szCs w:val="24"/>
        </w:rPr>
        <w:t>ine retail channels.</w:t>
      </w:r>
    </w:p>
    <w:p w:rsidR="00D915F8" w:rsidRDefault="005A42D6">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 xml:space="preserve">Social </w:t>
      </w:r>
    </w:p>
    <w:p w:rsidR="00D915F8" w:rsidRDefault="005A42D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lastRenderedPageBreak/>
        <w:drawing>
          <wp:inline distT="114300" distB="114300" distL="114300" distR="114300">
            <wp:extent cx="5943600" cy="8915400"/>
            <wp:effectExtent l="0" t="0" r="0" b="0"/>
            <wp:docPr id="14"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0"/>
                    <a:srcRect/>
                    <a:stretch>
                      <a:fillRect/>
                    </a:stretch>
                  </pic:blipFill>
                  <pic:spPr>
                    <a:xfrm>
                      <a:off x="0" y="0"/>
                      <a:ext cx="5943600" cy="8915400"/>
                    </a:xfrm>
                    <a:prstGeom prst="rect">
                      <a:avLst/>
                    </a:prstGeom>
                    <a:ln/>
                  </pic:spPr>
                </pic:pic>
              </a:graphicData>
            </a:graphic>
          </wp:inline>
        </w:drawing>
      </w:r>
    </w:p>
    <w:p w:rsidR="00D915F8" w:rsidRDefault="005A42D6">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Figure 3: Participation in active recreation among young people in New Zealand</w:t>
      </w:r>
    </w:p>
    <w:p w:rsidR="00D915F8" w:rsidRDefault="005A42D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w:t>
      </w:r>
      <w:r>
        <w:rPr>
          <w:rFonts w:ascii="Times New Roman" w:eastAsia="Times New Roman" w:hAnsi="Times New Roman" w:cs="Times New Roman"/>
          <w:sz w:val="24"/>
          <w:szCs w:val="24"/>
          <w:highlight w:val="white"/>
        </w:rPr>
        <w:t>Figure NZ, 2023)</w:t>
      </w:r>
    </w:p>
    <w:p w:rsidR="00D915F8" w:rsidRDefault="005A42D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New Zealand's society is a perfect match for an outdoor lifestyle brand. The country's character is very much linked to </w:t>
      </w:r>
      <w:r>
        <w:rPr>
          <w:rFonts w:ascii="Times New Roman" w:eastAsia="Times New Roman" w:hAnsi="Times New Roman" w:cs="Times New Roman"/>
          <w:sz w:val="24"/>
          <w:szCs w:val="24"/>
        </w:rPr>
        <w:t xml:space="preserve">the earth, adventure, and sports. Hiking, mountain climbing, cycling, skiing, and water sports are not just some of the most popular but also the most common recreational activities. The rates of participation in tramping and outdoor tourism are among the </w:t>
      </w:r>
      <w:r>
        <w:rPr>
          <w:rFonts w:ascii="Times New Roman" w:eastAsia="Times New Roman" w:hAnsi="Times New Roman" w:cs="Times New Roman"/>
          <w:sz w:val="24"/>
          <w:szCs w:val="24"/>
        </w:rPr>
        <w:t xml:space="preserve">highest per capita in the world (Espiner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2023). This habit of constant outdoor activity is consistent throughout the year. Consumers in New Zealand choose products that are sustainable, ethically made and long-lasting. Younger age groups also prefe</w:t>
      </w:r>
      <w:r>
        <w:rPr>
          <w:rFonts w:ascii="Times New Roman" w:eastAsia="Times New Roman" w:hAnsi="Times New Roman" w:cs="Times New Roman"/>
          <w:sz w:val="24"/>
          <w:szCs w:val="24"/>
        </w:rPr>
        <w:t xml:space="preserve">r premium brands that are in line with their identity, lifestyle, and environmental values. Hence, the NZ’s society is </w:t>
      </w:r>
      <w:r>
        <w:rPr>
          <w:rFonts w:ascii="Times New Roman" w:eastAsia="Times New Roman" w:hAnsi="Times New Roman" w:cs="Times New Roman"/>
          <w:b/>
          <w:bCs/>
          <w:i/>
          <w:iCs/>
          <w:sz w:val="24"/>
          <w:szCs w:val="24"/>
        </w:rPr>
        <w:t>opportunistic</w:t>
      </w:r>
      <w:r>
        <w:rPr>
          <w:rFonts w:ascii="Times New Roman" w:eastAsia="Times New Roman" w:hAnsi="Times New Roman" w:cs="Times New Roman"/>
          <w:sz w:val="24"/>
          <w:szCs w:val="24"/>
        </w:rPr>
        <w:t xml:space="preserve"> for TNF. </w:t>
      </w:r>
    </w:p>
    <w:p w:rsidR="00D915F8" w:rsidRDefault="005A42D6">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 xml:space="preserve">Technology </w:t>
      </w:r>
    </w:p>
    <w:p w:rsidR="00D915F8" w:rsidRDefault="005A42D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New Zealand is very modern regarding </w:t>
      </w:r>
      <w:r>
        <w:rPr>
          <w:rFonts w:ascii="Times New Roman" w:eastAsia="Times New Roman" w:hAnsi="Times New Roman" w:cs="Times New Roman"/>
          <w:b/>
          <w:bCs/>
          <w:i/>
          <w:iCs/>
          <w:sz w:val="24"/>
          <w:szCs w:val="24"/>
        </w:rPr>
        <w:t>technology acceptance</w:t>
      </w:r>
      <w:r>
        <w:rPr>
          <w:rFonts w:ascii="Times New Roman" w:eastAsia="Times New Roman" w:hAnsi="Times New Roman" w:cs="Times New Roman"/>
          <w:sz w:val="24"/>
          <w:szCs w:val="24"/>
        </w:rPr>
        <w:t xml:space="preserve"> and has a robust digital infrastructure, e</w:t>
      </w:r>
      <w:r>
        <w:rPr>
          <w:rFonts w:ascii="Times New Roman" w:eastAsia="Times New Roman" w:hAnsi="Times New Roman" w:cs="Times New Roman"/>
          <w:sz w:val="24"/>
          <w:szCs w:val="24"/>
        </w:rPr>
        <w:t>-commerce usage is widespread, and there is a high penetration of smartphones. The retail sector has quickly gone to omnichannel strategies. It is offering a flawless integration of online and physical shopping experiences. TNF can use this to its advantag</w:t>
      </w:r>
      <w:r>
        <w:rPr>
          <w:rFonts w:ascii="Times New Roman" w:eastAsia="Times New Roman" w:hAnsi="Times New Roman" w:cs="Times New Roman"/>
          <w:sz w:val="24"/>
          <w:szCs w:val="24"/>
        </w:rPr>
        <w:t>e by the early deployment of its global e-commerce platform, which will enable access to the whole country even before multiple store openings (Priya, Berry and Agrawal, 2024). The technological changes in logistics, digital payments, as well as supply cha</w:t>
      </w:r>
      <w:r>
        <w:rPr>
          <w:rFonts w:ascii="Times New Roman" w:eastAsia="Times New Roman" w:hAnsi="Times New Roman" w:cs="Times New Roman"/>
          <w:sz w:val="24"/>
          <w:szCs w:val="24"/>
        </w:rPr>
        <w:t xml:space="preserve">in tracking are in favour of efficient operations. But New Zealand's separation from the rest of the world can cause a situation where shipping takes longer and the cost of transportation is higher (Dhawan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2023). TNF may have to be very efficient i</w:t>
      </w:r>
      <w:r>
        <w:rPr>
          <w:rFonts w:ascii="Times New Roman" w:eastAsia="Times New Roman" w:hAnsi="Times New Roman" w:cs="Times New Roman"/>
          <w:sz w:val="24"/>
          <w:szCs w:val="24"/>
        </w:rPr>
        <w:t>n planning the distribution by using the Asia-Pacific hubs of VF Corporation and looking into third-party logistics partnerships. On the other hand, New Zealand consumers of the product are ready and willing to pay for technical performance textiles, which</w:t>
      </w:r>
      <w:r>
        <w:rPr>
          <w:rFonts w:ascii="Times New Roman" w:eastAsia="Times New Roman" w:hAnsi="Times New Roman" w:cs="Times New Roman"/>
          <w:sz w:val="24"/>
          <w:szCs w:val="24"/>
        </w:rPr>
        <w:t xml:space="preserve"> is a good opening for TNF's innovations like FUTURELIGHT, ThermoBall, and Ultra-technology footwear.</w:t>
      </w:r>
    </w:p>
    <w:p w:rsidR="00D915F8" w:rsidRDefault="005A42D6">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 xml:space="preserve">Enviromental </w:t>
      </w:r>
    </w:p>
    <w:p w:rsidR="00D915F8" w:rsidRDefault="005A42D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New Zealand's environment is framed by different climates and weather patterns, and it has mountains, dense forests, and beaches (Fuller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2023). Such an environment certainly sustains a demand for rugged, waterproof, warm, and high-performance outerwear, which happens to be TNF's strength in terms of the product. Being eco-conscious is largely built into the culture. Brands need to b</w:t>
      </w:r>
      <w:r>
        <w:rPr>
          <w:rFonts w:ascii="Times New Roman" w:eastAsia="Times New Roman" w:hAnsi="Times New Roman" w:cs="Times New Roman"/>
          <w:sz w:val="24"/>
          <w:szCs w:val="24"/>
        </w:rPr>
        <w:t xml:space="preserve">e visibly engaged in a circular, ethically sourced, and low-impact material production process. The government too is very strict in implementing regulations concerning environmental </w:t>
      </w:r>
      <w:r>
        <w:rPr>
          <w:rFonts w:ascii="Times New Roman" w:eastAsia="Times New Roman" w:hAnsi="Times New Roman" w:cs="Times New Roman"/>
          <w:sz w:val="24"/>
          <w:szCs w:val="24"/>
        </w:rPr>
        <w:lastRenderedPageBreak/>
        <w:t xml:space="preserve">protection, making customers even more demanding and retailers complying </w:t>
      </w:r>
      <w:r>
        <w:rPr>
          <w:rFonts w:ascii="Times New Roman" w:eastAsia="Times New Roman" w:hAnsi="Times New Roman" w:cs="Times New Roman"/>
          <w:sz w:val="24"/>
          <w:szCs w:val="24"/>
        </w:rPr>
        <w:t xml:space="preserve">accordingly. Hence, it implies that environmental factors carry a certain degree of moderate </w:t>
      </w:r>
      <w:r>
        <w:rPr>
          <w:rFonts w:ascii="Times New Roman" w:eastAsia="Times New Roman" w:hAnsi="Times New Roman" w:cs="Times New Roman"/>
          <w:b/>
          <w:bCs/>
          <w:i/>
          <w:iCs/>
          <w:sz w:val="24"/>
          <w:szCs w:val="24"/>
        </w:rPr>
        <w:t>threats</w:t>
      </w:r>
      <w:r>
        <w:rPr>
          <w:rFonts w:ascii="Times New Roman" w:eastAsia="Times New Roman" w:hAnsi="Times New Roman" w:cs="Times New Roman"/>
          <w:sz w:val="24"/>
          <w:szCs w:val="24"/>
        </w:rPr>
        <w:t xml:space="preserve">. </w:t>
      </w:r>
    </w:p>
    <w:p w:rsidR="00D915F8" w:rsidRDefault="005A42D6">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 xml:space="preserve">Legal </w:t>
      </w:r>
    </w:p>
    <w:p w:rsidR="00D915F8" w:rsidRDefault="005A42D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drawing>
          <wp:inline distT="114300" distB="114300" distL="114300" distR="114300">
            <wp:extent cx="5943600" cy="2489200"/>
            <wp:effectExtent l="0" t="0" r="0" b="0"/>
            <wp:docPr id="1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5943600" cy="2489200"/>
                    </a:xfrm>
                    <a:prstGeom prst="rect">
                      <a:avLst/>
                    </a:prstGeom>
                    <a:ln/>
                  </pic:spPr>
                </pic:pic>
              </a:graphicData>
            </a:graphic>
          </wp:inline>
        </w:drawing>
      </w:r>
    </w:p>
    <w:p w:rsidR="00D915F8" w:rsidRDefault="005A42D6">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4: Ease of Doing Business rankings</w:t>
      </w:r>
    </w:p>
    <w:p w:rsidR="00D915F8" w:rsidRDefault="005A42D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(World Bank, 2024)</w:t>
      </w:r>
    </w:p>
    <w:p w:rsidR="00D915F8" w:rsidRDefault="005A42D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New Zealand has been consecutively ranked as number one in terms of ease of doing business (World Bank, 2024). Even though specific materials will need to comply with biosecurity standards, product safety laws drive accurate labelling and high material qua</w:t>
      </w:r>
      <w:r>
        <w:rPr>
          <w:rFonts w:ascii="Times New Roman" w:eastAsia="Times New Roman" w:hAnsi="Times New Roman" w:cs="Times New Roman"/>
          <w:sz w:val="24"/>
          <w:szCs w:val="24"/>
        </w:rPr>
        <w:t xml:space="preserve">lity, consistent with The North Face's global production processes. Regarding store operations, employment laws concerning fair wages, workers' rights, and diversity have to be observed. Also, adherence to environmental laws, especially in aspects such as </w:t>
      </w:r>
      <w:r>
        <w:rPr>
          <w:rFonts w:ascii="Times New Roman" w:eastAsia="Times New Roman" w:hAnsi="Times New Roman" w:cs="Times New Roman"/>
          <w:sz w:val="24"/>
          <w:szCs w:val="24"/>
        </w:rPr>
        <w:t xml:space="preserve">waste minimisation, recycling commitments, and carbon reporting, is becoming progressively significant for retailers. TNF's current sustainability frameworks position it quite comfortably to meet these requirements. Overall, it is an </w:t>
      </w:r>
      <w:r>
        <w:rPr>
          <w:rFonts w:ascii="Times New Roman" w:eastAsia="Times New Roman" w:hAnsi="Times New Roman" w:cs="Times New Roman"/>
          <w:b/>
          <w:bCs/>
          <w:i/>
          <w:iCs/>
          <w:sz w:val="24"/>
          <w:szCs w:val="24"/>
        </w:rPr>
        <w:t>opportunistic</w:t>
      </w:r>
      <w:r>
        <w:rPr>
          <w:rFonts w:ascii="Times New Roman" w:eastAsia="Times New Roman" w:hAnsi="Times New Roman" w:cs="Times New Roman"/>
          <w:sz w:val="24"/>
          <w:szCs w:val="24"/>
        </w:rPr>
        <w:t xml:space="preserve"> factor f</w:t>
      </w:r>
      <w:r>
        <w:rPr>
          <w:rFonts w:ascii="Times New Roman" w:eastAsia="Times New Roman" w:hAnsi="Times New Roman" w:cs="Times New Roman"/>
          <w:sz w:val="24"/>
          <w:szCs w:val="24"/>
        </w:rPr>
        <w:t xml:space="preserve">or TNF. </w:t>
      </w:r>
    </w:p>
    <w:p w:rsidR="00D915F8" w:rsidRDefault="005A42D6">
      <w:pPr>
        <w:pStyle w:val="Heading2"/>
      </w:pPr>
      <w:bookmarkStart w:id="7" w:name="_heading=h.u3oc8io0g8s9" w:colFirst="0" w:colLast="0"/>
      <w:bookmarkEnd w:id="7"/>
      <w:r>
        <w:t xml:space="preserve">3.2 Porter’s Five Forces Analysis </w:t>
      </w:r>
    </w:p>
    <w:p w:rsidR="00D915F8" w:rsidRDefault="005A42D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Using Porter’s five forces, it will analyse the market situation across different parameters. </w:t>
      </w:r>
    </w:p>
    <w:p w:rsidR="00D915F8" w:rsidRDefault="005A42D6">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Competitive Rivalry - High</w:t>
      </w:r>
    </w:p>
    <w:p w:rsidR="00D915F8" w:rsidRDefault="005A42D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outdoor apparel market in New Zealand is a competitive one, and it has been shaped by </w:t>
      </w:r>
      <w:r>
        <w:rPr>
          <w:rFonts w:ascii="Times New Roman" w:eastAsia="Times New Roman" w:hAnsi="Times New Roman" w:cs="Times New Roman"/>
          <w:sz w:val="24"/>
          <w:szCs w:val="24"/>
        </w:rPr>
        <w:t>the presence of strong local and global brands. The locals, such as Kahmandu, Icebreaker, MacPac, and Swanndri, not only have brand loyalty but also pride themselves on their regional identity. On the other hand, global brands like Patagonia, Columbia, and</w:t>
      </w:r>
      <w:r>
        <w:rPr>
          <w:rFonts w:ascii="Times New Roman" w:eastAsia="Times New Roman" w:hAnsi="Times New Roman" w:cs="Times New Roman"/>
          <w:sz w:val="24"/>
          <w:szCs w:val="24"/>
        </w:rPr>
        <w:t xml:space="preserve"> Arc'teryx are also there but to different </w:t>
      </w:r>
      <w:r>
        <w:rPr>
          <w:rFonts w:ascii="Times New Roman" w:eastAsia="Times New Roman" w:hAnsi="Times New Roman" w:cs="Times New Roman"/>
          <w:sz w:val="24"/>
          <w:szCs w:val="24"/>
        </w:rPr>
        <w:lastRenderedPageBreak/>
        <w:t xml:space="preserve">extents (Hong, 2025). The level of Kathmandu's dominance is very high due to its wide retail networks. It has been found that differentiation is the main factor by which it is possible to avoid direct price-based </w:t>
      </w:r>
      <w:r>
        <w:rPr>
          <w:rFonts w:ascii="Times New Roman" w:eastAsia="Times New Roman" w:hAnsi="Times New Roman" w:cs="Times New Roman"/>
          <w:sz w:val="24"/>
          <w:szCs w:val="24"/>
        </w:rPr>
        <w:t>rivalry. Hence, Competitive rivalry is high in this case.</w:t>
      </w:r>
    </w:p>
    <w:p w:rsidR="00D915F8" w:rsidRDefault="005A42D6">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Threat of New Entrants - Moderate</w:t>
      </w:r>
    </w:p>
    <w:p w:rsidR="00D915F8" w:rsidRDefault="005A42D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Generally, those who want to sell clothes face few restrictions when entering the market, but to be able to penetrate the premium outdoor market in New Zealand succ</w:t>
      </w:r>
      <w:r>
        <w:rPr>
          <w:rFonts w:ascii="Times New Roman" w:eastAsia="Times New Roman" w:hAnsi="Times New Roman" w:cs="Times New Roman"/>
          <w:sz w:val="24"/>
          <w:szCs w:val="24"/>
        </w:rPr>
        <w:t>essfully, one needs to have some specific conditions. First of all, new businesses should have a recognisable brand, a large amount of capital, excellent technical knowledge of the product, strong capabilities in the supply chain, and well-established cred</w:t>
      </w:r>
      <w:r>
        <w:rPr>
          <w:rFonts w:ascii="Times New Roman" w:eastAsia="Times New Roman" w:hAnsi="Times New Roman" w:cs="Times New Roman"/>
          <w:sz w:val="24"/>
          <w:szCs w:val="24"/>
        </w:rPr>
        <w:t xml:space="preserve">ibility in terms of sustainability (Tu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2025). Companies without strong brands or technical innovations may find it very difficult to gain the trust of consumers. Therefore, TNF's already established global brand acts as a barrier to new entrants, t</w:t>
      </w:r>
      <w:r>
        <w:rPr>
          <w:rFonts w:ascii="Times New Roman" w:eastAsia="Times New Roman" w:hAnsi="Times New Roman" w:cs="Times New Roman"/>
          <w:sz w:val="24"/>
          <w:szCs w:val="24"/>
        </w:rPr>
        <w:t>hus reducing the threats to its competitive position.</w:t>
      </w:r>
    </w:p>
    <w:p w:rsidR="00D915F8" w:rsidRDefault="005A42D6">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Threat of substitutes - Medium to High</w:t>
      </w:r>
    </w:p>
    <w:p w:rsidR="00D915F8" w:rsidRDefault="005A42D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few alternatives that consumers can use in place of high-quality outdoor gear are: lower-cost brands, fast-fashion clothing, second-hand items, and wool-based cl</w:t>
      </w:r>
      <w:r>
        <w:rPr>
          <w:rFonts w:ascii="Times New Roman" w:eastAsia="Times New Roman" w:hAnsi="Times New Roman" w:cs="Times New Roman"/>
          <w:sz w:val="24"/>
          <w:szCs w:val="24"/>
        </w:rPr>
        <w:t>othing made locally. Although the consumers in New Zealand who are mindful of sustainability might incline towards buying durable items rather than cheap substitutes, these alternatives still carry a risk of substitution, as some consumers might select the</w:t>
      </w:r>
      <w:r>
        <w:rPr>
          <w:rFonts w:ascii="Times New Roman" w:eastAsia="Times New Roman" w:hAnsi="Times New Roman" w:cs="Times New Roman"/>
          <w:sz w:val="24"/>
          <w:szCs w:val="24"/>
        </w:rPr>
        <w:t>m to cut down on expenses or for other reasons (Schnack, 2024).</w:t>
      </w:r>
    </w:p>
    <w:p w:rsidR="00D915F8" w:rsidRDefault="005A42D6">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Bargaining Power of Suppliers - Moderate</w:t>
      </w:r>
    </w:p>
    <w:p w:rsidR="00D915F8" w:rsidRDefault="005A42D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few alternatives that consumers can use in place of high-quality outdoor gear are: lower-cost brands, fast-fashion clothing, second-hand items, and wool-based clothing made locally. Although the consumers in New Zealand who are mindful of sustainability </w:t>
      </w:r>
      <w:r>
        <w:rPr>
          <w:rFonts w:ascii="Times New Roman" w:eastAsia="Times New Roman" w:hAnsi="Times New Roman" w:cs="Times New Roman"/>
          <w:sz w:val="24"/>
          <w:szCs w:val="24"/>
        </w:rPr>
        <w:t>might incline towards buying durable items rather than cheap substitutes, these alternatives still carry a risk of substitution, as some consumers might select them to cut down on expenses or for other reasons (Schnack, 2024).</w:t>
      </w:r>
    </w:p>
    <w:p w:rsidR="00D915F8" w:rsidRDefault="005A42D6">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 xml:space="preserve">Bargaining power of buyers - </w:t>
      </w:r>
      <w:r>
        <w:rPr>
          <w:rFonts w:ascii="Times New Roman" w:eastAsia="Times New Roman" w:hAnsi="Times New Roman" w:cs="Times New Roman"/>
          <w:b/>
          <w:bCs/>
          <w:i/>
          <w:iCs/>
          <w:sz w:val="24"/>
          <w:szCs w:val="24"/>
        </w:rPr>
        <w:t>High</w:t>
      </w:r>
    </w:p>
    <w:p w:rsidR="00D915F8" w:rsidRDefault="005A42D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Consumers in New Zealand are smart buyers who care for the environment and put quality products as their main priority. Though they value quality, they do a lot of product comparisons, and their price sensitivity may change depending on the category. </w:t>
      </w:r>
      <w:r>
        <w:rPr>
          <w:rFonts w:ascii="Times New Roman" w:eastAsia="Times New Roman" w:hAnsi="Times New Roman" w:cs="Times New Roman"/>
          <w:sz w:val="24"/>
          <w:szCs w:val="24"/>
        </w:rPr>
        <w:t xml:space="preserve">There is tough competition among local players in the market, which is great for consumers as they have a wide range of options (Sudirjo, 2023). TNF-like firms need to be on the ball and find ways to lessen the effects </w:t>
      </w:r>
      <w:r>
        <w:rPr>
          <w:rFonts w:ascii="Times New Roman" w:eastAsia="Times New Roman" w:hAnsi="Times New Roman" w:cs="Times New Roman"/>
          <w:sz w:val="24"/>
          <w:szCs w:val="24"/>
        </w:rPr>
        <w:lastRenderedPageBreak/>
        <w:t>of a high buyer power situation by, f</w:t>
      </w:r>
      <w:r>
        <w:rPr>
          <w:rFonts w:ascii="Times New Roman" w:eastAsia="Times New Roman" w:hAnsi="Times New Roman" w:cs="Times New Roman"/>
          <w:sz w:val="24"/>
          <w:szCs w:val="24"/>
        </w:rPr>
        <w:t>or instance, keeping strong product differentiation, going green, and creating interesting stories around their brand.</w:t>
      </w:r>
    </w:p>
    <w:p w:rsidR="00D915F8" w:rsidRDefault="005A42D6">
      <w:pPr>
        <w:pStyle w:val="Heading2"/>
      </w:pPr>
      <w:bookmarkStart w:id="8" w:name="_heading=h.mzhatxbkmwji" w:colFirst="0" w:colLast="0"/>
      <w:bookmarkEnd w:id="8"/>
      <w:r>
        <w:t xml:space="preserve">3.3 Porter’s Diamond Model </w:t>
      </w:r>
    </w:p>
    <w:p w:rsidR="00D915F8" w:rsidRDefault="005A42D6">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Factor Conditions</w:t>
      </w:r>
    </w:p>
    <w:p w:rsidR="00D915F8" w:rsidRDefault="005A42D6">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sz w:val="24"/>
          <w:szCs w:val="24"/>
        </w:rPr>
        <w:t>New Zealand provides skilled retail labour, efficient logistics services, and advanced digi</w:t>
      </w:r>
      <w:r>
        <w:rPr>
          <w:rFonts w:ascii="Times New Roman" w:eastAsia="Times New Roman" w:hAnsi="Times New Roman" w:cs="Times New Roman"/>
          <w:sz w:val="24"/>
          <w:szCs w:val="24"/>
        </w:rPr>
        <w:t>tal infrastructure. On the other hand, it does not have domestic textile manufacturing, which has resulted in a growing dependence on imports. This has no adverse effect on TNF, as its worldwide manufacturing network can make up for it. This environment fo</w:t>
      </w:r>
      <w:r>
        <w:rPr>
          <w:rFonts w:ascii="Times New Roman" w:eastAsia="Times New Roman" w:hAnsi="Times New Roman" w:cs="Times New Roman"/>
          <w:sz w:val="24"/>
          <w:szCs w:val="24"/>
        </w:rPr>
        <w:t>r business is characterised by a dominant service sector and a lack of local production capacity, which major international brands with their diversified supply chains are able to overcome (Gadalla, 2022).</w:t>
      </w:r>
    </w:p>
    <w:p w:rsidR="00D915F8" w:rsidRDefault="005A42D6">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Demand Conditions</w:t>
      </w:r>
    </w:p>
    <w:p w:rsidR="00D915F8" w:rsidRDefault="005A42D6">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sz w:val="24"/>
          <w:szCs w:val="24"/>
        </w:rPr>
        <w:t>New Zealand has a very complex l</w:t>
      </w:r>
      <w:r>
        <w:rPr>
          <w:rFonts w:ascii="Times New Roman" w:eastAsia="Times New Roman" w:hAnsi="Times New Roman" w:cs="Times New Roman"/>
          <w:sz w:val="24"/>
          <w:szCs w:val="24"/>
        </w:rPr>
        <w:t>ocal demand for goods, showing its strong outdoor culture, sustainability values, and different climates. Consequently, consumers there are more attracted to rugged, high-performance apparel, which implies that technology-driven products from TNF are a gre</w:t>
      </w:r>
      <w:r>
        <w:rPr>
          <w:rFonts w:ascii="Times New Roman" w:eastAsia="Times New Roman" w:hAnsi="Times New Roman" w:cs="Times New Roman"/>
          <w:sz w:val="24"/>
          <w:szCs w:val="24"/>
        </w:rPr>
        <w:t xml:space="preserve">at fit in the market. The commitment of The North Face to the use of innovative, eco-friendly materials such as FUTURELIGHT™™ for waterproofing and DryVent™™ for breathability is a perfect match not only with the local weather conditions but also with the </w:t>
      </w:r>
      <w:r>
        <w:rPr>
          <w:rFonts w:ascii="Times New Roman" w:eastAsia="Times New Roman" w:hAnsi="Times New Roman" w:cs="Times New Roman"/>
          <w:sz w:val="24"/>
          <w:szCs w:val="24"/>
        </w:rPr>
        <w:t>people's values. Besides that, tourism is a major seasonal contributor to the demand for good-quality outerwear and technical gear, which is the most attractive to the large number of tourists who come to New Zealand to enjoy its diverse nature.</w:t>
      </w:r>
    </w:p>
    <w:p w:rsidR="00D915F8" w:rsidRDefault="005A42D6">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Related an</w:t>
      </w:r>
      <w:r>
        <w:rPr>
          <w:rFonts w:ascii="Times New Roman" w:eastAsia="Times New Roman" w:hAnsi="Times New Roman" w:cs="Times New Roman"/>
          <w:b/>
          <w:bCs/>
          <w:i/>
          <w:iCs/>
          <w:sz w:val="24"/>
          <w:szCs w:val="24"/>
        </w:rPr>
        <w:t>d Supporting Industries</w:t>
      </w:r>
    </w:p>
    <w:p w:rsidR="00D915F8" w:rsidRDefault="005A42D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New Zealand, with its strong tourism, retail, and logistics sectors, is an ideal market for outdoor product brands. A brand like The North Face (TNF) can use the platform of the official site of Tourism New Zealand and the numerous </w:t>
      </w:r>
      <w:r>
        <w:rPr>
          <w:rFonts w:ascii="Times New Roman" w:eastAsia="Times New Roman" w:hAnsi="Times New Roman" w:cs="Times New Roman"/>
          <w:sz w:val="24"/>
          <w:szCs w:val="24"/>
        </w:rPr>
        <w:t>adventure tourism operators, along with national parks and sports companies, for strategic local partnerships to thoroughly become part of the country's outdoor ecosystem. Thereby, the brand creates a genuine connection with the local outdoor culture and t</w:t>
      </w:r>
      <w:r>
        <w:rPr>
          <w:rFonts w:ascii="Times New Roman" w:eastAsia="Times New Roman" w:hAnsi="Times New Roman" w:cs="Times New Roman"/>
          <w:sz w:val="24"/>
          <w:szCs w:val="24"/>
        </w:rPr>
        <w:t>he active consumer base.</w:t>
      </w:r>
    </w:p>
    <w:p w:rsidR="00D915F8" w:rsidRDefault="005A42D6">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Firm Strategy, Structure, and Rivalry</w:t>
      </w:r>
    </w:p>
    <w:p w:rsidR="00D915F8" w:rsidRDefault="005A42D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of the most important factors that can lead to continuous innovation and improvement in organisational performance is a strong competitive landscape that is strong. As a result of the compe</w:t>
      </w:r>
      <w:r>
        <w:rPr>
          <w:rFonts w:ascii="Times New Roman" w:eastAsia="Times New Roman" w:hAnsi="Times New Roman" w:cs="Times New Roman"/>
          <w:sz w:val="24"/>
          <w:szCs w:val="24"/>
        </w:rPr>
        <w:t xml:space="preserve">tition, companies have to continuously upgrade their products and services as well as their </w:t>
      </w:r>
      <w:r>
        <w:rPr>
          <w:rFonts w:ascii="Times New Roman" w:eastAsia="Times New Roman" w:hAnsi="Times New Roman" w:cs="Times New Roman"/>
          <w:sz w:val="24"/>
          <w:szCs w:val="24"/>
        </w:rPr>
        <w:lastRenderedPageBreak/>
        <w:t>operational efficiency if they want to be different from others. This makes an effective differentiation strategy especially appropriate for success in such a marke</w:t>
      </w:r>
      <w:r>
        <w:rPr>
          <w:rFonts w:ascii="Times New Roman" w:eastAsia="Times New Roman" w:hAnsi="Times New Roman" w:cs="Times New Roman"/>
          <w:sz w:val="24"/>
          <w:szCs w:val="24"/>
        </w:rPr>
        <w:t>t (Charles and Ochieng, 2023). TNF may use this strategy to attract customers by giving them the unique value they want. More and more, the market is rewarding those businesses which commit themselves to the most important aspects like super quality, leadi</w:t>
      </w:r>
      <w:r>
        <w:rPr>
          <w:rFonts w:ascii="Times New Roman" w:eastAsia="Times New Roman" w:hAnsi="Times New Roman" w:cs="Times New Roman"/>
          <w:sz w:val="24"/>
          <w:szCs w:val="24"/>
        </w:rPr>
        <w:t>ng-edge innovation, and strong commitments to sustainability. Thus, providing an unequivocal way for a differentiation-focused firm to prosper and get a substantial lead over its competitors.</w:t>
      </w:r>
    </w:p>
    <w:p w:rsidR="00D915F8" w:rsidRDefault="005A42D6">
      <w:pPr>
        <w:pStyle w:val="Heading2"/>
      </w:pPr>
      <w:bookmarkStart w:id="9" w:name="_heading=h.guylyj9uk5xi" w:colFirst="0" w:colLast="0"/>
      <w:bookmarkEnd w:id="9"/>
      <w:r>
        <w:t>3.4 VRIO Analysis</w:t>
      </w:r>
    </w:p>
    <w:p w:rsidR="00D915F8" w:rsidRDefault="005A42D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VRIO analysis will be used here for internal a</w:t>
      </w:r>
      <w:r>
        <w:rPr>
          <w:rFonts w:ascii="Times New Roman" w:eastAsia="Times New Roman" w:hAnsi="Times New Roman" w:cs="Times New Roman"/>
          <w:sz w:val="24"/>
          <w:szCs w:val="24"/>
        </w:rPr>
        <w:t xml:space="preserve">nalysis of TNF. </w:t>
      </w:r>
    </w:p>
    <w:tbl>
      <w:tblPr>
        <w:tblStyle w:val="a1"/>
        <w:tblW w:w="936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D915F8">
        <w:tc>
          <w:tcPr>
            <w:tcW w:w="1560" w:type="dxa"/>
            <w:shd w:val="clear" w:color="auto" w:fill="auto"/>
            <w:tcMar>
              <w:top w:w="100" w:type="dxa"/>
              <w:left w:w="100" w:type="dxa"/>
              <w:bottom w:w="100" w:type="dxa"/>
              <w:right w:w="100" w:type="dxa"/>
            </w:tcMar>
          </w:tcPr>
          <w:p w:rsidR="00D915F8" w:rsidRDefault="005A42D6">
            <w:pPr>
              <w:widowControl w:val="0"/>
              <w:pBdr>
                <w:top w:val="nil"/>
                <w:left w:val="nil"/>
                <w:bottom w:val="nil"/>
                <w:right w:val="nil"/>
                <w:between w:val="nil"/>
              </w:pBdr>
              <w:spacing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VRIO</w:t>
            </w:r>
          </w:p>
        </w:tc>
        <w:tc>
          <w:tcPr>
            <w:tcW w:w="1560" w:type="dxa"/>
            <w:shd w:val="clear" w:color="auto" w:fill="auto"/>
            <w:tcMar>
              <w:top w:w="100" w:type="dxa"/>
              <w:left w:w="100" w:type="dxa"/>
              <w:bottom w:w="100" w:type="dxa"/>
              <w:right w:w="100" w:type="dxa"/>
            </w:tcMar>
          </w:tcPr>
          <w:p w:rsidR="00D915F8" w:rsidRDefault="005A42D6">
            <w:pPr>
              <w:widowControl w:val="0"/>
              <w:pBdr>
                <w:top w:val="nil"/>
                <w:left w:val="nil"/>
                <w:bottom w:val="nil"/>
                <w:right w:val="nil"/>
                <w:between w:val="nil"/>
              </w:pBdr>
              <w:spacing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Valuable</w:t>
            </w:r>
          </w:p>
        </w:tc>
        <w:tc>
          <w:tcPr>
            <w:tcW w:w="1560" w:type="dxa"/>
            <w:shd w:val="clear" w:color="auto" w:fill="auto"/>
            <w:tcMar>
              <w:top w:w="100" w:type="dxa"/>
              <w:left w:w="100" w:type="dxa"/>
              <w:bottom w:w="100" w:type="dxa"/>
              <w:right w:w="100" w:type="dxa"/>
            </w:tcMar>
          </w:tcPr>
          <w:p w:rsidR="00D915F8" w:rsidRDefault="005A42D6">
            <w:pPr>
              <w:widowControl w:val="0"/>
              <w:pBdr>
                <w:top w:val="nil"/>
                <w:left w:val="nil"/>
                <w:bottom w:val="nil"/>
                <w:right w:val="nil"/>
                <w:between w:val="nil"/>
              </w:pBdr>
              <w:spacing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Rare</w:t>
            </w:r>
          </w:p>
        </w:tc>
        <w:tc>
          <w:tcPr>
            <w:tcW w:w="1560" w:type="dxa"/>
            <w:shd w:val="clear" w:color="auto" w:fill="auto"/>
            <w:tcMar>
              <w:top w:w="100" w:type="dxa"/>
              <w:left w:w="100" w:type="dxa"/>
              <w:bottom w:w="100" w:type="dxa"/>
              <w:right w:w="100" w:type="dxa"/>
            </w:tcMar>
          </w:tcPr>
          <w:p w:rsidR="00D915F8" w:rsidRDefault="005A42D6">
            <w:pPr>
              <w:widowControl w:val="0"/>
              <w:pBdr>
                <w:top w:val="nil"/>
                <w:left w:val="nil"/>
                <w:bottom w:val="nil"/>
                <w:right w:val="nil"/>
                <w:between w:val="nil"/>
              </w:pBdr>
              <w:spacing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Inimitability </w:t>
            </w:r>
          </w:p>
        </w:tc>
        <w:tc>
          <w:tcPr>
            <w:tcW w:w="1560" w:type="dxa"/>
            <w:shd w:val="clear" w:color="auto" w:fill="auto"/>
            <w:tcMar>
              <w:top w:w="100" w:type="dxa"/>
              <w:left w:w="100" w:type="dxa"/>
              <w:bottom w:w="100" w:type="dxa"/>
              <w:right w:w="100" w:type="dxa"/>
            </w:tcMar>
          </w:tcPr>
          <w:p w:rsidR="00D915F8" w:rsidRDefault="005A42D6">
            <w:pPr>
              <w:widowControl w:val="0"/>
              <w:pBdr>
                <w:top w:val="nil"/>
                <w:left w:val="nil"/>
                <w:bottom w:val="nil"/>
                <w:right w:val="nil"/>
                <w:between w:val="nil"/>
              </w:pBdr>
              <w:spacing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Organisation </w:t>
            </w:r>
          </w:p>
        </w:tc>
        <w:tc>
          <w:tcPr>
            <w:tcW w:w="1560" w:type="dxa"/>
            <w:shd w:val="clear" w:color="auto" w:fill="auto"/>
            <w:tcMar>
              <w:top w:w="100" w:type="dxa"/>
              <w:left w:w="100" w:type="dxa"/>
              <w:bottom w:w="100" w:type="dxa"/>
              <w:right w:w="100" w:type="dxa"/>
            </w:tcMar>
          </w:tcPr>
          <w:p w:rsidR="00D915F8" w:rsidRDefault="005A42D6">
            <w:pPr>
              <w:widowControl w:val="0"/>
              <w:pBdr>
                <w:top w:val="nil"/>
                <w:left w:val="nil"/>
                <w:bottom w:val="nil"/>
                <w:right w:val="nil"/>
                <w:between w:val="nil"/>
              </w:pBdr>
              <w:spacing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Advantage </w:t>
            </w:r>
          </w:p>
        </w:tc>
      </w:tr>
      <w:tr w:rsidR="00D915F8">
        <w:tc>
          <w:tcPr>
            <w:tcW w:w="1560" w:type="dxa"/>
            <w:shd w:val="clear" w:color="auto" w:fill="auto"/>
            <w:tcMar>
              <w:top w:w="100" w:type="dxa"/>
              <w:left w:w="100" w:type="dxa"/>
              <w:bottom w:w="100" w:type="dxa"/>
              <w:right w:w="100" w:type="dxa"/>
            </w:tcMar>
          </w:tcPr>
          <w:p w:rsidR="00D915F8" w:rsidRDefault="005A42D6">
            <w:pPr>
              <w:widowControl w:val="0"/>
              <w:pBdr>
                <w:top w:val="nil"/>
                <w:left w:val="nil"/>
                <w:bottom w:val="nil"/>
                <w:right w:val="nil"/>
                <w:between w:val="nil"/>
              </w:pBdr>
              <w:spacing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Global Brand Reputation</w:t>
            </w:r>
          </w:p>
        </w:tc>
        <w:tc>
          <w:tcPr>
            <w:tcW w:w="1560" w:type="dxa"/>
            <w:shd w:val="clear" w:color="auto" w:fill="auto"/>
            <w:tcMar>
              <w:top w:w="100" w:type="dxa"/>
              <w:left w:w="100" w:type="dxa"/>
              <w:bottom w:w="100" w:type="dxa"/>
              <w:right w:w="100" w:type="dxa"/>
            </w:tcMar>
          </w:tcPr>
          <w:p w:rsidR="00D915F8" w:rsidRDefault="005A42D6">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560" w:type="dxa"/>
            <w:shd w:val="clear" w:color="auto" w:fill="auto"/>
            <w:tcMar>
              <w:top w:w="100" w:type="dxa"/>
              <w:left w:w="100" w:type="dxa"/>
              <w:bottom w:w="100" w:type="dxa"/>
              <w:right w:w="100" w:type="dxa"/>
            </w:tcMar>
          </w:tcPr>
          <w:p w:rsidR="00D915F8" w:rsidRDefault="005A42D6">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560" w:type="dxa"/>
            <w:shd w:val="clear" w:color="auto" w:fill="auto"/>
            <w:tcMar>
              <w:top w:w="100" w:type="dxa"/>
              <w:left w:w="100" w:type="dxa"/>
              <w:bottom w:w="100" w:type="dxa"/>
              <w:right w:w="100" w:type="dxa"/>
            </w:tcMar>
          </w:tcPr>
          <w:p w:rsidR="00D915F8" w:rsidRDefault="005A42D6">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560" w:type="dxa"/>
            <w:shd w:val="clear" w:color="auto" w:fill="auto"/>
            <w:tcMar>
              <w:top w:w="100" w:type="dxa"/>
              <w:left w:w="100" w:type="dxa"/>
              <w:bottom w:w="100" w:type="dxa"/>
              <w:right w:w="100" w:type="dxa"/>
            </w:tcMar>
          </w:tcPr>
          <w:p w:rsidR="00D915F8" w:rsidRDefault="005A42D6">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560" w:type="dxa"/>
            <w:shd w:val="clear" w:color="auto" w:fill="auto"/>
            <w:tcMar>
              <w:top w:w="100" w:type="dxa"/>
              <w:left w:w="100" w:type="dxa"/>
              <w:bottom w:w="100" w:type="dxa"/>
              <w:right w:w="100" w:type="dxa"/>
            </w:tcMar>
          </w:tcPr>
          <w:p w:rsidR="00D915F8" w:rsidRDefault="005A42D6">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Sustainable business advnatge </w:t>
            </w:r>
          </w:p>
        </w:tc>
      </w:tr>
      <w:tr w:rsidR="00D915F8">
        <w:tc>
          <w:tcPr>
            <w:tcW w:w="1560" w:type="dxa"/>
            <w:shd w:val="clear" w:color="auto" w:fill="auto"/>
            <w:tcMar>
              <w:top w:w="100" w:type="dxa"/>
              <w:left w:w="100" w:type="dxa"/>
              <w:bottom w:w="100" w:type="dxa"/>
              <w:right w:w="100" w:type="dxa"/>
            </w:tcMar>
          </w:tcPr>
          <w:p w:rsidR="00D915F8" w:rsidRDefault="005A42D6">
            <w:pPr>
              <w:widowControl w:val="0"/>
              <w:pBdr>
                <w:top w:val="nil"/>
                <w:left w:val="nil"/>
                <w:bottom w:val="nil"/>
                <w:right w:val="nil"/>
                <w:between w:val="nil"/>
              </w:pBdr>
              <w:spacing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Product Innovation</w:t>
            </w:r>
          </w:p>
        </w:tc>
        <w:tc>
          <w:tcPr>
            <w:tcW w:w="1560" w:type="dxa"/>
            <w:shd w:val="clear" w:color="auto" w:fill="auto"/>
            <w:tcMar>
              <w:top w:w="100" w:type="dxa"/>
              <w:left w:w="100" w:type="dxa"/>
              <w:bottom w:w="100" w:type="dxa"/>
              <w:right w:w="100" w:type="dxa"/>
            </w:tcMar>
          </w:tcPr>
          <w:p w:rsidR="00D915F8" w:rsidRDefault="005A42D6">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560" w:type="dxa"/>
            <w:shd w:val="clear" w:color="auto" w:fill="auto"/>
            <w:tcMar>
              <w:top w:w="100" w:type="dxa"/>
              <w:left w:w="100" w:type="dxa"/>
              <w:bottom w:w="100" w:type="dxa"/>
              <w:right w:w="100" w:type="dxa"/>
            </w:tcMar>
          </w:tcPr>
          <w:p w:rsidR="00D915F8" w:rsidRDefault="005A42D6">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560" w:type="dxa"/>
            <w:shd w:val="clear" w:color="auto" w:fill="auto"/>
            <w:tcMar>
              <w:top w:w="100" w:type="dxa"/>
              <w:left w:w="100" w:type="dxa"/>
              <w:bottom w:w="100" w:type="dxa"/>
              <w:right w:w="100" w:type="dxa"/>
            </w:tcMar>
          </w:tcPr>
          <w:p w:rsidR="00D915F8" w:rsidRDefault="005A42D6">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560" w:type="dxa"/>
            <w:shd w:val="clear" w:color="auto" w:fill="auto"/>
            <w:tcMar>
              <w:top w:w="100" w:type="dxa"/>
              <w:left w:w="100" w:type="dxa"/>
              <w:bottom w:w="100" w:type="dxa"/>
              <w:right w:w="100" w:type="dxa"/>
            </w:tcMar>
          </w:tcPr>
          <w:p w:rsidR="00D915F8" w:rsidRDefault="005A42D6">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560" w:type="dxa"/>
            <w:shd w:val="clear" w:color="auto" w:fill="auto"/>
            <w:tcMar>
              <w:top w:w="100" w:type="dxa"/>
              <w:left w:w="100" w:type="dxa"/>
              <w:bottom w:w="100" w:type="dxa"/>
              <w:right w:w="100" w:type="dxa"/>
            </w:tcMar>
          </w:tcPr>
          <w:p w:rsidR="00D915F8" w:rsidRDefault="005A42D6">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Sustainable business advnatge </w:t>
            </w:r>
          </w:p>
        </w:tc>
      </w:tr>
      <w:tr w:rsidR="00D915F8">
        <w:tc>
          <w:tcPr>
            <w:tcW w:w="1560" w:type="dxa"/>
            <w:shd w:val="clear" w:color="auto" w:fill="auto"/>
            <w:tcMar>
              <w:top w:w="100" w:type="dxa"/>
              <w:left w:w="100" w:type="dxa"/>
              <w:bottom w:w="100" w:type="dxa"/>
              <w:right w:w="100" w:type="dxa"/>
            </w:tcMar>
          </w:tcPr>
          <w:p w:rsidR="00D915F8" w:rsidRDefault="005A42D6">
            <w:pPr>
              <w:widowControl w:val="0"/>
              <w:pBdr>
                <w:top w:val="nil"/>
                <w:left w:val="nil"/>
                <w:bottom w:val="nil"/>
                <w:right w:val="nil"/>
                <w:between w:val="nil"/>
              </w:pBdr>
              <w:spacing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Supply Chain &amp; Global Distribution</w:t>
            </w:r>
          </w:p>
        </w:tc>
        <w:tc>
          <w:tcPr>
            <w:tcW w:w="1560" w:type="dxa"/>
            <w:shd w:val="clear" w:color="auto" w:fill="auto"/>
            <w:tcMar>
              <w:top w:w="100" w:type="dxa"/>
              <w:left w:w="100" w:type="dxa"/>
              <w:bottom w:w="100" w:type="dxa"/>
              <w:right w:w="100" w:type="dxa"/>
            </w:tcMar>
          </w:tcPr>
          <w:p w:rsidR="00D915F8" w:rsidRDefault="005A42D6">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560" w:type="dxa"/>
            <w:shd w:val="clear" w:color="auto" w:fill="auto"/>
            <w:tcMar>
              <w:top w:w="100" w:type="dxa"/>
              <w:left w:w="100" w:type="dxa"/>
              <w:bottom w:w="100" w:type="dxa"/>
              <w:right w:w="100" w:type="dxa"/>
            </w:tcMar>
          </w:tcPr>
          <w:p w:rsidR="00D915F8" w:rsidRDefault="005A42D6">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 </w:t>
            </w:r>
          </w:p>
        </w:tc>
        <w:tc>
          <w:tcPr>
            <w:tcW w:w="1560" w:type="dxa"/>
            <w:shd w:val="clear" w:color="auto" w:fill="auto"/>
            <w:tcMar>
              <w:top w:w="100" w:type="dxa"/>
              <w:left w:w="100" w:type="dxa"/>
              <w:bottom w:w="100" w:type="dxa"/>
              <w:right w:w="100" w:type="dxa"/>
            </w:tcMar>
          </w:tcPr>
          <w:p w:rsidR="00D915F8" w:rsidRDefault="005A42D6">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No</w:t>
            </w:r>
          </w:p>
        </w:tc>
        <w:tc>
          <w:tcPr>
            <w:tcW w:w="1560" w:type="dxa"/>
            <w:shd w:val="clear" w:color="auto" w:fill="auto"/>
            <w:tcMar>
              <w:top w:w="100" w:type="dxa"/>
              <w:left w:w="100" w:type="dxa"/>
              <w:bottom w:w="100" w:type="dxa"/>
              <w:right w:w="100" w:type="dxa"/>
            </w:tcMar>
          </w:tcPr>
          <w:p w:rsidR="00D915F8" w:rsidRDefault="005A42D6">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560" w:type="dxa"/>
            <w:shd w:val="clear" w:color="auto" w:fill="auto"/>
            <w:tcMar>
              <w:top w:w="100" w:type="dxa"/>
              <w:left w:w="100" w:type="dxa"/>
              <w:bottom w:w="100" w:type="dxa"/>
              <w:right w:w="100" w:type="dxa"/>
            </w:tcMar>
          </w:tcPr>
          <w:p w:rsidR="00D915F8" w:rsidRDefault="005A42D6">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Temporary Advantage</w:t>
            </w:r>
          </w:p>
        </w:tc>
      </w:tr>
      <w:tr w:rsidR="00D915F8">
        <w:tc>
          <w:tcPr>
            <w:tcW w:w="1560" w:type="dxa"/>
            <w:shd w:val="clear" w:color="auto" w:fill="auto"/>
            <w:tcMar>
              <w:top w:w="100" w:type="dxa"/>
              <w:left w:w="100" w:type="dxa"/>
              <w:bottom w:w="100" w:type="dxa"/>
              <w:right w:w="100" w:type="dxa"/>
            </w:tcMar>
          </w:tcPr>
          <w:p w:rsidR="00D915F8" w:rsidRDefault="005A42D6">
            <w:pPr>
              <w:widowControl w:val="0"/>
              <w:pBdr>
                <w:top w:val="nil"/>
                <w:left w:val="nil"/>
                <w:bottom w:val="nil"/>
                <w:right w:val="nil"/>
                <w:between w:val="nil"/>
              </w:pBdr>
              <w:spacing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Sustainability Programmes</w:t>
            </w:r>
          </w:p>
        </w:tc>
        <w:tc>
          <w:tcPr>
            <w:tcW w:w="1560" w:type="dxa"/>
            <w:shd w:val="clear" w:color="auto" w:fill="auto"/>
            <w:tcMar>
              <w:top w:w="100" w:type="dxa"/>
              <w:left w:w="100" w:type="dxa"/>
              <w:bottom w:w="100" w:type="dxa"/>
              <w:right w:w="100" w:type="dxa"/>
            </w:tcMar>
          </w:tcPr>
          <w:p w:rsidR="00D915F8" w:rsidRDefault="005A42D6">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560" w:type="dxa"/>
            <w:shd w:val="clear" w:color="auto" w:fill="auto"/>
            <w:tcMar>
              <w:top w:w="100" w:type="dxa"/>
              <w:left w:w="100" w:type="dxa"/>
              <w:bottom w:w="100" w:type="dxa"/>
              <w:right w:w="100" w:type="dxa"/>
            </w:tcMar>
          </w:tcPr>
          <w:p w:rsidR="00D915F8" w:rsidRDefault="005A42D6">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Somewhat </w:t>
            </w:r>
          </w:p>
        </w:tc>
        <w:tc>
          <w:tcPr>
            <w:tcW w:w="1560" w:type="dxa"/>
            <w:shd w:val="clear" w:color="auto" w:fill="auto"/>
            <w:tcMar>
              <w:top w:w="100" w:type="dxa"/>
              <w:left w:w="100" w:type="dxa"/>
              <w:bottom w:w="100" w:type="dxa"/>
              <w:right w:w="100" w:type="dxa"/>
            </w:tcMar>
          </w:tcPr>
          <w:p w:rsidR="00D915F8" w:rsidRDefault="005A42D6">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Moderate </w:t>
            </w:r>
          </w:p>
        </w:tc>
        <w:tc>
          <w:tcPr>
            <w:tcW w:w="1560" w:type="dxa"/>
            <w:shd w:val="clear" w:color="auto" w:fill="auto"/>
            <w:tcMar>
              <w:top w:w="100" w:type="dxa"/>
              <w:left w:w="100" w:type="dxa"/>
              <w:bottom w:w="100" w:type="dxa"/>
              <w:right w:w="100" w:type="dxa"/>
            </w:tcMar>
          </w:tcPr>
          <w:p w:rsidR="00D915F8" w:rsidRDefault="005A42D6">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560" w:type="dxa"/>
            <w:shd w:val="clear" w:color="auto" w:fill="auto"/>
            <w:tcMar>
              <w:top w:w="100" w:type="dxa"/>
              <w:left w:w="100" w:type="dxa"/>
              <w:bottom w:w="100" w:type="dxa"/>
              <w:right w:w="100" w:type="dxa"/>
            </w:tcMar>
          </w:tcPr>
          <w:p w:rsidR="00D915F8" w:rsidRDefault="005A42D6">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Valuable Differentiator</w:t>
            </w:r>
          </w:p>
        </w:tc>
      </w:tr>
      <w:tr w:rsidR="00D915F8">
        <w:tc>
          <w:tcPr>
            <w:tcW w:w="1560" w:type="dxa"/>
            <w:shd w:val="clear" w:color="auto" w:fill="auto"/>
            <w:tcMar>
              <w:top w:w="100" w:type="dxa"/>
              <w:left w:w="100" w:type="dxa"/>
              <w:bottom w:w="100" w:type="dxa"/>
              <w:right w:w="100" w:type="dxa"/>
            </w:tcMar>
          </w:tcPr>
          <w:p w:rsidR="00D915F8" w:rsidRDefault="005A42D6">
            <w:pPr>
              <w:widowControl w:val="0"/>
              <w:pBdr>
                <w:top w:val="nil"/>
                <w:left w:val="nil"/>
                <w:bottom w:val="nil"/>
                <w:right w:val="nil"/>
                <w:between w:val="nil"/>
              </w:pBdr>
              <w:spacing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Marketing and Retail Expertise</w:t>
            </w:r>
          </w:p>
        </w:tc>
        <w:tc>
          <w:tcPr>
            <w:tcW w:w="1560" w:type="dxa"/>
            <w:shd w:val="clear" w:color="auto" w:fill="auto"/>
            <w:tcMar>
              <w:top w:w="100" w:type="dxa"/>
              <w:left w:w="100" w:type="dxa"/>
              <w:bottom w:w="100" w:type="dxa"/>
              <w:right w:w="100" w:type="dxa"/>
            </w:tcMar>
          </w:tcPr>
          <w:p w:rsidR="00D915F8" w:rsidRDefault="005A42D6">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560" w:type="dxa"/>
            <w:shd w:val="clear" w:color="auto" w:fill="auto"/>
            <w:tcMar>
              <w:top w:w="100" w:type="dxa"/>
              <w:left w:w="100" w:type="dxa"/>
              <w:bottom w:w="100" w:type="dxa"/>
              <w:right w:w="100" w:type="dxa"/>
            </w:tcMar>
          </w:tcPr>
          <w:p w:rsidR="00D915F8" w:rsidRDefault="005A42D6">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 </w:t>
            </w:r>
          </w:p>
        </w:tc>
        <w:tc>
          <w:tcPr>
            <w:tcW w:w="1560" w:type="dxa"/>
            <w:shd w:val="clear" w:color="auto" w:fill="auto"/>
            <w:tcMar>
              <w:top w:w="100" w:type="dxa"/>
              <w:left w:w="100" w:type="dxa"/>
              <w:bottom w:w="100" w:type="dxa"/>
              <w:right w:w="100" w:type="dxa"/>
            </w:tcMar>
          </w:tcPr>
          <w:p w:rsidR="00D915F8" w:rsidRDefault="005A42D6">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 </w:t>
            </w:r>
          </w:p>
        </w:tc>
        <w:tc>
          <w:tcPr>
            <w:tcW w:w="1560" w:type="dxa"/>
            <w:shd w:val="clear" w:color="auto" w:fill="auto"/>
            <w:tcMar>
              <w:top w:w="100" w:type="dxa"/>
              <w:left w:w="100" w:type="dxa"/>
              <w:bottom w:w="100" w:type="dxa"/>
              <w:right w:w="100" w:type="dxa"/>
            </w:tcMar>
          </w:tcPr>
          <w:p w:rsidR="00D915F8" w:rsidRDefault="005A42D6">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560" w:type="dxa"/>
            <w:shd w:val="clear" w:color="auto" w:fill="auto"/>
            <w:tcMar>
              <w:top w:w="100" w:type="dxa"/>
              <w:left w:w="100" w:type="dxa"/>
              <w:bottom w:w="100" w:type="dxa"/>
              <w:right w:w="100" w:type="dxa"/>
            </w:tcMar>
          </w:tcPr>
          <w:p w:rsidR="00D915F8" w:rsidRDefault="005A42D6">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Competitive Parity</w:t>
            </w:r>
          </w:p>
        </w:tc>
      </w:tr>
    </w:tbl>
    <w:p w:rsidR="00D915F8" w:rsidRDefault="005A42D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found that TNF’s major advantages are its brand equity and material innovation and both of which are difficult for competitors to replicate.</w:t>
      </w:r>
    </w:p>
    <w:p w:rsidR="00D915F8" w:rsidRDefault="005A42D6">
      <w:pPr>
        <w:pStyle w:val="Heading1"/>
      </w:pPr>
      <w:bookmarkStart w:id="10" w:name="_heading=h.17j6rls4rdmf" w:colFirst="0" w:colLast="0"/>
      <w:bookmarkEnd w:id="10"/>
      <w:r>
        <w:t xml:space="preserve">4. Strategic Development and Formulation </w:t>
      </w:r>
    </w:p>
    <w:p w:rsidR="00D915F8" w:rsidRDefault="005A42D6">
      <w:pPr>
        <w:pStyle w:val="Heading2"/>
      </w:pPr>
      <w:bookmarkStart w:id="11" w:name="_heading=h.4alz9wfiimcu" w:colFirst="0" w:colLast="0"/>
      <w:bookmarkEnd w:id="11"/>
      <w:r>
        <w:t xml:space="preserve">4.1. Strategic Direction: Market development </w:t>
      </w:r>
    </w:p>
    <w:p w:rsidR="00D915F8" w:rsidRDefault="005A42D6">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Being an outdoor clothing and gear company, The North Face focuses on a consumer-centric strategy that focuses on digital channels, most importantly, Direct-to-consumer (DTC) digital channels. An STP analysis of the company assesses that it primarily focus</w:t>
      </w:r>
      <w:r>
        <w:rPr>
          <w:rFonts w:ascii="Times New Roman" w:eastAsia="Times New Roman" w:hAnsi="Times New Roman" w:cs="Times New Roman"/>
          <w:sz w:val="24"/>
          <w:szCs w:val="24"/>
        </w:rPr>
        <w:t xml:space="preserve">es on heavy gear and </w:t>
      </w:r>
      <w:r>
        <w:rPr>
          <w:rFonts w:ascii="Times New Roman" w:eastAsia="Times New Roman" w:hAnsi="Times New Roman" w:cs="Times New Roman"/>
          <w:sz w:val="24"/>
          <w:szCs w:val="24"/>
        </w:rPr>
        <w:lastRenderedPageBreak/>
        <w:t xml:space="preserve">clothes for cold weather in countries such as Canada and the USA. With an extensive range of clothes and accessories for men, women, and children, the company targets outdoor enthusiasts and adventure lovers. </w:t>
      </w:r>
    </w:p>
    <w:p w:rsidR="00D915F8" w:rsidRDefault="005A42D6">
      <w:pPr>
        <w:spacing w:before="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drawing>
          <wp:inline distT="114300" distB="114300" distL="114300" distR="114300">
            <wp:extent cx="5003150" cy="4642346"/>
            <wp:effectExtent l="25400" t="25400" r="25400" b="25400"/>
            <wp:docPr id="1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003150" cy="4642346"/>
                    </a:xfrm>
                    <a:prstGeom prst="rect">
                      <a:avLst/>
                    </a:prstGeom>
                    <a:ln w="25400">
                      <a:solidFill>
                        <a:srgbClr val="000000"/>
                      </a:solidFill>
                      <a:prstDash val="solid"/>
                    </a:ln>
                  </pic:spPr>
                </pic:pic>
              </a:graphicData>
            </a:graphic>
          </wp:inline>
        </w:drawing>
      </w:r>
    </w:p>
    <w:p w:rsidR="00D915F8" w:rsidRDefault="005A42D6">
      <w:pPr>
        <w:spacing w:before="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STP Analysis</w:t>
      </w:r>
    </w:p>
    <w:p w:rsidR="00D915F8" w:rsidRDefault="005A42D6">
      <w:pPr>
        <w:spacing w:before="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Creately, 2025)</w:t>
      </w:r>
    </w:p>
    <w:p w:rsidR="00D915F8" w:rsidRDefault="005A42D6">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Segmentation: </w:t>
      </w:r>
      <w:r>
        <w:rPr>
          <w:rFonts w:ascii="Times New Roman" w:eastAsia="Times New Roman" w:hAnsi="Times New Roman" w:cs="Times New Roman"/>
          <w:sz w:val="24"/>
          <w:szCs w:val="24"/>
        </w:rPr>
        <w:t>The segmentation of the company focuses on the entire world, most importantly, the colder regions. It also offers significant outdoor recreation, but also targets specific urban centers where a fashion-forward cliente</w:t>
      </w:r>
      <w:r>
        <w:rPr>
          <w:rFonts w:ascii="Times New Roman" w:eastAsia="Times New Roman" w:hAnsi="Times New Roman" w:cs="Times New Roman"/>
          <w:sz w:val="24"/>
          <w:szCs w:val="24"/>
        </w:rPr>
        <w:t>le resides. Insights Team (2022) explains that the company has a focus on the age of 18-24, but it also focuses on college students and professionals between the ages of 24 to 45. However, it only targets the outdoor enthusiasts and the lifestyle consumers</w:t>
      </w:r>
      <w:r>
        <w:rPr>
          <w:rFonts w:ascii="Times New Roman" w:eastAsia="Times New Roman" w:hAnsi="Times New Roman" w:cs="Times New Roman"/>
          <w:sz w:val="24"/>
          <w:szCs w:val="24"/>
        </w:rPr>
        <w:t xml:space="preserve">, who are drawn to the brand image and the style of the company. </w:t>
      </w:r>
    </w:p>
    <w:p w:rsidR="00D915F8" w:rsidRDefault="005A42D6">
      <w:pPr>
        <w:spacing w:before="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lastRenderedPageBreak/>
        <w:drawing>
          <wp:inline distT="114300" distB="114300" distL="114300" distR="114300">
            <wp:extent cx="5943600" cy="3340100"/>
            <wp:effectExtent l="25400" t="25400" r="25400" b="25400"/>
            <wp:docPr id="19"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3"/>
                    <a:srcRect/>
                    <a:stretch>
                      <a:fillRect/>
                    </a:stretch>
                  </pic:blipFill>
                  <pic:spPr>
                    <a:xfrm>
                      <a:off x="0" y="0"/>
                      <a:ext cx="5943600" cy="3340100"/>
                    </a:xfrm>
                    <a:prstGeom prst="rect">
                      <a:avLst/>
                    </a:prstGeom>
                    <a:ln w="25400">
                      <a:solidFill>
                        <a:srgbClr val="000000"/>
                      </a:solidFill>
                      <a:prstDash val="solid"/>
                    </a:ln>
                  </pic:spPr>
                </pic:pic>
              </a:graphicData>
            </a:graphic>
          </wp:inline>
        </w:drawing>
      </w:r>
    </w:p>
    <w:p w:rsidR="00D915F8" w:rsidRDefault="005A42D6">
      <w:pPr>
        <w:spacing w:before="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Audience Demographics of The North Face</w:t>
      </w:r>
    </w:p>
    <w:p w:rsidR="00D915F8" w:rsidRDefault="005A42D6">
      <w:pPr>
        <w:spacing w:before="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Insights Team, 2022)</w:t>
      </w:r>
    </w:p>
    <w:p w:rsidR="00D915F8" w:rsidRDefault="005A42D6">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Targeting:</w:t>
      </w:r>
      <w:r>
        <w:rPr>
          <w:rFonts w:ascii="Times New Roman" w:eastAsia="Times New Roman" w:hAnsi="Times New Roman" w:cs="Times New Roman"/>
          <w:sz w:val="24"/>
          <w:szCs w:val="24"/>
        </w:rPr>
        <w:t xml:space="preserve"> The company targets adventurous individuals and athletes who need high-performance gear and value d</w:t>
      </w:r>
      <w:r>
        <w:rPr>
          <w:rFonts w:ascii="Times New Roman" w:eastAsia="Times New Roman" w:hAnsi="Times New Roman" w:cs="Times New Roman"/>
          <w:sz w:val="24"/>
          <w:szCs w:val="24"/>
        </w:rPr>
        <w:t>urability and innovation. They often have disposable income to spend on premium and high-quality products (badertbw, 2020). Due to the sustainable practices of the company, many customers are drawn to it, and it is because of the environmental responsibili</w:t>
      </w:r>
      <w:r>
        <w:rPr>
          <w:rFonts w:ascii="Times New Roman" w:eastAsia="Times New Roman" w:hAnsi="Times New Roman" w:cs="Times New Roman"/>
          <w:sz w:val="24"/>
          <w:szCs w:val="24"/>
        </w:rPr>
        <w:t xml:space="preserve">ty it has towards sustainable materials. </w:t>
      </w:r>
    </w:p>
    <w:p w:rsidR="00D915F8" w:rsidRDefault="005A42D6">
      <w:pPr>
        <w:spacing w:before="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lastRenderedPageBreak/>
        <w:drawing>
          <wp:inline distT="114300" distB="114300" distL="114300" distR="114300">
            <wp:extent cx="5342164" cy="3595688"/>
            <wp:effectExtent l="25400" t="25400" r="25400" b="25400"/>
            <wp:docPr id="18"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4"/>
                    <a:srcRect/>
                    <a:stretch>
                      <a:fillRect/>
                    </a:stretch>
                  </pic:blipFill>
                  <pic:spPr>
                    <a:xfrm>
                      <a:off x="0" y="0"/>
                      <a:ext cx="5342164" cy="3595688"/>
                    </a:xfrm>
                    <a:prstGeom prst="rect">
                      <a:avLst/>
                    </a:prstGeom>
                    <a:ln w="25400">
                      <a:solidFill>
                        <a:srgbClr val="000000"/>
                      </a:solidFill>
                      <a:prstDash val="solid"/>
                    </a:ln>
                  </pic:spPr>
                </pic:pic>
              </a:graphicData>
            </a:graphic>
          </wp:inline>
        </w:drawing>
      </w:r>
    </w:p>
    <w:p w:rsidR="00D915F8" w:rsidRDefault="005A42D6">
      <w:pPr>
        <w:spacing w:before="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The Targets of The North Face</w:t>
      </w:r>
    </w:p>
    <w:p w:rsidR="00D915F8" w:rsidRDefault="005A42D6">
      <w:pPr>
        <w:spacing w:before="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Insights Team, 2022)</w:t>
      </w:r>
    </w:p>
    <w:p w:rsidR="00D915F8" w:rsidRDefault="005A42D6">
      <w:pPr>
        <w:spacing w:before="20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Positioning:</w:t>
      </w:r>
      <w:r>
        <w:rPr>
          <w:rFonts w:ascii="Times New Roman" w:eastAsia="Times New Roman" w:hAnsi="Times New Roman" w:cs="Times New Roman"/>
          <w:sz w:val="24"/>
          <w:szCs w:val="24"/>
        </w:rPr>
        <w:t xml:space="preserve"> The positioning strategy for the company is based on the segmenting and targeting factors of the company. It positions itself as a </w:t>
      </w:r>
      <w:r>
        <w:rPr>
          <w:rFonts w:ascii="Times New Roman" w:eastAsia="Times New Roman" w:hAnsi="Times New Roman" w:cs="Times New Roman"/>
          <w:sz w:val="24"/>
          <w:szCs w:val="24"/>
        </w:rPr>
        <w:t xml:space="preserve">technical and reliable brand for serious outdoor enthusiasts, with products designed to withstand the harshest conditions (Studocu, 2022). The use of storytelling and imagery in their advertisements is deemed successful, and it connects with the consumers </w:t>
      </w:r>
      <w:r>
        <w:rPr>
          <w:rFonts w:ascii="Times New Roman" w:eastAsia="Times New Roman" w:hAnsi="Times New Roman" w:cs="Times New Roman"/>
          <w:sz w:val="24"/>
          <w:szCs w:val="24"/>
        </w:rPr>
        <w:t>on an emotional level.</w:t>
      </w:r>
    </w:p>
    <w:p w:rsidR="00D915F8" w:rsidRDefault="005A42D6">
      <w:pPr>
        <w:pStyle w:val="Heading2"/>
      </w:pPr>
      <w:bookmarkStart w:id="12" w:name="_heading=h.nsjiq33obzkx" w:colFirst="0" w:colLast="0"/>
      <w:bookmarkEnd w:id="12"/>
      <w:r>
        <w:t>4.2. Entry Strategy</w:t>
      </w:r>
    </w:p>
    <w:p w:rsidR="00D915F8" w:rsidRDefault="005A42D6">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uses a mix of entry strategies and modes worldwide, most importantly by establishing joint ventures and foreign direct investments (FDI). The International Trade Administration (2023) explains that New</w:t>
      </w:r>
      <w:r>
        <w:rPr>
          <w:rFonts w:ascii="Times New Roman" w:eastAsia="Times New Roman" w:hAnsi="Times New Roman" w:cs="Times New Roman"/>
          <w:sz w:val="24"/>
          <w:szCs w:val="24"/>
        </w:rPr>
        <w:t xml:space="preserve"> Zealand requires a thorough understanding of the market and the entry strategies that can be successful. Thus, it requires a partnership with other companies to get access to the market of the country. In the USA, however, the company focuses on improving</w:t>
      </w:r>
      <w:r>
        <w:rPr>
          <w:rFonts w:ascii="Times New Roman" w:eastAsia="Times New Roman" w:hAnsi="Times New Roman" w:cs="Times New Roman"/>
          <w:sz w:val="24"/>
          <w:szCs w:val="24"/>
        </w:rPr>
        <w:t xml:space="preserve"> its domestic strategies by establishing retail stores and e-commerce platforms. It can also expand in the country by implementing corporate-owned stores and developing partnerships with other </w:t>
      </w:r>
      <w:r>
        <w:rPr>
          <w:rFonts w:ascii="Times New Roman" w:eastAsia="Times New Roman" w:hAnsi="Times New Roman" w:cs="Times New Roman"/>
          <w:sz w:val="24"/>
          <w:szCs w:val="24"/>
        </w:rPr>
        <w:lastRenderedPageBreak/>
        <w:t>companies (Kuraś, 2023). The company was acquired by VF Corpora</w:t>
      </w:r>
      <w:r>
        <w:rPr>
          <w:rFonts w:ascii="Times New Roman" w:eastAsia="Times New Roman" w:hAnsi="Times New Roman" w:cs="Times New Roman"/>
          <w:sz w:val="24"/>
          <w:szCs w:val="24"/>
        </w:rPr>
        <w:t xml:space="preserve">tion in 2000, indicating the use of acquisition as a significant entry mode for consolidating ownership and expanding its brand portfolio. </w:t>
      </w:r>
    </w:p>
    <w:p w:rsidR="00D915F8" w:rsidRDefault="005A42D6">
      <w:pPr>
        <w:spacing w:before="20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Choosing the correct entry mode for a company to enter a country is significant as it can assess if the company will</w:t>
      </w:r>
      <w:r>
        <w:rPr>
          <w:rFonts w:ascii="Times New Roman" w:eastAsia="Times New Roman" w:hAnsi="Times New Roman" w:cs="Times New Roman"/>
          <w:sz w:val="24"/>
          <w:szCs w:val="24"/>
        </w:rPr>
        <w:t xml:space="preserve"> succeed or fail in the country. The choice of entry mode depends on factors such as the desired degree of control, the level of risk, the capital investment required, and the availability of local market knowledge. The North Face uses a mix of joint ventu</w:t>
      </w:r>
      <w:r>
        <w:rPr>
          <w:rFonts w:ascii="Times New Roman" w:eastAsia="Times New Roman" w:hAnsi="Times New Roman" w:cs="Times New Roman"/>
          <w:sz w:val="24"/>
          <w:szCs w:val="24"/>
        </w:rPr>
        <w:t>res and FDIs to become a leading player in the New Zealand market. Joint ventures create a partnership between two or more companies to create a new business, and allow for shared investment costs and local market knowledge, but with shared control (VMSD S</w:t>
      </w:r>
      <w:r>
        <w:rPr>
          <w:rFonts w:ascii="Times New Roman" w:eastAsia="Times New Roman" w:hAnsi="Times New Roman" w:cs="Times New Roman"/>
          <w:sz w:val="24"/>
          <w:szCs w:val="24"/>
        </w:rPr>
        <w:t>taff, 2022). Meanwhile, the FDI acquires direct control to gain a significant presence in the country. This likely emphasises the local relationship of its customers with the global company and prioritises trust and rapport to cater to the local needs. How</w:t>
      </w:r>
      <w:r>
        <w:rPr>
          <w:rFonts w:ascii="Times New Roman" w:eastAsia="Times New Roman" w:hAnsi="Times New Roman" w:cs="Times New Roman"/>
          <w:sz w:val="24"/>
          <w:szCs w:val="24"/>
        </w:rPr>
        <w:t xml:space="preserve">ever, even with joint ventures and FDIs being dominant modes, it also uses wholly owned subsidiaries from time to time. </w:t>
      </w:r>
    </w:p>
    <w:p w:rsidR="00D915F8" w:rsidRDefault="005A42D6">
      <w:pPr>
        <w:pStyle w:val="Heading2"/>
      </w:pPr>
      <w:bookmarkStart w:id="13" w:name="_heading=h.cfuya3w87z4y" w:colFirst="0" w:colLast="0"/>
      <w:bookmarkEnd w:id="13"/>
      <w:r>
        <w:t>4.3. Sustainable Competitive Advantage</w:t>
      </w:r>
    </w:p>
    <w:p w:rsidR="00D915F8" w:rsidRDefault="005A42D6">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most important factor for achieving sustainable competitive advantage for The North Face is </w:t>
      </w:r>
      <w:r>
        <w:rPr>
          <w:rFonts w:ascii="Times New Roman" w:eastAsia="Times New Roman" w:hAnsi="Times New Roman" w:cs="Times New Roman"/>
          <w:sz w:val="24"/>
          <w:szCs w:val="24"/>
        </w:rPr>
        <w:t xml:space="preserve">to establish a strong brand reputation and create high-quality products. The North Face is known for producing high-quality gear that is built to last beyond seasonal trends, which builds customer trust and loyalty. This allows for robust customer loyalty </w:t>
      </w:r>
      <w:r>
        <w:rPr>
          <w:rFonts w:ascii="Times New Roman" w:eastAsia="Times New Roman" w:hAnsi="Times New Roman" w:cs="Times New Roman"/>
          <w:sz w:val="24"/>
          <w:szCs w:val="24"/>
        </w:rPr>
        <w:t>and premium pricing (The North Face, 2023a). The company commits to giving “New life to old gear”, so the environmentally concerned customers can use its products to dispose of them more carefully. The company also has a long-term reputation for quality an</w:t>
      </w:r>
      <w:r>
        <w:rPr>
          <w:rFonts w:ascii="Times New Roman" w:eastAsia="Times New Roman" w:hAnsi="Times New Roman" w:cs="Times New Roman"/>
          <w:sz w:val="24"/>
          <w:szCs w:val="24"/>
        </w:rPr>
        <w:t xml:space="preserve">d performance management, with the outdoor and adventure market in mind. With its global reach, the company establishes its retail presence not in the USA but in New Zealand as well. </w:t>
      </w:r>
    </w:p>
    <w:p w:rsidR="00D915F8" w:rsidRDefault="005A42D6">
      <w:pPr>
        <w:spacing w:before="200" w:line="360" w:lineRule="auto"/>
        <w:jc w:val="both"/>
      </w:pPr>
      <w:r>
        <w:rPr>
          <w:rFonts w:ascii="Times New Roman" w:eastAsia="Times New Roman" w:hAnsi="Times New Roman" w:cs="Times New Roman"/>
          <w:sz w:val="24"/>
          <w:szCs w:val="24"/>
        </w:rPr>
        <w:t>The North Face implements various circular economy programs, such as the</w:t>
      </w:r>
      <w:r>
        <w:rPr>
          <w:rFonts w:ascii="Times New Roman" w:eastAsia="Times New Roman" w:hAnsi="Times New Roman" w:cs="Times New Roman"/>
          <w:sz w:val="24"/>
          <w:szCs w:val="24"/>
        </w:rPr>
        <w:t xml:space="preserve"> "Renewed" program and the "Clothes the Loop" program. The company is well-known for its use of sustainable materials, including recycled plastics for insulation in its Thermoball Eco series. Sustainability is a major factor, as the current economic models</w:t>
      </w:r>
      <w:r>
        <w:rPr>
          <w:rFonts w:ascii="Times New Roman" w:eastAsia="Times New Roman" w:hAnsi="Times New Roman" w:cs="Times New Roman"/>
          <w:sz w:val="24"/>
          <w:szCs w:val="24"/>
        </w:rPr>
        <w:t xml:space="preserve"> for the fashion industry lead to an exacerbation of the divide in many countries. Ethical and sustainable is a category, codified by aesthesism, and convinces the buyer (Rachini, 2021). The North Face focuses on responsible manufacturing </w:t>
      </w:r>
      <w:r>
        <w:rPr>
          <w:rFonts w:ascii="Times New Roman" w:eastAsia="Times New Roman" w:hAnsi="Times New Roman" w:cs="Times New Roman"/>
          <w:sz w:val="24"/>
          <w:szCs w:val="24"/>
        </w:rPr>
        <w:lastRenderedPageBreak/>
        <w:t>processes and has</w:t>
      </w:r>
      <w:r>
        <w:rPr>
          <w:rFonts w:ascii="Times New Roman" w:eastAsia="Times New Roman" w:hAnsi="Times New Roman" w:cs="Times New Roman"/>
          <w:sz w:val="24"/>
          <w:szCs w:val="24"/>
        </w:rPr>
        <w:t xml:space="preserve"> goals to use renewable energy in its facilities, aligning with growing consumer and regulatory demands for ethical practices. The company can integrate the sustainability strategies into its business to appeal to the growing market, with eco-conscious cho</w:t>
      </w:r>
      <w:r>
        <w:rPr>
          <w:rFonts w:ascii="Times New Roman" w:eastAsia="Times New Roman" w:hAnsi="Times New Roman" w:cs="Times New Roman"/>
          <w:sz w:val="24"/>
          <w:szCs w:val="24"/>
        </w:rPr>
        <w:t>ices. Sustainability heavily influences the supply chain of the company and reinforces its position in the market.</w:t>
      </w:r>
    </w:p>
    <w:p w:rsidR="00D915F8" w:rsidRDefault="005A42D6">
      <w:pPr>
        <w:pStyle w:val="Heading2"/>
      </w:pPr>
      <w:bookmarkStart w:id="14" w:name="_heading=h.ysk21t5thfhz" w:colFirst="0" w:colLast="0"/>
      <w:bookmarkEnd w:id="14"/>
      <w:r>
        <w:t>4.4. CSR and Ethical Strategy</w:t>
      </w:r>
    </w:p>
    <w:p w:rsidR="00D915F8" w:rsidRDefault="005A42D6">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CSR report of The North Face explains that the company primarily focuses on recycled and responsibly source</w:t>
      </w:r>
      <w:r>
        <w:rPr>
          <w:rFonts w:ascii="Times New Roman" w:eastAsia="Times New Roman" w:hAnsi="Times New Roman" w:cs="Times New Roman"/>
          <w:sz w:val="24"/>
          <w:szCs w:val="24"/>
        </w:rPr>
        <w:t>d materials across its supply chain and eliminates plastic usage. The company has an aim to use 100% recycled materials for production, and integrate regeneratively grown top materials by 2025 (2030 for footwear). The company works togather with its suppli</w:t>
      </w:r>
      <w:r>
        <w:rPr>
          <w:rFonts w:ascii="Times New Roman" w:eastAsia="Times New Roman" w:hAnsi="Times New Roman" w:cs="Times New Roman"/>
          <w:sz w:val="24"/>
          <w:szCs w:val="24"/>
        </w:rPr>
        <w:t>ers to reduce the emission of greenhouse gases by 50% by 2030 (The North Face, 2022). The company also has an overall aim to reduce its Scope 3 emissions by 30% by 2027, which can be a significant decrease from 2019. This includes the use of recycled mater</w:t>
      </w:r>
      <w:r>
        <w:rPr>
          <w:rFonts w:ascii="Times New Roman" w:eastAsia="Times New Roman" w:hAnsi="Times New Roman" w:cs="Times New Roman"/>
          <w:sz w:val="24"/>
          <w:szCs w:val="24"/>
        </w:rPr>
        <w:t xml:space="preserve">ials, such as recycled polyester and organic cotton, that can replace the PFAS-based water repellency chemicals with non-perfluorinated options. The company makes commitments that it can implement the use of reusing packaging, while eliminating single-use </w:t>
      </w:r>
      <w:r>
        <w:rPr>
          <w:rFonts w:ascii="Times New Roman" w:eastAsia="Times New Roman" w:hAnsi="Times New Roman" w:cs="Times New Roman"/>
          <w:sz w:val="24"/>
          <w:szCs w:val="24"/>
        </w:rPr>
        <w:t xml:space="preserve">plastic packaging by the end of 2025, and make the packaging materials more durable and recyclable. The company uses synthetic materials to reduce dependence on fossil fuels. </w:t>
      </w:r>
    </w:p>
    <w:p w:rsidR="00D915F8" w:rsidRDefault="005A42D6">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drawing>
          <wp:inline distT="114300" distB="114300" distL="114300" distR="114300">
            <wp:extent cx="4610100" cy="2600325"/>
            <wp:effectExtent l="25400" t="25400" r="25400" b="25400"/>
            <wp:docPr id="2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5"/>
                    <a:srcRect/>
                    <a:stretch>
                      <a:fillRect/>
                    </a:stretch>
                  </pic:blipFill>
                  <pic:spPr>
                    <a:xfrm>
                      <a:off x="0" y="0"/>
                      <a:ext cx="4610100" cy="2600325"/>
                    </a:xfrm>
                    <a:prstGeom prst="rect">
                      <a:avLst/>
                    </a:prstGeom>
                    <a:ln w="25400">
                      <a:solidFill>
                        <a:srgbClr val="000000"/>
                      </a:solidFill>
                      <a:prstDash val="solid"/>
                    </a:ln>
                  </pic:spPr>
                </pic:pic>
              </a:graphicData>
            </a:graphic>
          </wp:inline>
        </w:drawing>
      </w:r>
    </w:p>
    <w:p w:rsidR="00D915F8" w:rsidRDefault="005A42D6">
      <w:pPr>
        <w:spacing w:before="200" w:after="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Sustainability Strategies of The North Face (1)</w:t>
      </w:r>
    </w:p>
    <w:p w:rsidR="00D915F8" w:rsidRDefault="005A42D6">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(Source: The North Face, 2025)</w:t>
      </w:r>
    </w:p>
    <w:p w:rsidR="00D915F8" w:rsidRDefault="005A42D6">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drawing>
          <wp:inline distT="114300" distB="114300" distL="114300" distR="114300">
            <wp:extent cx="2362200" cy="2705100"/>
            <wp:effectExtent l="25400" t="25400" r="25400" b="25400"/>
            <wp:docPr id="2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a:srcRect/>
                    <a:stretch>
                      <a:fillRect/>
                    </a:stretch>
                  </pic:blipFill>
                  <pic:spPr>
                    <a:xfrm>
                      <a:off x="0" y="0"/>
                      <a:ext cx="2362200" cy="2705100"/>
                    </a:xfrm>
                    <a:prstGeom prst="rect">
                      <a:avLst/>
                    </a:prstGeom>
                    <a:ln w="25400">
                      <a:solidFill>
                        <a:srgbClr val="000000"/>
                      </a:solidFill>
                      <a:prstDash val="solid"/>
                    </a:ln>
                  </pic:spPr>
                </pic:pic>
              </a:graphicData>
            </a:graphic>
          </wp:inline>
        </w:drawing>
      </w:r>
    </w:p>
    <w:p w:rsidR="00D915F8" w:rsidRDefault="005A42D6">
      <w:pPr>
        <w:spacing w:before="200" w:after="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Sustainability Strategy of The North Face (2)</w:t>
      </w:r>
    </w:p>
    <w:p w:rsidR="00D915F8" w:rsidRDefault="005A42D6">
      <w:pPr>
        <w:spacing w:before="200" w:after="200" w:line="360" w:lineRule="auto"/>
        <w:jc w:val="center"/>
      </w:pPr>
      <w:r>
        <w:rPr>
          <w:rFonts w:ascii="Times New Roman" w:eastAsia="Times New Roman" w:hAnsi="Times New Roman" w:cs="Times New Roman"/>
          <w:sz w:val="24"/>
          <w:szCs w:val="24"/>
        </w:rPr>
        <w:t>(Source: The North Face, 2025)</w:t>
      </w:r>
    </w:p>
    <w:p w:rsidR="00D915F8" w:rsidRDefault="005A42D6">
      <w:pPr>
        <w:pStyle w:val="Heading1"/>
      </w:pPr>
      <w:bookmarkStart w:id="15" w:name="_heading=h.xgwfgu1vad12" w:colFirst="0" w:colLast="0"/>
      <w:bookmarkEnd w:id="15"/>
      <w:r>
        <w:t xml:space="preserve">5. Performance Evaluation Framework </w:t>
      </w:r>
    </w:p>
    <w:p w:rsidR="00D915F8" w:rsidRDefault="005A42D6">
      <w:pPr>
        <w:pStyle w:val="Heading2"/>
      </w:pPr>
      <w:bookmarkStart w:id="16" w:name="_heading=h.hzjy9g0p72x" w:colFirst="0" w:colLast="0"/>
      <w:bookmarkEnd w:id="16"/>
      <w:r>
        <w:t>5.1.  Balanced Scorecard</w:t>
      </w:r>
    </w:p>
    <w:p w:rsidR="00D915F8" w:rsidRDefault="005A42D6">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Balanced Scorecard (BSC) is a management framework that evaluates perfor</w:t>
      </w:r>
      <w:r>
        <w:rPr>
          <w:rFonts w:ascii="Times New Roman" w:eastAsia="Times New Roman" w:hAnsi="Times New Roman" w:cs="Times New Roman"/>
          <w:sz w:val="24"/>
          <w:szCs w:val="24"/>
        </w:rPr>
        <w:t>mance with its four key perspectives, and these are financial, customer, internal processes, and lastly learning and growth. This framework was coined by Robert S. Kaplan and David P. Norton in 1992 (Madsen, 2025). The key functions of this framework may i</w:t>
      </w:r>
      <w:r>
        <w:rPr>
          <w:rFonts w:ascii="Times New Roman" w:eastAsia="Times New Roman" w:hAnsi="Times New Roman" w:cs="Times New Roman"/>
          <w:sz w:val="24"/>
          <w:szCs w:val="24"/>
        </w:rPr>
        <w:t xml:space="preserve">nvolve sustainable revenue growth, enhanced customer loyalty, enhanced supply chain and innovation, and developing employee skills. </w:t>
      </w:r>
    </w:p>
    <w:tbl>
      <w:tblPr>
        <w:tblStyle w:val="a2"/>
        <w:tblW w:w="936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45"/>
        <w:gridCol w:w="3375"/>
        <w:gridCol w:w="3540"/>
      </w:tblGrid>
      <w:tr w:rsidR="00D915F8">
        <w:tc>
          <w:tcPr>
            <w:tcW w:w="2445" w:type="dxa"/>
            <w:shd w:val="clear" w:color="auto" w:fill="auto"/>
            <w:tcMar>
              <w:top w:w="100" w:type="dxa"/>
              <w:left w:w="100" w:type="dxa"/>
              <w:bottom w:w="100" w:type="dxa"/>
              <w:right w:w="100" w:type="dxa"/>
            </w:tcMar>
          </w:tcPr>
          <w:p w:rsidR="00D915F8" w:rsidRDefault="005A42D6">
            <w:pPr>
              <w:widowControl w:val="0"/>
              <w:spacing w:before="20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Perspectives</w:t>
            </w:r>
          </w:p>
        </w:tc>
        <w:tc>
          <w:tcPr>
            <w:tcW w:w="3375" w:type="dxa"/>
            <w:shd w:val="clear" w:color="auto" w:fill="auto"/>
            <w:tcMar>
              <w:top w:w="100" w:type="dxa"/>
              <w:left w:w="100" w:type="dxa"/>
              <w:bottom w:w="100" w:type="dxa"/>
              <w:right w:w="100" w:type="dxa"/>
            </w:tcMar>
          </w:tcPr>
          <w:p w:rsidR="00D915F8" w:rsidRDefault="005A42D6">
            <w:pPr>
              <w:widowControl w:val="0"/>
              <w:spacing w:before="20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Strategic Objectives</w:t>
            </w:r>
          </w:p>
        </w:tc>
        <w:tc>
          <w:tcPr>
            <w:tcW w:w="3540" w:type="dxa"/>
            <w:shd w:val="clear" w:color="auto" w:fill="auto"/>
            <w:tcMar>
              <w:top w:w="100" w:type="dxa"/>
              <w:left w:w="100" w:type="dxa"/>
              <w:bottom w:w="100" w:type="dxa"/>
              <w:right w:w="100" w:type="dxa"/>
            </w:tcMar>
          </w:tcPr>
          <w:p w:rsidR="00D915F8" w:rsidRDefault="005A42D6">
            <w:pPr>
              <w:widowControl w:val="0"/>
              <w:spacing w:before="20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Key Performance Indicators (KPIs)</w:t>
            </w:r>
          </w:p>
        </w:tc>
      </w:tr>
      <w:tr w:rsidR="00D915F8">
        <w:tc>
          <w:tcPr>
            <w:tcW w:w="2445" w:type="dxa"/>
            <w:shd w:val="clear" w:color="auto" w:fill="auto"/>
            <w:tcMar>
              <w:top w:w="100" w:type="dxa"/>
              <w:left w:w="100" w:type="dxa"/>
              <w:bottom w:w="100" w:type="dxa"/>
              <w:right w:w="100" w:type="dxa"/>
            </w:tcMar>
          </w:tcPr>
          <w:p w:rsidR="00D915F8" w:rsidRDefault="005A42D6">
            <w:pPr>
              <w:widowControl w:val="0"/>
              <w:spacing w:before="20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Financial </w:t>
            </w:r>
          </w:p>
        </w:tc>
        <w:tc>
          <w:tcPr>
            <w:tcW w:w="3375" w:type="dxa"/>
            <w:shd w:val="clear" w:color="auto" w:fill="auto"/>
            <w:tcMar>
              <w:top w:w="100" w:type="dxa"/>
              <w:left w:w="100" w:type="dxa"/>
              <w:bottom w:w="100" w:type="dxa"/>
              <w:right w:w="100" w:type="dxa"/>
            </w:tcMar>
          </w:tcPr>
          <w:p w:rsidR="00D915F8" w:rsidRDefault="005A42D6">
            <w:pPr>
              <w:widowControl w:val="0"/>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needs to achieve revenue growth and profitability to drive sustainability and </w:t>
            </w:r>
            <w:r>
              <w:rPr>
                <w:rFonts w:ascii="Times New Roman" w:eastAsia="Times New Roman" w:hAnsi="Times New Roman" w:cs="Times New Roman"/>
                <w:sz w:val="24"/>
                <w:szCs w:val="24"/>
              </w:rPr>
              <w:lastRenderedPageBreak/>
              <w:t xml:space="preserve">financial stability. </w:t>
            </w:r>
          </w:p>
        </w:tc>
        <w:tc>
          <w:tcPr>
            <w:tcW w:w="3540" w:type="dxa"/>
            <w:shd w:val="clear" w:color="auto" w:fill="auto"/>
            <w:tcMar>
              <w:top w:w="100" w:type="dxa"/>
              <w:left w:w="100" w:type="dxa"/>
              <w:bottom w:w="100" w:type="dxa"/>
              <w:right w:w="100" w:type="dxa"/>
            </w:tcMar>
          </w:tcPr>
          <w:p w:rsidR="00D915F8" w:rsidRDefault="005A42D6">
            <w:pPr>
              <w:widowControl w:val="0"/>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KPIs of this perspective include a year-over-year revenue growth, understanding profit </w:t>
            </w:r>
            <w:r>
              <w:rPr>
                <w:rFonts w:ascii="Times New Roman" w:eastAsia="Times New Roman" w:hAnsi="Times New Roman" w:cs="Times New Roman"/>
                <w:sz w:val="24"/>
                <w:szCs w:val="24"/>
              </w:rPr>
              <w:lastRenderedPageBreak/>
              <w:t>margins, mainly gross and operating profit, Return on</w:t>
            </w:r>
            <w:r>
              <w:rPr>
                <w:rFonts w:ascii="Times New Roman" w:eastAsia="Times New Roman" w:hAnsi="Times New Roman" w:cs="Times New Roman"/>
                <w:sz w:val="24"/>
                <w:szCs w:val="24"/>
              </w:rPr>
              <w:t xml:space="preserve"> investment, and cash flow management. It focuses on traditional financial measures to ensure long-term financial health and value for the company and its shareholders. </w:t>
            </w:r>
          </w:p>
        </w:tc>
      </w:tr>
      <w:tr w:rsidR="00D915F8">
        <w:tc>
          <w:tcPr>
            <w:tcW w:w="2445" w:type="dxa"/>
            <w:shd w:val="clear" w:color="auto" w:fill="auto"/>
            <w:tcMar>
              <w:top w:w="100" w:type="dxa"/>
              <w:left w:w="100" w:type="dxa"/>
              <w:bottom w:w="100" w:type="dxa"/>
              <w:right w:w="100" w:type="dxa"/>
            </w:tcMar>
          </w:tcPr>
          <w:p w:rsidR="00D915F8" w:rsidRDefault="005A42D6">
            <w:pPr>
              <w:widowControl w:val="0"/>
              <w:spacing w:before="20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Customer</w:t>
            </w:r>
          </w:p>
        </w:tc>
        <w:tc>
          <w:tcPr>
            <w:tcW w:w="3375" w:type="dxa"/>
            <w:shd w:val="clear" w:color="auto" w:fill="auto"/>
            <w:tcMar>
              <w:top w:w="100" w:type="dxa"/>
              <w:left w:w="100" w:type="dxa"/>
              <w:bottom w:w="100" w:type="dxa"/>
              <w:right w:w="100" w:type="dxa"/>
            </w:tcMar>
          </w:tcPr>
          <w:p w:rsidR="00D915F8" w:rsidRDefault="005A42D6">
            <w:pPr>
              <w:widowControl w:val="0"/>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needs to enhance its customer loyalty and expand its market shar</w:t>
            </w:r>
            <w:r>
              <w:rPr>
                <w:rFonts w:ascii="Times New Roman" w:eastAsia="Times New Roman" w:hAnsi="Times New Roman" w:cs="Times New Roman"/>
                <w:sz w:val="24"/>
                <w:szCs w:val="24"/>
              </w:rPr>
              <w:t xml:space="preserve">e for superior quality and experience management. </w:t>
            </w:r>
          </w:p>
        </w:tc>
        <w:tc>
          <w:tcPr>
            <w:tcW w:w="3540" w:type="dxa"/>
            <w:shd w:val="clear" w:color="auto" w:fill="auto"/>
            <w:tcMar>
              <w:top w:w="100" w:type="dxa"/>
              <w:left w:w="100" w:type="dxa"/>
              <w:bottom w:w="100" w:type="dxa"/>
              <w:right w:w="100" w:type="dxa"/>
            </w:tcMar>
          </w:tcPr>
          <w:p w:rsidR="00D915F8" w:rsidRDefault="005A42D6">
            <w:pPr>
              <w:widowControl w:val="0"/>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KPIs of this perspective focus on the satisfaction scores of the customers, market share in the outdoor segments, customer retention rates, and brand perception to understand the engagement metrics. It</w:t>
            </w:r>
            <w:r>
              <w:rPr>
                <w:rFonts w:ascii="Times New Roman" w:eastAsia="Times New Roman" w:hAnsi="Times New Roman" w:cs="Times New Roman"/>
                <w:sz w:val="24"/>
                <w:szCs w:val="24"/>
              </w:rPr>
              <w:t xml:space="preserve"> is centered on delivering value to its customers by managing quality, service, and performance to achieve financial success (Balanced Scorecard Institute, 2024). </w:t>
            </w:r>
          </w:p>
        </w:tc>
      </w:tr>
      <w:tr w:rsidR="00D915F8">
        <w:tc>
          <w:tcPr>
            <w:tcW w:w="2445" w:type="dxa"/>
            <w:shd w:val="clear" w:color="auto" w:fill="auto"/>
            <w:tcMar>
              <w:top w:w="100" w:type="dxa"/>
              <w:left w:w="100" w:type="dxa"/>
              <w:bottom w:w="100" w:type="dxa"/>
              <w:right w:w="100" w:type="dxa"/>
            </w:tcMar>
          </w:tcPr>
          <w:p w:rsidR="00D915F8" w:rsidRDefault="005A42D6">
            <w:pPr>
              <w:widowControl w:val="0"/>
              <w:spacing w:before="20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Internal Processes</w:t>
            </w:r>
          </w:p>
        </w:tc>
        <w:tc>
          <w:tcPr>
            <w:tcW w:w="3375" w:type="dxa"/>
            <w:shd w:val="clear" w:color="auto" w:fill="auto"/>
            <w:tcMar>
              <w:top w:w="100" w:type="dxa"/>
              <w:left w:w="100" w:type="dxa"/>
              <w:bottom w:w="100" w:type="dxa"/>
              <w:right w:w="100" w:type="dxa"/>
            </w:tcMar>
          </w:tcPr>
          <w:p w:rsidR="00D915F8" w:rsidRDefault="005A42D6">
            <w:pPr>
              <w:widowControl w:val="0"/>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can optimise its supply chain and enhance its product innova</w:t>
            </w:r>
            <w:r>
              <w:rPr>
                <w:rFonts w:ascii="Times New Roman" w:eastAsia="Times New Roman" w:hAnsi="Times New Roman" w:cs="Times New Roman"/>
                <w:sz w:val="24"/>
                <w:szCs w:val="24"/>
              </w:rPr>
              <w:t xml:space="preserve">tion and quality to enable sustainable practices. </w:t>
            </w:r>
          </w:p>
        </w:tc>
        <w:tc>
          <w:tcPr>
            <w:tcW w:w="3540" w:type="dxa"/>
            <w:shd w:val="clear" w:color="auto" w:fill="auto"/>
            <w:tcMar>
              <w:top w:w="100" w:type="dxa"/>
              <w:left w:w="100" w:type="dxa"/>
              <w:bottom w:w="100" w:type="dxa"/>
              <w:right w:w="100" w:type="dxa"/>
            </w:tcMar>
          </w:tcPr>
          <w:p w:rsidR="00D915F8" w:rsidRDefault="005A42D6">
            <w:pPr>
              <w:widowControl w:val="0"/>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KPIs for this perspective include time-to-market for new products, supply chain efficiency, quality control metrics, and percentage of sustainable materials used in products. It helps the </w:t>
            </w:r>
            <w:r>
              <w:rPr>
                <w:rFonts w:ascii="Times New Roman" w:eastAsia="Times New Roman" w:hAnsi="Times New Roman" w:cs="Times New Roman"/>
                <w:sz w:val="24"/>
                <w:szCs w:val="24"/>
              </w:rPr>
              <w:lastRenderedPageBreak/>
              <w:t>company to id</w:t>
            </w:r>
            <w:r>
              <w:rPr>
                <w:rFonts w:ascii="Times New Roman" w:eastAsia="Times New Roman" w:hAnsi="Times New Roman" w:cs="Times New Roman"/>
                <w:sz w:val="24"/>
                <w:szCs w:val="24"/>
              </w:rPr>
              <w:t xml:space="preserve">entify the key operations so it can excel in satisfying its customers and achieve its financial objectives. The company also operates to attain innovation and operational excellence. </w:t>
            </w:r>
          </w:p>
        </w:tc>
      </w:tr>
      <w:tr w:rsidR="00D915F8">
        <w:trPr>
          <w:trHeight w:val="455"/>
        </w:trPr>
        <w:tc>
          <w:tcPr>
            <w:tcW w:w="2445" w:type="dxa"/>
            <w:shd w:val="clear" w:color="auto" w:fill="auto"/>
            <w:tcMar>
              <w:top w:w="100" w:type="dxa"/>
              <w:left w:w="100" w:type="dxa"/>
              <w:bottom w:w="100" w:type="dxa"/>
              <w:right w:w="100" w:type="dxa"/>
            </w:tcMar>
          </w:tcPr>
          <w:p w:rsidR="00D915F8" w:rsidRDefault="005A42D6">
            <w:pPr>
              <w:widowControl w:val="0"/>
              <w:spacing w:before="20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Learning and Growth</w:t>
            </w:r>
          </w:p>
        </w:tc>
        <w:tc>
          <w:tcPr>
            <w:tcW w:w="3375" w:type="dxa"/>
            <w:shd w:val="clear" w:color="auto" w:fill="auto"/>
            <w:tcMar>
              <w:top w:w="100" w:type="dxa"/>
              <w:left w:w="100" w:type="dxa"/>
              <w:bottom w:w="100" w:type="dxa"/>
              <w:right w:w="100" w:type="dxa"/>
            </w:tcMar>
          </w:tcPr>
          <w:p w:rsidR="00D915F8" w:rsidRDefault="005A42D6">
            <w:pPr>
              <w:widowControl w:val="0"/>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North Face needs to develop human capital to le</w:t>
            </w:r>
            <w:r>
              <w:rPr>
                <w:rFonts w:ascii="Times New Roman" w:eastAsia="Times New Roman" w:hAnsi="Times New Roman" w:cs="Times New Roman"/>
                <w:sz w:val="24"/>
                <w:szCs w:val="24"/>
              </w:rPr>
              <w:t xml:space="preserve">verage its technologies and foster a culture of innovation in the company for continuous improvement. </w:t>
            </w:r>
          </w:p>
        </w:tc>
        <w:tc>
          <w:tcPr>
            <w:tcW w:w="3540" w:type="dxa"/>
            <w:shd w:val="clear" w:color="auto" w:fill="auto"/>
            <w:tcMar>
              <w:top w:w="100" w:type="dxa"/>
              <w:left w:w="100" w:type="dxa"/>
              <w:bottom w:w="100" w:type="dxa"/>
              <w:right w:w="100" w:type="dxa"/>
            </w:tcMar>
          </w:tcPr>
          <w:p w:rsidR="00D915F8" w:rsidRDefault="005A42D6">
            <w:pPr>
              <w:widowControl w:val="0"/>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KPIs of this perspective are employee retention, training and development program, investment in R&amp;D, and the number of new patents and innovative ma</w:t>
            </w:r>
            <w:r>
              <w:rPr>
                <w:rFonts w:ascii="Times New Roman" w:eastAsia="Times New Roman" w:hAnsi="Times New Roman" w:cs="Times New Roman"/>
                <w:sz w:val="24"/>
                <w:szCs w:val="24"/>
              </w:rPr>
              <w:t xml:space="preserve">terials. The focus on intangible assets and performance helps with the people, system, and culture of the company to support the internal processes for long-term value. </w:t>
            </w:r>
          </w:p>
        </w:tc>
      </w:tr>
    </w:tbl>
    <w:p w:rsidR="00D915F8" w:rsidRDefault="005A42D6">
      <w:pPr>
        <w:spacing w:before="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Table: Balanced Scorecard</w:t>
      </w:r>
    </w:p>
    <w:p w:rsidR="00D915F8" w:rsidRDefault="005A42D6">
      <w:pPr>
        <w:spacing w:before="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rsidR="00D915F8" w:rsidRDefault="005A42D6">
      <w:pPr>
        <w:spacing w:before="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lastRenderedPageBreak/>
        <w:drawing>
          <wp:inline distT="114300" distB="114300" distL="114300" distR="114300">
            <wp:extent cx="5229225" cy="3343275"/>
            <wp:effectExtent l="25400" t="25400" r="25400" b="25400"/>
            <wp:docPr id="2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7"/>
                    <a:srcRect/>
                    <a:stretch>
                      <a:fillRect/>
                    </a:stretch>
                  </pic:blipFill>
                  <pic:spPr>
                    <a:xfrm>
                      <a:off x="0" y="0"/>
                      <a:ext cx="5229225" cy="3343275"/>
                    </a:xfrm>
                    <a:prstGeom prst="rect">
                      <a:avLst/>
                    </a:prstGeom>
                    <a:ln w="25400">
                      <a:solidFill>
                        <a:srgbClr val="000000"/>
                      </a:solidFill>
                      <a:prstDash val="solid"/>
                    </a:ln>
                  </pic:spPr>
                </pic:pic>
              </a:graphicData>
            </a:graphic>
          </wp:inline>
        </w:drawing>
      </w:r>
    </w:p>
    <w:p w:rsidR="00D915F8" w:rsidRDefault="005A42D6">
      <w:pPr>
        <w:spacing w:before="20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Balanced Scorecard</w:t>
      </w:r>
    </w:p>
    <w:p w:rsidR="00D915F8" w:rsidRDefault="005A42D6">
      <w:pPr>
        <w:spacing w:before="200" w:line="360" w:lineRule="auto"/>
        <w:jc w:val="center"/>
      </w:pPr>
      <w:r>
        <w:rPr>
          <w:rFonts w:ascii="Times New Roman" w:eastAsia="Times New Roman" w:hAnsi="Times New Roman" w:cs="Times New Roman"/>
          <w:sz w:val="24"/>
          <w:szCs w:val="24"/>
        </w:rPr>
        <w:t>(Source: The Strategy Institute, 2024)</w:t>
      </w:r>
    </w:p>
    <w:p w:rsidR="00D915F8" w:rsidRDefault="005A42D6">
      <w:pPr>
        <w:pStyle w:val="Heading2"/>
      </w:pPr>
      <w:bookmarkStart w:id="17" w:name="_heading=h.g08oummnf6jc" w:colFirst="0" w:colLast="0"/>
      <w:bookmarkEnd w:id="17"/>
      <w:r>
        <w:t>5.2. Triple Bottom Line (TBL)</w:t>
      </w:r>
    </w:p>
    <w:p w:rsidR="00D915F8" w:rsidRDefault="005A42D6">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Triple Bottom Line Framework is an accounting and business framework that posits that companies need to measure success on social and environmental performance. The three factors of t</w:t>
      </w:r>
      <w:r>
        <w:rPr>
          <w:rFonts w:ascii="Times New Roman" w:eastAsia="Times New Roman" w:hAnsi="Times New Roman" w:cs="Times New Roman"/>
          <w:sz w:val="24"/>
          <w:szCs w:val="24"/>
        </w:rPr>
        <w:t>he framework are: People, Planet, and Profit. The North Face’s Triple Bottom Line describes its commitment to implement social well-being and sustainability to attain environmental and financial success. The 3Ps of this model emphasise the financial value,</w:t>
      </w:r>
      <w:r>
        <w:rPr>
          <w:rFonts w:ascii="Times New Roman" w:eastAsia="Times New Roman" w:hAnsi="Times New Roman" w:cs="Times New Roman"/>
          <w:sz w:val="24"/>
          <w:szCs w:val="24"/>
        </w:rPr>
        <w:t xml:space="preserve"> economic standing, and revenues of the company (Miller, 2020). The company can use these categories to conceptualise the environmental responsibilities and determine any negative impacts. </w:t>
      </w:r>
    </w:p>
    <w:p w:rsidR="00D915F8" w:rsidRDefault="005A42D6">
      <w:pPr>
        <w:spacing w:before="200" w:after="240" w:line="360" w:lineRule="auto"/>
        <w:jc w:val="center"/>
        <w:rPr>
          <w:rFonts w:ascii="Times New Roman" w:eastAsia="Times New Roman" w:hAnsi="Times New Roman" w:cs="Times New Roman"/>
          <w:color w:val="222222"/>
          <w:sz w:val="24"/>
          <w:szCs w:val="24"/>
        </w:rPr>
      </w:pPr>
      <w:r>
        <w:rPr>
          <w:rFonts w:ascii="Times New Roman" w:eastAsia="Times New Roman" w:hAnsi="Times New Roman" w:cs="Times New Roman"/>
          <w:noProof/>
          <w:color w:val="222222"/>
          <w:sz w:val="24"/>
          <w:szCs w:val="24"/>
          <w:lang w:val="en-IN"/>
        </w:rPr>
        <w:lastRenderedPageBreak/>
        <w:drawing>
          <wp:inline distT="114300" distB="114300" distL="114300" distR="114300">
            <wp:extent cx="4876800" cy="2962275"/>
            <wp:effectExtent l="25400" t="25400" r="25400" b="25400"/>
            <wp:docPr id="2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8"/>
                    <a:srcRect/>
                    <a:stretch>
                      <a:fillRect/>
                    </a:stretch>
                  </pic:blipFill>
                  <pic:spPr>
                    <a:xfrm>
                      <a:off x="0" y="0"/>
                      <a:ext cx="4876800" cy="2962275"/>
                    </a:xfrm>
                    <a:prstGeom prst="rect">
                      <a:avLst/>
                    </a:prstGeom>
                    <a:ln w="25400">
                      <a:solidFill>
                        <a:srgbClr val="000000"/>
                      </a:solidFill>
                      <a:prstDash val="solid"/>
                    </a:ln>
                  </pic:spPr>
                </pic:pic>
              </a:graphicData>
            </a:graphic>
          </wp:inline>
        </w:drawing>
      </w:r>
    </w:p>
    <w:p w:rsidR="00D915F8" w:rsidRDefault="005A42D6">
      <w:pPr>
        <w:spacing w:before="200" w:after="24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Triple Bottom Line Framework</w:t>
      </w:r>
    </w:p>
    <w:p w:rsidR="00D915F8" w:rsidRDefault="005A42D6">
      <w:pPr>
        <w:spacing w:before="20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Miller, 2020)</w:t>
      </w:r>
    </w:p>
    <w:p w:rsidR="00D915F8" w:rsidRDefault="005A42D6">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People:</w:t>
      </w:r>
      <w:r>
        <w:rPr>
          <w:rFonts w:ascii="Times New Roman" w:eastAsia="Times New Roman" w:hAnsi="Times New Roman" w:cs="Times New Roman"/>
          <w:sz w:val="24"/>
          <w:szCs w:val="24"/>
        </w:rPr>
        <w:t xml:space="preserve"> This factor focuses on how the company supports explorers and provides them with gear and athletic wear to increase confidence and exploration. People are the social outcomes of this framework, and it is important to have a clear distinction betwee</w:t>
      </w:r>
      <w:r>
        <w:rPr>
          <w:rFonts w:ascii="Times New Roman" w:eastAsia="Times New Roman" w:hAnsi="Times New Roman" w:cs="Times New Roman"/>
          <w:sz w:val="24"/>
          <w:szCs w:val="24"/>
        </w:rPr>
        <w:t>n the shareholders and the stakeholders. With an increased demand for implementing sustainability into the operations of the company, it becomes a necessity to make an impact on people to ensure fair practices are used in the company (Miller, 2020). The No</w:t>
      </w:r>
      <w:r>
        <w:rPr>
          <w:rFonts w:ascii="Times New Roman" w:eastAsia="Times New Roman" w:hAnsi="Times New Roman" w:cs="Times New Roman"/>
          <w:sz w:val="24"/>
          <w:szCs w:val="24"/>
        </w:rPr>
        <w:t>rth Face can offer a lifetime warranty on many products, which leads to more repairs and less waste.</w:t>
      </w:r>
    </w:p>
    <w:p w:rsidR="00D915F8" w:rsidRDefault="005A42D6">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Planet:</w:t>
      </w:r>
      <w:r>
        <w:rPr>
          <w:rFonts w:ascii="Times New Roman" w:eastAsia="Times New Roman" w:hAnsi="Times New Roman" w:cs="Times New Roman"/>
          <w:sz w:val="24"/>
          <w:szCs w:val="24"/>
        </w:rPr>
        <w:t xml:space="preserve"> Planet refers to the environmental outcomes of this framework, and it provides a growing concern for the planet. The industrial revolution has cont</w:t>
      </w:r>
      <w:r>
        <w:rPr>
          <w:rFonts w:ascii="Times New Roman" w:eastAsia="Times New Roman" w:hAnsi="Times New Roman" w:cs="Times New Roman"/>
          <w:sz w:val="24"/>
          <w:szCs w:val="24"/>
        </w:rPr>
        <w:t xml:space="preserve">ributed to pollution in the environment, and it has turned into a key driving force for climate change and environmental concerns. It aims to use 100% responsibly-sourced fabrics, including a goal of 100% recycled polyester in its clothing line, with some </w:t>
      </w:r>
      <w:r>
        <w:rPr>
          <w:rFonts w:ascii="Times New Roman" w:eastAsia="Times New Roman" w:hAnsi="Times New Roman" w:cs="Times New Roman"/>
          <w:sz w:val="24"/>
          <w:szCs w:val="24"/>
        </w:rPr>
        <w:t xml:space="preserve">products already using recycled materials like plastic bottles. The development of recycling systems can use previously owned clothes and raw materials. The committee of the company commits to eliminating single-use plastic by 2025. </w:t>
      </w:r>
    </w:p>
    <w:p w:rsidR="00D915F8" w:rsidRDefault="005A42D6">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Profit: In a capitalis</w:t>
      </w:r>
      <w:r>
        <w:rPr>
          <w:rFonts w:ascii="Times New Roman" w:eastAsia="Times New Roman" w:hAnsi="Times New Roman" w:cs="Times New Roman"/>
          <w:sz w:val="24"/>
          <w:szCs w:val="24"/>
        </w:rPr>
        <w:t>t economy, a firm’s success is based on its financial performance, or even the profit it generates for shareholders. Strategic planning initiatives and key business decisions are generally carefully designed to maximise profits while reducing costs and mit</w:t>
      </w:r>
      <w:r>
        <w:rPr>
          <w:rFonts w:ascii="Times New Roman" w:eastAsia="Times New Roman" w:hAnsi="Times New Roman" w:cs="Times New Roman"/>
          <w:sz w:val="24"/>
          <w:szCs w:val="24"/>
        </w:rPr>
        <w:t xml:space="preserve">igating risk. It continues to grow its market share through strategic marketing and product lines designed for a wider customer base, as it cultivates a strong brand reputation to evaluate the social and environmental consciousness. </w:t>
      </w:r>
    </w:p>
    <w:p w:rsidR="00D915F8" w:rsidRDefault="005A42D6">
      <w:pPr>
        <w:spacing w:before="200" w:after="240" w:line="360" w:lineRule="auto"/>
        <w:jc w:val="center"/>
        <w:rPr>
          <w:rFonts w:ascii="Times New Roman" w:eastAsia="Times New Roman" w:hAnsi="Times New Roman" w:cs="Times New Roman"/>
          <w:color w:val="222222"/>
          <w:sz w:val="24"/>
          <w:szCs w:val="24"/>
        </w:rPr>
      </w:pPr>
      <w:r>
        <w:rPr>
          <w:rFonts w:ascii="Times New Roman" w:eastAsia="Times New Roman" w:hAnsi="Times New Roman" w:cs="Times New Roman"/>
          <w:noProof/>
          <w:color w:val="222222"/>
          <w:sz w:val="24"/>
          <w:szCs w:val="24"/>
          <w:lang w:val="en-IN"/>
        </w:rPr>
        <w:drawing>
          <wp:inline distT="114300" distB="114300" distL="114300" distR="114300">
            <wp:extent cx="5943600" cy="3060700"/>
            <wp:effectExtent l="25400" t="25400" r="25400" b="25400"/>
            <wp:docPr id="2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9"/>
                    <a:srcRect/>
                    <a:stretch>
                      <a:fillRect/>
                    </a:stretch>
                  </pic:blipFill>
                  <pic:spPr>
                    <a:xfrm>
                      <a:off x="0" y="0"/>
                      <a:ext cx="5943600" cy="3060700"/>
                    </a:xfrm>
                    <a:prstGeom prst="rect">
                      <a:avLst/>
                    </a:prstGeom>
                    <a:ln w="25400">
                      <a:solidFill>
                        <a:srgbClr val="000000"/>
                      </a:solidFill>
                      <a:prstDash val="solid"/>
                    </a:ln>
                  </pic:spPr>
                </pic:pic>
              </a:graphicData>
            </a:graphic>
          </wp:inline>
        </w:drawing>
      </w:r>
    </w:p>
    <w:p w:rsidR="00D915F8" w:rsidRDefault="005A42D6">
      <w:pPr>
        <w:spacing w:before="200" w:after="24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Revenue of The North Face</w:t>
      </w:r>
    </w:p>
    <w:p w:rsidR="00D915F8" w:rsidRDefault="005A42D6">
      <w:pPr>
        <w:spacing w:before="200" w:after="240" w:line="360" w:lineRule="auto"/>
        <w:jc w:val="center"/>
      </w:pPr>
      <w:r>
        <w:rPr>
          <w:rFonts w:ascii="Times New Roman" w:eastAsia="Times New Roman" w:hAnsi="Times New Roman" w:cs="Times New Roman"/>
          <w:sz w:val="24"/>
          <w:szCs w:val="24"/>
        </w:rPr>
        <w:t>(Source: McColl, 2025)</w:t>
      </w:r>
    </w:p>
    <w:p w:rsidR="00D915F8" w:rsidRDefault="005A42D6">
      <w:pPr>
        <w:pStyle w:val="Heading1"/>
      </w:pPr>
      <w:bookmarkStart w:id="18" w:name="_heading=h.npefphsara48" w:colFirst="0" w:colLast="0"/>
      <w:bookmarkEnd w:id="18"/>
      <w:r>
        <w:t>6. Conclusion</w:t>
      </w:r>
    </w:p>
    <w:p w:rsidR="00D915F8" w:rsidRDefault="005A42D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report critically evaluated The North Face's potential expansion into New Zealand using advanced strategic management frameworks. The analysis demonstrated a strong alignment betwe</w:t>
      </w:r>
      <w:r>
        <w:rPr>
          <w:rFonts w:ascii="Times New Roman" w:eastAsia="Times New Roman" w:hAnsi="Times New Roman" w:cs="Times New Roman"/>
          <w:sz w:val="24"/>
          <w:szCs w:val="24"/>
        </w:rPr>
        <w:t>en the brand's innovation-driven, sustainability-focused identity and New Zealand's outdoor lifestyle, environmental values, and tourism-driven demand. PESTLE and Porter's Five Forces indicated a stable, attractive macro-environment with high competitive i</w:t>
      </w:r>
      <w:r>
        <w:rPr>
          <w:rFonts w:ascii="Times New Roman" w:eastAsia="Times New Roman" w:hAnsi="Times New Roman" w:cs="Times New Roman"/>
          <w:sz w:val="24"/>
          <w:szCs w:val="24"/>
        </w:rPr>
        <w:t>ntensity but favourable conditions for differentiated premium brands. The Diamond Model highlighted strong demand conditions and supportive related industries, while VRIO confirmed The North Face's sustained competitive advantages in brand equity and produ</w:t>
      </w:r>
      <w:r>
        <w:rPr>
          <w:rFonts w:ascii="Times New Roman" w:eastAsia="Times New Roman" w:hAnsi="Times New Roman" w:cs="Times New Roman"/>
          <w:sz w:val="24"/>
          <w:szCs w:val="24"/>
        </w:rPr>
        <w:t xml:space="preserve">ct innovation. Based on these insights, an </w:t>
      </w:r>
      <w:r>
        <w:rPr>
          <w:rFonts w:ascii="Times New Roman" w:eastAsia="Times New Roman" w:hAnsi="Times New Roman" w:cs="Times New Roman"/>
          <w:sz w:val="24"/>
          <w:szCs w:val="24"/>
        </w:rPr>
        <w:lastRenderedPageBreak/>
        <w:t>omnichannel entry strategy-centred on a flagship Auckland store and integrated e-commerce was proposed to build market presence and leverage regional synergies. The Balanced Scorecard framework identified relevant</w:t>
      </w:r>
      <w:r>
        <w:rPr>
          <w:rFonts w:ascii="Times New Roman" w:eastAsia="Times New Roman" w:hAnsi="Times New Roman" w:cs="Times New Roman"/>
          <w:sz w:val="24"/>
          <w:szCs w:val="24"/>
        </w:rPr>
        <w:t xml:space="preserve"> KPIs to monitor financial performance, customer experience, operational efficiency and learning growth. Overall, New Zealand represents a strategically sound and high-potential market for The North Face's long-term international growth.</w:t>
      </w:r>
      <w:r>
        <w:br w:type="page"/>
      </w:r>
    </w:p>
    <w:p w:rsidR="00D915F8" w:rsidRDefault="005A42D6">
      <w:pPr>
        <w:pStyle w:val="Heading1"/>
      </w:pPr>
      <w:bookmarkStart w:id="19" w:name="_heading=h.5nmgqd908q46" w:colFirst="0" w:colLast="0"/>
      <w:bookmarkEnd w:id="19"/>
      <w:r>
        <w:lastRenderedPageBreak/>
        <w:t>Reference</w:t>
      </w:r>
    </w:p>
    <w:p w:rsidR="00D915F8" w:rsidRDefault="005A42D6">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badertb</w:t>
      </w:r>
      <w:r>
        <w:rPr>
          <w:rFonts w:ascii="Times New Roman" w:eastAsia="Times New Roman" w:hAnsi="Times New Roman" w:cs="Times New Roman"/>
          <w:sz w:val="24"/>
          <w:szCs w:val="24"/>
        </w:rPr>
        <w:t xml:space="preserve">w (2019). </w:t>
      </w:r>
      <w:r>
        <w:rPr>
          <w:rFonts w:ascii="Times New Roman" w:eastAsia="Times New Roman" w:hAnsi="Times New Roman" w:cs="Times New Roman"/>
          <w:i/>
          <w:iCs/>
          <w:sz w:val="24"/>
          <w:szCs w:val="24"/>
        </w:rPr>
        <w:t>The North Face Market Segmentation</w:t>
      </w:r>
      <w:r>
        <w:rPr>
          <w:rFonts w:ascii="Times New Roman" w:eastAsia="Times New Roman" w:hAnsi="Times New Roman" w:cs="Times New Roman"/>
          <w:sz w:val="24"/>
          <w:szCs w:val="24"/>
        </w:rPr>
        <w:t xml:space="preserve">. [online] Slideshare. Available at: </w:t>
      </w:r>
      <w:hyperlink r:id="rId20">
        <w:r>
          <w:rPr>
            <w:rFonts w:ascii="Times New Roman" w:eastAsia="Times New Roman" w:hAnsi="Times New Roman" w:cs="Times New Roman"/>
            <w:color w:val="1155CC"/>
            <w:sz w:val="24"/>
            <w:szCs w:val="24"/>
            <w:u w:val="single"/>
          </w:rPr>
          <w:t>https://www.slideshare.net/slideshow/north-face-for-interviews/1012689</w:t>
        </w:r>
      </w:hyperlink>
      <w:r>
        <w:rPr>
          <w:rFonts w:ascii="Times New Roman" w:eastAsia="Times New Roman" w:hAnsi="Times New Roman" w:cs="Times New Roman"/>
          <w:sz w:val="24"/>
          <w:szCs w:val="24"/>
        </w:rPr>
        <w:t xml:space="preserve"> [Accessed 19 N</w:t>
      </w:r>
      <w:r>
        <w:rPr>
          <w:rFonts w:ascii="Times New Roman" w:eastAsia="Times New Roman" w:hAnsi="Times New Roman" w:cs="Times New Roman"/>
          <w:sz w:val="24"/>
          <w:szCs w:val="24"/>
        </w:rPr>
        <w:t>ov. 2025].</w:t>
      </w:r>
    </w:p>
    <w:p w:rsidR="00D915F8" w:rsidRDefault="005A42D6">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Balanced Scorecard Institute (2024). </w:t>
      </w:r>
      <w:r>
        <w:rPr>
          <w:rFonts w:ascii="Times New Roman" w:eastAsia="Times New Roman" w:hAnsi="Times New Roman" w:cs="Times New Roman"/>
          <w:i/>
          <w:iCs/>
          <w:sz w:val="24"/>
          <w:szCs w:val="24"/>
        </w:rPr>
        <w:t>Balanced scorecard basics</w:t>
      </w:r>
      <w:r>
        <w:rPr>
          <w:rFonts w:ascii="Times New Roman" w:eastAsia="Times New Roman" w:hAnsi="Times New Roman" w:cs="Times New Roman"/>
          <w:sz w:val="24"/>
          <w:szCs w:val="24"/>
        </w:rPr>
        <w:t xml:space="preserve">. [online] Balanced Scorecard Institute. Available at: </w:t>
      </w:r>
      <w:hyperlink r:id="rId21">
        <w:r>
          <w:rPr>
            <w:rFonts w:ascii="Times New Roman" w:eastAsia="Times New Roman" w:hAnsi="Times New Roman" w:cs="Times New Roman"/>
            <w:color w:val="1155CC"/>
            <w:sz w:val="24"/>
            <w:szCs w:val="24"/>
            <w:u w:val="single"/>
          </w:rPr>
          <w:t>https://balancedscorecard.org/bsc-basics-overview/</w:t>
        </w:r>
      </w:hyperlink>
      <w:r>
        <w:rPr>
          <w:rFonts w:ascii="Times New Roman" w:eastAsia="Times New Roman" w:hAnsi="Times New Roman" w:cs="Times New Roman"/>
          <w:sz w:val="24"/>
          <w:szCs w:val="24"/>
        </w:rPr>
        <w:t xml:space="preserve"> [Accessed 19 Nov. 2025].</w:t>
      </w:r>
    </w:p>
    <w:p w:rsidR="00D915F8" w:rsidRDefault="005A42D6">
      <w:pP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Brändström, J., Jazairy, A. and Roos Lindgreen, E., 2024. Barriers to adopting circular business models: A cross‐sectoral analysis. </w:t>
      </w:r>
      <w:r>
        <w:rPr>
          <w:rFonts w:ascii="Times New Roman" w:eastAsia="Times New Roman" w:hAnsi="Times New Roman" w:cs="Times New Roman"/>
          <w:i/>
          <w:iCs/>
          <w:color w:val="222222"/>
          <w:sz w:val="24"/>
          <w:szCs w:val="24"/>
          <w:highlight w:val="white"/>
        </w:rPr>
        <w:t>Business Strategy and the Environment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33</w:t>
      </w:r>
      <w:r>
        <w:rPr>
          <w:rFonts w:ascii="Times New Roman" w:eastAsia="Times New Roman" w:hAnsi="Times New Roman" w:cs="Times New Roman"/>
          <w:color w:val="222222"/>
          <w:sz w:val="24"/>
          <w:szCs w:val="24"/>
          <w:highlight w:val="white"/>
        </w:rPr>
        <w:t>(5), pp.4331-4350.</w:t>
      </w:r>
      <w:hyperlink r:id="rId22">
        <w:r>
          <w:rPr>
            <w:rFonts w:ascii="Times New Roman" w:eastAsia="Times New Roman" w:hAnsi="Times New Roman" w:cs="Times New Roman"/>
            <w:color w:val="1155CC"/>
            <w:sz w:val="24"/>
            <w:szCs w:val="24"/>
            <w:highlight w:val="white"/>
            <w:u w:val="single"/>
          </w:rPr>
          <w:t>https://onlinelibrary.wiley.com/doi/abs/10.1002/bse.3653</w:t>
        </w:r>
      </w:hyperlink>
      <w:r>
        <w:rPr>
          <w:rFonts w:ascii="Times New Roman" w:eastAsia="Times New Roman" w:hAnsi="Times New Roman" w:cs="Times New Roman"/>
          <w:color w:val="222222"/>
          <w:sz w:val="24"/>
          <w:szCs w:val="24"/>
          <w:highlight w:val="white"/>
        </w:rPr>
        <w:t xml:space="preserve"> </w:t>
      </w:r>
    </w:p>
    <w:p w:rsidR="00D915F8" w:rsidRDefault="005A42D6">
      <w:pP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Charles, M. and Ochieng, S.B., 2023. Strategic outsourcing and firm performance: a review of literature. </w:t>
      </w:r>
      <w:r>
        <w:rPr>
          <w:rFonts w:ascii="Times New Roman" w:eastAsia="Times New Roman" w:hAnsi="Times New Roman" w:cs="Times New Roman"/>
          <w:i/>
          <w:iCs/>
          <w:color w:val="222222"/>
          <w:sz w:val="24"/>
          <w:szCs w:val="24"/>
          <w:highlight w:val="white"/>
        </w:rPr>
        <w:t>International Journal of Social Science and Humanities R</w:t>
      </w:r>
      <w:r>
        <w:rPr>
          <w:rFonts w:ascii="Times New Roman" w:eastAsia="Times New Roman" w:hAnsi="Times New Roman" w:cs="Times New Roman"/>
          <w:i/>
          <w:iCs/>
          <w:color w:val="222222"/>
          <w:sz w:val="24"/>
          <w:szCs w:val="24"/>
          <w:highlight w:val="white"/>
        </w:rPr>
        <w:t>esearch (IJSSHR) ISSN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w:t>
      </w:r>
      <w:r>
        <w:rPr>
          <w:rFonts w:ascii="Times New Roman" w:eastAsia="Times New Roman" w:hAnsi="Times New Roman" w:cs="Times New Roman"/>
          <w:color w:val="222222"/>
          <w:sz w:val="24"/>
          <w:szCs w:val="24"/>
          <w:highlight w:val="white"/>
        </w:rPr>
        <w:t>(1), pp.20-29.</w:t>
      </w:r>
      <w:hyperlink r:id="rId23">
        <w:r>
          <w:rPr>
            <w:rFonts w:ascii="Times New Roman" w:eastAsia="Times New Roman" w:hAnsi="Times New Roman" w:cs="Times New Roman"/>
            <w:color w:val="1155CC"/>
            <w:sz w:val="24"/>
            <w:szCs w:val="24"/>
            <w:highlight w:val="white"/>
            <w:u w:val="single"/>
          </w:rPr>
          <w:t>https://www.researchgate.net/profile/Muo-Charles/publication/372748300_Strategic_Outsourcing_and_Firm_Performance_A_Review_of_Literature/links/65e5a8d0c3b52a1170139c4f/Strategic-Outsourcing-and-Firm-Performance-A-Revi</w:t>
        </w:r>
        <w:r>
          <w:rPr>
            <w:rFonts w:ascii="Times New Roman" w:eastAsia="Times New Roman" w:hAnsi="Times New Roman" w:cs="Times New Roman"/>
            <w:color w:val="1155CC"/>
            <w:sz w:val="24"/>
            <w:szCs w:val="24"/>
            <w:highlight w:val="white"/>
            <w:u w:val="single"/>
          </w:rPr>
          <w:t>ew-of-Literature.pdf</w:t>
        </w:r>
      </w:hyperlink>
      <w:r>
        <w:rPr>
          <w:rFonts w:ascii="Times New Roman" w:eastAsia="Times New Roman" w:hAnsi="Times New Roman" w:cs="Times New Roman"/>
          <w:color w:val="222222"/>
          <w:sz w:val="24"/>
          <w:szCs w:val="24"/>
          <w:highlight w:val="white"/>
        </w:rPr>
        <w:t xml:space="preserve"> </w:t>
      </w:r>
    </w:p>
    <w:p w:rsidR="00D915F8" w:rsidRDefault="005A42D6">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Creately. (2025). </w:t>
      </w:r>
      <w:r>
        <w:rPr>
          <w:rFonts w:ascii="Times New Roman" w:eastAsia="Times New Roman" w:hAnsi="Times New Roman" w:cs="Times New Roman"/>
          <w:i/>
          <w:iCs/>
          <w:sz w:val="24"/>
          <w:szCs w:val="24"/>
        </w:rPr>
        <w:t>STP Model</w:t>
      </w:r>
      <w:r>
        <w:rPr>
          <w:rFonts w:ascii="Times New Roman" w:eastAsia="Times New Roman" w:hAnsi="Times New Roman" w:cs="Times New Roman"/>
          <w:sz w:val="24"/>
          <w:szCs w:val="24"/>
        </w:rPr>
        <w:t xml:space="preserve">. [online] Available at: </w:t>
      </w:r>
      <w:hyperlink r:id="rId24">
        <w:r>
          <w:rPr>
            <w:rFonts w:ascii="Times New Roman" w:eastAsia="Times New Roman" w:hAnsi="Times New Roman" w:cs="Times New Roman"/>
            <w:color w:val="1155CC"/>
            <w:sz w:val="24"/>
            <w:szCs w:val="24"/>
            <w:u w:val="single"/>
          </w:rPr>
          <w:t>https://creately.com/diagram/example/m3O1O8AgSKY/stp-model</w:t>
        </w:r>
      </w:hyperlink>
      <w:r>
        <w:rPr>
          <w:rFonts w:ascii="Times New Roman" w:eastAsia="Times New Roman" w:hAnsi="Times New Roman" w:cs="Times New Roman"/>
          <w:sz w:val="24"/>
          <w:szCs w:val="24"/>
        </w:rPr>
        <w:t xml:space="preserve"> [Accessed 19 Nov. 2025].</w:t>
      </w:r>
    </w:p>
    <w:p w:rsidR="00D915F8" w:rsidRDefault="005A42D6">
      <w:pP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Dhawan, K., Tookey, J.E., GhaffarianHoseini, A. and Poshdar, M., 2023. Using transport to quantify the impact of vertical integration on the construction supply chain: A New Zealand assessment. </w:t>
      </w:r>
      <w:r>
        <w:rPr>
          <w:rFonts w:ascii="Times New Roman" w:eastAsia="Times New Roman" w:hAnsi="Times New Roman" w:cs="Times New Roman"/>
          <w:i/>
          <w:iCs/>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15</w:t>
      </w:r>
      <w:r>
        <w:rPr>
          <w:rFonts w:ascii="Times New Roman" w:eastAsia="Times New Roman" w:hAnsi="Times New Roman" w:cs="Times New Roman"/>
          <w:color w:val="222222"/>
          <w:sz w:val="24"/>
          <w:szCs w:val="24"/>
          <w:highlight w:val="white"/>
        </w:rPr>
        <w:t>(2), p.1298.</w:t>
      </w:r>
      <w:hyperlink r:id="rId25">
        <w:r>
          <w:rPr>
            <w:rFonts w:ascii="Times New Roman" w:eastAsia="Times New Roman" w:hAnsi="Times New Roman" w:cs="Times New Roman"/>
            <w:color w:val="1155CC"/>
            <w:sz w:val="24"/>
            <w:szCs w:val="24"/>
            <w:highlight w:val="white"/>
            <w:u w:val="single"/>
          </w:rPr>
          <w:t>https://www.mdpi.com/2071-1050/15/2/1298</w:t>
        </w:r>
      </w:hyperlink>
      <w:r>
        <w:rPr>
          <w:rFonts w:ascii="Times New Roman" w:eastAsia="Times New Roman" w:hAnsi="Times New Roman" w:cs="Times New Roman"/>
          <w:color w:val="222222"/>
          <w:sz w:val="24"/>
          <w:szCs w:val="24"/>
          <w:highlight w:val="white"/>
        </w:rPr>
        <w:t xml:space="preserve"> </w:t>
      </w:r>
    </w:p>
    <w:p w:rsidR="00D915F8" w:rsidRDefault="005A42D6">
      <w:pP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Espiner, N., Degarege, G., Stewart, E.J. and Espiner, S., 2023. From backyards to the backcountry: Exploring outdoor recreation coping strategies and experiences during the 2020 COVID-19</w:t>
      </w:r>
      <w:r>
        <w:rPr>
          <w:rFonts w:ascii="Times New Roman" w:eastAsia="Times New Roman" w:hAnsi="Times New Roman" w:cs="Times New Roman"/>
          <w:color w:val="222222"/>
          <w:sz w:val="24"/>
          <w:szCs w:val="24"/>
          <w:highlight w:val="white"/>
        </w:rPr>
        <w:t xml:space="preserve"> pandemic in New Zealand. </w:t>
      </w:r>
      <w:r>
        <w:rPr>
          <w:rFonts w:ascii="Times New Roman" w:eastAsia="Times New Roman" w:hAnsi="Times New Roman" w:cs="Times New Roman"/>
          <w:i/>
          <w:iCs/>
          <w:color w:val="222222"/>
          <w:sz w:val="24"/>
          <w:szCs w:val="24"/>
          <w:highlight w:val="white"/>
        </w:rPr>
        <w:t>Journal of Outdoor Recreation and Tourism</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41</w:t>
      </w:r>
      <w:r>
        <w:rPr>
          <w:rFonts w:ascii="Times New Roman" w:eastAsia="Times New Roman" w:hAnsi="Times New Roman" w:cs="Times New Roman"/>
          <w:color w:val="222222"/>
          <w:sz w:val="24"/>
          <w:szCs w:val="24"/>
          <w:highlight w:val="white"/>
        </w:rPr>
        <w:t>, p.100497.</w:t>
      </w:r>
      <w:hyperlink r:id="rId26">
        <w:r>
          <w:rPr>
            <w:rFonts w:ascii="Times New Roman" w:eastAsia="Times New Roman" w:hAnsi="Times New Roman" w:cs="Times New Roman"/>
            <w:color w:val="1155CC"/>
            <w:sz w:val="24"/>
            <w:szCs w:val="24"/>
            <w:highlight w:val="white"/>
            <w:u w:val="single"/>
          </w:rPr>
          <w:t>https://www.sciencedirect.com/science/article/pii/S2213078022000123</w:t>
        </w:r>
      </w:hyperlink>
      <w:r>
        <w:rPr>
          <w:rFonts w:ascii="Times New Roman" w:eastAsia="Times New Roman" w:hAnsi="Times New Roman" w:cs="Times New Roman"/>
          <w:color w:val="222222"/>
          <w:sz w:val="24"/>
          <w:szCs w:val="24"/>
          <w:highlight w:val="white"/>
        </w:rPr>
        <w:t xml:space="preserve"> </w:t>
      </w:r>
    </w:p>
    <w:p w:rsidR="00D915F8" w:rsidRDefault="005A42D6">
      <w:pP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Fuller, I.C., Brie</w:t>
      </w:r>
      <w:r>
        <w:rPr>
          <w:rFonts w:ascii="Times New Roman" w:eastAsia="Times New Roman" w:hAnsi="Times New Roman" w:cs="Times New Roman"/>
          <w:color w:val="222222"/>
          <w:sz w:val="24"/>
          <w:szCs w:val="24"/>
          <w:highlight w:val="white"/>
        </w:rPr>
        <w:t xml:space="preserve">rley, G.J., Tunnicliffe, J., Marden, M., McCord, J., Rosser, B., Hikuroa, D., Harvey, K., Stevens, E. and Thomas, M., 2023. Managing at source and at scale: The use of </w:t>
      </w:r>
      <w:r>
        <w:rPr>
          <w:rFonts w:ascii="Times New Roman" w:eastAsia="Times New Roman" w:hAnsi="Times New Roman" w:cs="Times New Roman"/>
          <w:color w:val="222222"/>
          <w:sz w:val="24"/>
          <w:szCs w:val="24"/>
          <w:highlight w:val="white"/>
        </w:rPr>
        <w:lastRenderedPageBreak/>
        <w:t>geomorphic river stories to support rehabilitation of Anthropocene riverscapes in the Ea</w:t>
      </w:r>
      <w:r>
        <w:rPr>
          <w:rFonts w:ascii="Times New Roman" w:eastAsia="Times New Roman" w:hAnsi="Times New Roman" w:cs="Times New Roman"/>
          <w:color w:val="222222"/>
          <w:sz w:val="24"/>
          <w:szCs w:val="24"/>
          <w:highlight w:val="white"/>
        </w:rPr>
        <w:t xml:space="preserve">st Coast region of Aotearoa New Zealand. </w:t>
      </w:r>
      <w:r>
        <w:rPr>
          <w:rFonts w:ascii="Times New Roman" w:eastAsia="Times New Roman" w:hAnsi="Times New Roman" w:cs="Times New Roman"/>
          <w:i/>
          <w:iCs/>
          <w:color w:val="222222"/>
          <w:sz w:val="24"/>
          <w:szCs w:val="24"/>
          <w:highlight w:val="white"/>
        </w:rPr>
        <w:t>Frontiers in Environmental Science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11</w:t>
      </w:r>
      <w:r>
        <w:rPr>
          <w:rFonts w:ascii="Times New Roman" w:eastAsia="Times New Roman" w:hAnsi="Times New Roman" w:cs="Times New Roman"/>
          <w:color w:val="222222"/>
          <w:sz w:val="24"/>
          <w:szCs w:val="24"/>
          <w:highlight w:val="white"/>
        </w:rPr>
        <w:t>, p.1162099.</w:t>
      </w:r>
      <w:hyperlink r:id="rId27">
        <w:r>
          <w:rPr>
            <w:rFonts w:ascii="Times New Roman" w:eastAsia="Times New Roman" w:hAnsi="Times New Roman" w:cs="Times New Roman"/>
            <w:color w:val="1155CC"/>
            <w:sz w:val="24"/>
            <w:szCs w:val="24"/>
            <w:highlight w:val="white"/>
            <w:u w:val="single"/>
          </w:rPr>
          <w:t>https://www.frontiersin.org/articles/10.3389/fenvs.2023.1162099/full</w:t>
        </w:r>
      </w:hyperlink>
      <w:r>
        <w:rPr>
          <w:rFonts w:ascii="Times New Roman" w:eastAsia="Times New Roman" w:hAnsi="Times New Roman" w:cs="Times New Roman"/>
          <w:color w:val="222222"/>
          <w:sz w:val="24"/>
          <w:szCs w:val="24"/>
          <w:highlight w:val="white"/>
        </w:rPr>
        <w:t xml:space="preserve"> </w:t>
      </w:r>
    </w:p>
    <w:p w:rsidR="00D915F8" w:rsidRDefault="005A42D6">
      <w:pP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Gadalla</w:t>
      </w:r>
      <w:r>
        <w:rPr>
          <w:rFonts w:ascii="Times New Roman" w:eastAsia="Times New Roman" w:hAnsi="Times New Roman" w:cs="Times New Roman"/>
          <w:color w:val="222222"/>
          <w:sz w:val="24"/>
          <w:szCs w:val="24"/>
          <w:highlight w:val="white"/>
        </w:rPr>
        <w:t xml:space="preserve">, A. (2022). </w:t>
      </w:r>
      <w:r>
        <w:rPr>
          <w:rFonts w:ascii="Times New Roman" w:eastAsia="Times New Roman" w:hAnsi="Times New Roman" w:cs="Times New Roman"/>
          <w:i/>
          <w:iCs/>
          <w:color w:val="222222"/>
          <w:sz w:val="24"/>
          <w:szCs w:val="24"/>
          <w:highlight w:val="white"/>
        </w:rPr>
        <w:t>The North Face Case Study</w:t>
      </w:r>
      <w:r>
        <w:rPr>
          <w:rFonts w:ascii="Times New Roman" w:eastAsia="Times New Roman" w:hAnsi="Times New Roman" w:cs="Times New Roman"/>
          <w:color w:val="222222"/>
          <w:sz w:val="24"/>
          <w:szCs w:val="24"/>
          <w:highlight w:val="white"/>
        </w:rPr>
        <w:t xml:space="preserve">. [online] ResearchGate. Available at: </w:t>
      </w:r>
      <w:hyperlink r:id="rId28">
        <w:r>
          <w:rPr>
            <w:rFonts w:ascii="Times New Roman" w:eastAsia="Times New Roman" w:hAnsi="Times New Roman" w:cs="Times New Roman"/>
            <w:color w:val="1155CC"/>
            <w:sz w:val="24"/>
            <w:szCs w:val="24"/>
            <w:highlight w:val="white"/>
            <w:u w:val="single"/>
          </w:rPr>
          <w:t>https://www.researchgate.net/publication/370472596_The_North_Face_Case_Study</w:t>
        </w:r>
      </w:hyperlink>
      <w:r>
        <w:rPr>
          <w:rFonts w:ascii="Times New Roman" w:eastAsia="Times New Roman" w:hAnsi="Times New Roman" w:cs="Times New Roman"/>
          <w:color w:val="222222"/>
          <w:sz w:val="24"/>
          <w:szCs w:val="24"/>
          <w:highlight w:val="white"/>
        </w:rPr>
        <w:t xml:space="preserve"> [Acces</w:t>
      </w:r>
      <w:r>
        <w:rPr>
          <w:rFonts w:ascii="Times New Roman" w:eastAsia="Times New Roman" w:hAnsi="Times New Roman" w:cs="Times New Roman"/>
          <w:color w:val="222222"/>
          <w:sz w:val="24"/>
          <w:szCs w:val="24"/>
          <w:highlight w:val="white"/>
        </w:rPr>
        <w:t>sed 19 Nov. 2025].</w:t>
      </w:r>
    </w:p>
    <w:p w:rsidR="00D915F8" w:rsidRDefault="005A42D6">
      <w:pP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Gong, Y., Xiao, J., Tang, X. and Li, J., 2023. How sustainable marketing influences the customer engagement and sustainable purchase intention? The moderating role of corporate social responsibility. </w:t>
      </w:r>
      <w:r>
        <w:rPr>
          <w:rFonts w:ascii="Times New Roman" w:eastAsia="Times New Roman" w:hAnsi="Times New Roman" w:cs="Times New Roman"/>
          <w:i/>
          <w:iCs/>
          <w:color w:val="222222"/>
          <w:sz w:val="24"/>
          <w:szCs w:val="24"/>
          <w:highlight w:val="white"/>
        </w:rPr>
        <w:t>Frontiers in Psychology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14</w:t>
      </w:r>
      <w:r>
        <w:rPr>
          <w:rFonts w:ascii="Times New Roman" w:eastAsia="Times New Roman" w:hAnsi="Times New Roman" w:cs="Times New Roman"/>
          <w:color w:val="222222"/>
          <w:sz w:val="24"/>
          <w:szCs w:val="24"/>
          <w:highlight w:val="white"/>
        </w:rPr>
        <w:t>, p.112868</w:t>
      </w:r>
      <w:r>
        <w:rPr>
          <w:rFonts w:ascii="Times New Roman" w:eastAsia="Times New Roman" w:hAnsi="Times New Roman" w:cs="Times New Roman"/>
          <w:color w:val="222222"/>
          <w:sz w:val="24"/>
          <w:szCs w:val="24"/>
          <w:highlight w:val="white"/>
        </w:rPr>
        <w:t xml:space="preserve">6. </w:t>
      </w:r>
      <w:hyperlink r:id="rId29">
        <w:r>
          <w:rPr>
            <w:rFonts w:ascii="Times New Roman" w:eastAsia="Times New Roman" w:hAnsi="Times New Roman" w:cs="Times New Roman"/>
            <w:color w:val="1155CC"/>
            <w:sz w:val="24"/>
            <w:szCs w:val="24"/>
            <w:highlight w:val="white"/>
            <w:u w:val="single"/>
          </w:rPr>
          <w:t>https://www.frontiersin.org/articles/10.3389/fpsyg.2023.1128686/full</w:t>
        </w:r>
      </w:hyperlink>
      <w:r>
        <w:rPr>
          <w:rFonts w:ascii="Times New Roman" w:eastAsia="Times New Roman" w:hAnsi="Times New Roman" w:cs="Times New Roman"/>
          <w:color w:val="222222"/>
          <w:sz w:val="24"/>
          <w:szCs w:val="24"/>
          <w:highlight w:val="white"/>
        </w:rPr>
        <w:t xml:space="preserve"> </w:t>
      </w:r>
    </w:p>
    <w:p w:rsidR="00D915F8" w:rsidRDefault="005A42D6">
      <w:pP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Hilpert, H.G., 2025. The Regional Comprehensive Economic Partnership Agreement and Europe: Impact and Implications. In </w:t>
      </w:r>
      <w:r>
        <w:rPr>
          <w:rFonts w:ascii="Times New Roman" w:eastAsia="Times New Roman" w:hAnsi="Times New Roman" w:cs="Times New Roman"/>
          <w:i/>
          <w:iCs/>
          <w:color w:val="222222"/>
          <w:sz w:val="24"/>
          <w:szCs w:val="24"/>
          <w:highlight w:val="white"/>
        </w:rPr>
        <w:t>Political Economy of East Asian Economic Integration</w:t>
      </w:r>
      <w:r>
        <w:rPr>
          <w:rFonts w:ascii="Times New Roman" w:eastAsia="Times New Roman" w:hAnsi="Times New Roman" w:cs="Times New Roman"/>
          <w:color w:val="222222"/>
          <w:sz w:val="24"/>
          <w:szCs w:val="24"/>
          <w:highlight w:val="white"/>
        </w:rPr>
        <w:t xml:space="preserve"> (pp. 164-195). Routledge.</w:t>
      </w:r>
      <w:hyperlink r:id="rId30" w:anchor="page=177">
        <w:r>
          <w:rPr>
            <w:rFonts w:ascii="Times New Roman" w:eastAsia="Times New Roman" w:hAnsi="Times New Roman" w:cs="Times New Roman"/>
            <w:color w:val="1155CC"/>
            <w:sz w:val="24"/>
            <w:szCs w:val="24"/>
            <w:highlight w:val="white"/>
            <w:u w:val="single"/>
          </w:rPr>
          <w:t>https://library.oapen.org/bitstream/handle/20.500.12657/98674/9781040304563.pdf?sequence=1#page=177</w:t>
        </w:r>
      </w:hyperlink>
      <w:r>
        <w:rPr>
          <w:rFonts w:ascii="Times New Roman" w:eastAsia="Times New Roman" w:hAnsi="Times New Roman" w:cs="Times New Roman"/>
          <w:color w:val="222222"/>
          <w:sz w:val="24"/>
          <w:szCs w:val="24"/>
          <w:highlight w:val="white"/>
        </w:rPr>
        <w:t xml:space="preserve"> </w:t>
      </w:r>
    </w:p>
    <w:p w:rsidR="00D915F8" w:rsidRDefault="005A42D6">
      <w:pP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Hong, T.K., 2025. Strategic International Marketing Plan: Patagonia’s Entry into India.</w:t>
      </w:r>
      <w:hyperlink r:id="rId31">
        <w:r>
          <w:rPr>
            <w:rFonts w:ascii="Times New Roman" w:eastAsia="Times New Roman" w:hAnsi="Times New Roman" w:cs="Times New Roman"/>
            <w:color w:val="1155CC"/>
            <w:sz w:val="24"/>
            <w:szCs w:val="24"/>
            <w:highlight w:val="white"/>
            <w:u w:val="single"/>
          </w:rPr>
          <w:t>https://www.researchgate.net/profile/Kwan-Hong-Tan/publication/391661964_Strategic_International_Marketing_Plan_Patagonia's_Entry_into_India/links/68219de7d1054b0207ee4bdf/Strategic-International-Marketing-Plan-Patagonias-Entry-into-India.pdf</w:t>
        </w:r>
      </w:hyperlink>
      <w:r>
        <w:rPr>
          <w:rFonts w:ascii="Times New Roman" w:eastAsia="Times New Roman" w:hAnsi="Times New Roman" w:cs="Times New Roman"/>
          <w:color w:val="222222"/>
          <w:sz w:val="24"/>
          <w:szCs w:val="24"/>
          <w:highlight w:val="white"/>
        </w:rPr>
        <w:t xml:space="preserve"> </w:t>
      </w:r>
    </w:p>
    <w:p w:rsidR="00D915F8" w:rsidRDefault="005A42D6">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Insights </w:t>
      </w:r>
      <w:r>
        <w:rPr>
          <w:rFonts w:ascii="Times New Roman" w:eastAsia="Times New Roman" w:hAnsi="Times New Roman" w:cs="Times New Roman"/>
          <w:sz w:val="24"/>
          <w:szCs w:val="24"/>
        </w:rPr>
        <w:t xml:space="preserve">Team (2022). </w:t>
      </w:r>
      <w:r>
        <w:rPr>
          <w:rFonts w:ascii="Times New Roman" w:eastAsia="Times New Roman" w:hAnsi="Times New Roman" w:cs="Times New Roman"/>
          <w:i/>
          <w:iCs/>
          <w:sz w:val="24"/>
          <w:szCs w:val="24"/>
        </w:rPr>
        <w:t>The North Face: High Fashion’s Next Frontier</w:t>
      </w:r>
      <w:r>
        <w:rPr>
          <w:rFonts w:ascii="Times New Roman" w:eastAsia="Times New Roman" w:hAnsi="Times New Roman" w:cs="Times New Roman"/>
          <w:sz w:val="24"/>
          <w:szCs w:val="24"/>
        </w:rPr>
        <w:t xml:space="preserve">. [online] Telmarhelixa.com. Available at: </w:t>
      </w:r>
      <w:hyperlink r:id="rId32">
        <w:r>
          <w:rPr>
            <w:rFonts w:ascii="Times New Roman" w:eastAsia="Times New Roman" w:hAnsi="Times New Roman" w:cs="Times New Roman"/>
            <w:color w:val="1155CC"/>
            <w:sz w:val="24"/>
            <w:szCs w:val="24"/>
            <w:u w:val="single"/>
          </w:rPr>
          <w:t>https://telmarhelixa.com/resources/the-north-face-audience-analysis</w:t>
        </w:r>
      </w:hyperlink>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Accessed 19 Nov. 2025].</w:t>
      </w:r>
    </w:p>
    <w:p w:rsidR="00D915F8" w:rsidRDefault="005A42D6">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International Trade Administration (2023). </w:t>
      </w:r>
      <w:r>
        <w:rPr>
          <w:rFonts w:ascii="Times New Roman" w:eastAsia="Times New Roman" w:hAnsi="Times New Roman" w:cs="Times New Roman"/>
          <w:i/>
          <w:iCs/>
          <w:sz w:val="24"/>
          <w:szCs w:val="24"/>
        </w:rPr>
        <w:t>New Zealand - Market Entry Strategy</w:t>
      </w:r>
      <w:r>
        <w:rPr>
          <w:rFonts w:ascii="Times New Roman" w:eastAsia="Times New Roman" w:hAnsi="Times New Roman" w:cs="Times New Roman"/>
          <w:sz w:val="24"/>
          <w:szCs w:val="24"/>
        </w:rPr>
        <w:t xml:space="preserve">. [online] www.trade.gov. Available at: </w:t>
      </w:r>
      <w:hyperlink r:id="rId33">
        <w:r>
          <w:rPr>
            <w:rFonts w:ascii="Times New Roman" w:eastAsia="Times New Roman" w:hAnsi="Times New Roman" w:cs="Times New Roman"/>
            <w:color w:val="1155CC"/>
            <w:sz w:val="24"/>
            <w:szCs w:val="24"/>
            <w:u w:val="single"/>
          </w:rPr>
          <w:t>https://www.t</w:t>
        </w:r>
        <w:r>
          <w:rPr>
            <w:rFonts w:ascii="Times New Roman" w:eastAsia="Times New Roman" w:hAnsi="Times New Roman" w:cs="Times New Roman"/>
            <w:color w:val="1155CC"/>
            <w:sz w:val="24"/>
            <w:szCs w:val="24"/>
            <w:u w:val="single"/>
          </w:rPr>
          <w:t>rade.gov/country-commercial-guides/new-zealand-market-entry-strategy</w:t>
        </w:r>
      </w:hyperlink>
      <w:r>
        <w:rPr>
          <w:rFonts w:ascii="Times New Roman" w:eastAsia="Times New Roman" w:hAnsi="Times New Roman" w:cs="Times New Roman"/>
          <w:sz w:val="24"/>
          <w:szCs w:val="24"/>
        </w:rPr>
        <w:t xml:space="preserve"> [Accessed 19 Nov. 2025].</w:t>
      </w:r>
    </w:p>
    <w:p w:rsidR="00D915F8" w:rsidRDefault="005A42D6">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Kuraś, P. (2023). Entry modes used in the internationalization process of automotive enterprises. </w:t>
      </w:r>
      <w:r>
        <w:rPr>
          <w:rFonts w:ascii="Times New Roman" w:eastAsia="Times New Roman" w:hAnsi="Times New Roman" w:cs="Times New Roman"/>
          <w:i/>
          <w:iCs/>
          <w:sz w:val="24"/>
          <w:szCs w:val="24"/>
        </w:rPr>
        <w:t>Zeszyty Naukowe</w:t>
      </w:r>
      <w:r>
        <w:rPr>
          <w:rFonts w:ascii="Times New Roman" w:eastAsia="Times New Roman" w:hAnsi="Times New Roman" w:cs="Times New Roman"/>
          <w:sz w:val="24"/>
          <w:szCs w:val="24"/>
        </w:rPr>
        <w:t>, 2023(180). doi:</w:t>
      </w:r>
      <w:hyperlink r:id="rId34">
        <w:r>
          <w:rPr>
            <w:rFonts w:ascii="Times New Roman" w:eastAsia="Times New Roman" w:hAnsi="Times New Roman" w:cs="Times New Roman"/>
            <w:color w:val="1155CC"/>
            <w:sz w:val="24"/>
            <w:szCs w:val="24"/>
            <w:u w:val="single"/>
          </w:rPr>
          <w:t>https://doi.org/10.29119/1641-3466.2023.180.16</w:t>
        </w:r>
      </w:hyperlink>
      <w:r>
        <w:rPr>
          <w:rFonts w:ascii="Times New Roman" w:eastAsia="Times New Roman" w:hAnsi="Times New Roman" w:cs="Times New Roman"/>
          <w:sz w:val="24"/>
          <w:szCs w:val="24"/>
        </w:rPr>
        <w:t xml:space="preserve">. </w:t>
      </w:r>
    </w:p>
    <w:p w:rsidR="00D915F8" w:rsidRDefault="005A42D6">
      <w:pP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Kurniasih, E.P., Islahiyah, D., Kurniawati, S. and Iqbal, I., 2023. Does Corruption Affect Foreign Direct Investment? Empirical Evidence from A</w:t>
      </w:r>
      <w:r>
        <w:rPr>
          <w:rFonts w:ascii="Times New Roman" w:eastAsia="Times New Roman" w:hAnsi="Times New Roman" w:cs="Times New Roman"/>
          <w:color w:val="222222"/>
          <w:sz w:val="24"/>
          <w:szCs w:val="24"/>
          <w:highlight w:val="white"/>
        </w:rPr>
        <w:t xml:space="preserve">SEAN Plus Three Countries. </w:t>
      </w:r>
      <w:r>
        <w:rPr>
          <w:rFonts w:ascii="Times New Roman" w:eastAsia="Times New Roman" w:hAnsi="Times New Roman" w:cs="Times New Roman"/>
          <w:i/>
          <w:iCs/>
          <w:color w:val="222222"/>
          <w:sz w:val="24"/>
          <w:szCs w:val="24"/>
          <w:highlight w:val="white"/>
        </w:rPr>
        <w:t>Journal of Economics, Business, &amp; Accountancy Ventura</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26</w:t>
      </w:r>
      <w:r>
        <w:rPr>
          <w:rFonts w:ascii="Times New Roman" w:eastAsia="Times New Roman" w:hAnsi="Times New Roman" w:cs="Times New Roman"/>
          <w:color w:val="222222"/>
          <w:sz w:val="24"/>
          <w:szCs w:val="24"/>
          <w:highlight w:val="white"/>
        </w:rPr>
        <w:t>(2), pp.167-179.</w:t>
      </w:r>
      <w:hyperlink r:id="rId35">
        <w:r>
          <w:rPr>
            <w:rFonts w:ascii="Times New Roman" w:eastAsia="Times New Roman" w:hAnsi="Times New Roman" w:cs="Times New Roman"/>
            <w:color w:val="1155CC"/>
            <w:sz w:val="24"/>
            <w:szCs w:val="24"/>
            <w:highlight w:val="white"/>
            <w:u w:val="single"/>
          </w:rPr>
          <w:t>https://scholar.archive.org/work/5xz5s772dje2zjk2eatcgvdybm/access/wayback/https://journal.perbanas.ac.id/index.php/jebav/article/download/3256/pdf</w:t>
        </w:r>
      </w:hyperlink>
      <w:r>
        <w:rPr>
          <w:rFonts w:ascii="Times New Roman" w:eastAsia="Times New Roman" w:hAnsi="Times New Roman" w:cs="Times New Roman"/>
          <w:color w:val="222222"/>
          <w:sz w:val="24"/>
          <w:szCs w:val="24"/>
          <w:highlight w:val="white"/>
        </w:rPr>
        <w:t xml:space="preserve"> </w:t>
      </w:r>
    </w:p>
    <w:p w:rsidR="00D915F8" w:rsidRDefault="005A42D6">
      <w:pP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Li, W., Yigitcanlar, T., Browne, W. and Nili, A., 2023. The making of responsible innovation and</w:t>
      </w:r>
      <w:r>
        <w:rPr>
          <w:rFonts w:ascii="Times New Roman" w:eastAsia="Times New Roman" w:hAnsi="Times New Roman" w:cs="Times New Roman"/>
          <w:color w:val="222222"/>
          <w:sz w:val="24"/>
          <w:szCs w:val="24"/>
          <w:highlight w:val="white"/>
        </w:rPr>
        <w:t xml:space="preserve"> technology: An overview and framework. </w:t>
      </w:r>
      <w:r>
        <w:rPr>
          <w:rFonts w:ascii="Times New Roman" w:eastAsia="Times New Roman" w:hAnsi="Times New Roman" w:cs="Times New Roman"/>
          <w:i/>
          <w:iCs/>
          <w:color w:val="222222"/>
          <w:sz w:val="24"/>
          <w:szCs w:val="24"/>
          <w:highlight w:val="white"/>
        </w:rPr>
        <w:t>Smart Cities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6</w:t>
      </w:r>
      <w:r>
        <w:rPr>
          <w:rFonts w:ascii="Times New Roman" w:eastAsia="Times New Roman" w:hAnsi="Times New Roman" w:cs="Times New Roman"/>
          <w:color w:val="222222"/>
          <w:sz w:val="24"/>
          <w:szCs w:val="24"/>
          <w:highlight w:val="white"/>
        </w:rPr>
        <w:t>(4), pp.1996-2034.</w:t>
      </w:r>
      <w:hyperlink r:id="rId36">
        <w:r>
          <w:rPr>
            <w:rFonts w:ascii="Times New Roman" w:eastAsia="Times New Roman" w:hAnsi="Times New Roman" w:cs="Times New Roman"/>
            <w:color w:val="1155CC"/>
            <w:sz w:val="24"/>
            <w:szCs w:val="24"/>
            <w:highlight w:val="white"/>
            <w:u w:val="single"/>
          </w:rPr>
          <w:t>https://www.mdpi.com/2624-6511/6/4/93</w:t>
        </w:r>
      </w:hyperlink>
      <w:r>
        <w:rPr>
          <w:rFonts w:ascii="Times New Roman" w:eastAsia="Times New Roman" w:hAnsi="Times New Roman" w:cs="Times New Roman"/>
          <w:color w:val="222222"/>
          <w:sz w:val="24"/>
          <w:szCs w:val="24"/>
          <w:highlight w:val="white"/>
        </w:rPr>
        <w:t xml:space="preserve"> </w:t>
      </w:r>
    </w:p>
    <w:p w:rsidR="00D915F8" w:rsidRDefault="005A42D6">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Madsen, D.O. (2025). Balanced Scorecard: History, Implementation, and Impact. </w:t>
      </w:r>
      <w:r>
        <w:rPr>
          <w:rFonts w:ascii="Times New Roman" w:eastAsia="Times New Roman" w:hAnsi="Times New Roman" w:cs="Times New Roman"/>
          <w:i/>
          <w:iCs/>
          <w:sz w:val="24"/>
          <w:szCs w:val="24"/>
        </w:rPr>
        <w:t>Encyclope</w:t>
      </w:r>
      <w:r>
        <w:rPr>
          <w:rFonts w:ascii="Times New Roman" w:eastAsia="Times New Roman" w:hAnsi="Times New Roman" w:cs="Times New Roman"/>
          <w:i/>
          <w:iCs/>
          <w:sz w:val="24"/>
          <w:szCs w:val="24"/>
        </w:rPr>
        <w:t>dia</w:t>
      </w:r>
      <w:r>
        <w:rPr>
          <w:rFonts w:ascii="Times New Roman" w:eastAsia="Times New Roman" w:hAnsi="Times New Roman" w:cs="Times New Roman"/>
          <w:sz w:val="24"/>
          <w:szCs w:val="24"/>
        </w:rPr>
        <w:t>, [online] 5(1), p.39. doi:</w:t>
      </w:r>
      <w:hyperlink r:id="rId37">
        <w:r>
          <w:rPr>
            <w:rFonts w:ascii="Times New Roman" w:eastAsia="Times New Roman" w:hAnsi="Times New Roman" w:cs="Times New Roman"/>
            <w:color w:val="1155CC"/>
            <w:sz w:val="24"/>
            <w:szCs w:val="24"/>
            <w:u w:val="single"/>
          </w:rPr>
          <w:t>https://doi.org/10.3390/encyclopedia5010039</w:t>
        </w:r>
      </w:hyperlink>
      <w:r>
        <w:rPr>
          <w:rFonts w:ascii="Times New Roman" w:eastAsia="Times New Roman" w:hAnsi="Times New Roman" w:cs="Times New Roman"/>
          <w:sz w:val="24"/>
          <w:szCs w:val="24"/>
        </w:rPr>
        <w:t xml:space="preserve">. </w:t>
      </w:r>
    </w:p>
    <w:p w:rsidR="00D915F8" w:rsidRDefault="005A42D6">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Mccoll, B. (2025). </w:t>
      </w:r>
      <w:r>
        <w:rPr>
          <w:rFonts w:ascii="Times New Roman" w:eastAsia="Times New Roman" w:hAnsi="Times New Roman" w:cs="Times New Roman"/>
          <w:i/>
          <w:iCs/>
          <w:sz w:val="24"/>
          <w:szCs w:val="24"/>
        </w:rPr>
        <w:t>North Face Parent VF Reports Loss as Sales Miss Estimates on Weak Demand</w:t>
      </w:r>
      <w:r>
        <w:rPr>
          <w:rFonts w:ascii="Times New Roman" w:eastAsia="Times New Roman" w:hAnsi="Times New Roman" w:cs="Times New Roman"/>
          <w:sz w:val="24"/>
          <w:szCs w:val="24"/>
        </w:rPr>
        <w:t xml:space="preserve">. [online] Investopedia. Available at: </w:t>
      </w:r>
      <w:hyperlink r:id="rId38">
        <w:r>
          <w:rPr>
            <w:rFonts w:ascii="Times New Roman" w:eastAsia="Times New Roman" w:hAnsi="Times New Roman" w:cs="Times New Roman"/>
            <w:color w:val="1155CC"/>
            <w:sz w:val="24"/>
            <w:szCs w:val="24"/>
            <w:u w:val="single"/>
          </w:rPr>
          <w:t>https://www.investopedia.com/vf-reports-loss-sales-miss-weak-demand-inventory-issues-8653189</w:t>
        </w:r>
      </w:hyperlink>
      <w:r>
        <w:rPr>
          <w:rFonts w:ascii="Times New Roman" w:eastAsia="Times New Roman" w:hAnsi="Times New Roman" w:cs="Times New Roman"/>
          <w:sz w:val="24"/>
          <w:szCs w:val="24"/>
        </w:rPr>
        <w:t xml:space="preserve"> [Accessed 19</w:t>
      </w:r>
      <w:r>
        <w:rPr>
          <w:rFonts w:ascii="Times New Roman" w:eastAsia="Times New Roman" w:hAnsi="Times New Roman" w:cs="Times New Roman"/>
          <w:sz w:val="24"/>
          <w:szCs w:val="24"/>
        </w:rPr>
        <w:t xml:space="preserve"> Nov. 2025].</w:t>
      </w:r>
    </w:p>
    <w:p w:rsidR="00D915F8" w:rsidRDefault="005A42D6">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Miller, K. (2020). </w:t>
      </w:r>
      <w:r>
        <w:rPr>
          <w:rFonts w:ascii="Times New Roman" w:eastAsia="Times New Roman" w:hAnsi="Times New Roman" w:cs="Times New Roman"/>
          <w:i/>
          <w:iCs/>
          <w:sz w:val="24"/>
          <w:szCs w:val="24"/>
        </w:rPr>
        <w:t>The Triple Bottom Line: What It Is &amp; Why It’s Important</w:t>
      </w:r>
      <w:r>
        <w:rPr>
          <w:rFonts w:ascii="Times New Roman" w:eastAsia="Times New Roman" w:hAnsi="Times New Roman" w:cs="Times New Roman"/>
          <w:sz w:val="24"/>
          <w:szCs w:val="24"/>
        </w:rPr>
        <w:t xml:space="preserve">. [online] Harvard Business School. Available at: </w:t>
      </w:r>
      <w:hyperlink r:id="rId39">
        <w:r>
          <w:rPr>
            <w:rFonts w:ascii="Times New Roman" w:eastAsia="Times New Roman" w:hAnsi="Times New Roman" w:cs="Times New Roman"/>
            <w:color w:val="1155CC"/>
            <w:sz w:val="24"/>
            <w:szCs w:val="24"/>
            <w:u w:val="single"/>
          </w:rPr>
          <w:t>https://online.hbs.edu/blog/post/wha</w:t>
        </w:r>
        <w:r>
          <w:rPr>
            <w:rFonts w:ascii="Times New Roman" w:eastAsia="Times New Roman" w:hAnsi="Times New Roman" w:cs="Times New Roman"/>
            <w:color w:val="1155CC"/>
            <w:sz w:val="24"/>
            <w:szCs w:val="24"/>
            <w:u w:val="single"/>
          </w:rPr>
          <w:t>t-is-the-triple-bottom-line</w:t>
        </w:r>
      </w:hyperlink>
      <w:r>
        <w:rPr>
          <w:rFonts w:ascii="Times New Roman" w:eastAsia="Times New Roman" w:hAnsi="Times New Roman" w:cs="Times New Roman"/>
          <w:sz w:val="24"/>
          <w:szCs w:val="24"/>
        </w:rPr>
        <w:t xml:space="preserve"> [Accessed 19 Nov. 2025].</w:t>
      </w:r>
    </w:p>
    <w:p w:rsidR="00D915F8" w:rsidRDefault="005A42D6">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Mindtools. (2024). </w:t>
      </w:r>
      <w:r>
        <w:rPr>
          <w:rFonts w:ascii="Times New Roman" w:eastAsia="Times New Roman" w:hAnsi="Times New Roman" w:cs="Times New Roman"/>
          <w:i/>
          <w:iCs/>
          <w:sz w:val="24"/>
          <w:szCs w:val="24"/>
        </w:rPr>
        <w:t>The Triple Bottom Line</w:t>
      </w:r>
      <w:r>
        <w:rPr>
          <w:rFonts w:ascii="Times New Roman" w:eastAsia="Times New Roman" w:hAnsi="Times New Roman" w:cs="Times New Roman"/>
          <w:sz w:val="24"/>
          <w:szCs w:val="24"/>
        </w:rPr>
        <w:t xml:space="preserve">. [online] Available at: </w:t>
      </w:r>
      <w:hyperlink r:id="rId40">
        <w:r>
          <w:rPr>
            <w:rFonts w:ascii="Times New Roman" w:eastAsia="Times New Roman" w:hAnsi="Times New Roman" w:cs="Times New Roman"/>
            <w:color w:val="1155CC"/>
            <w:sz w:val="24"/>
            <w:szCs w:val="24"/>
            <w:u w:val="single"/>
          </w:rPr>
          <w:t>https://www.mindtools.com/awbh8iv/the-triple-bottom-line/</w:t>
        </w:r>
      </w:hyperlink>
      <w:r>
        <w:rPr>
          <w:rFonts w:ascii="Times New Roman" w:eastAsia="Times New Roman" w:hAnsi="Times New Roman" w:cs="Times New Roman"/>
          <w:sz w:val="24"/>
          <w:szCs w:val="24"/>
        </w:rPr>
        <w:t xml:space="preserve"> [Accessed 19 Nov. 2025].</w:t>
      </w:r>
    </w:p>
    <w:p w:rsidR="00D915F8" w:rsidRDefault="005A42D6">
      <w:pP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Nautiyal, M., Hunting, A., Joseph, F. and Cleveland, D., 2023. Examining Practices of Apparel Use and End of Life in New Zealand. </w:t>
      </w:r>
      <w:r>
        <w:rPr>
          <w:rFonts w:ascii="Times New Roman" w:eastAsia="Times New Roman" w:hAnsi="Times New Roman" w:cs="Times New Roman"/>
          <w:i/>
          <w:iCs/>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15</w:t>
      </w:r>
      <w:r>
        <w:rPr>
          <w:rFonts w:ascii="Times New Roman" w:eastAsia="Times New Roman" w:hAnsi="Times New Roman" w:cs="Times New Roman"/>
          <w:color w:val="222222"/>
          <w:sz w:val="24"/>
          <w:szCs w:val="24"/>
          <w:highlight w:val="white"/>
        </w:rPr>
        <w:t>(6), p.5141.</w:t>
      </w:r>
      <w:hyperlink r:id="rId41">
        <w:r>
          <w:rPr>
            <w:rFonts w:ascii="Times New Roman" w:eastAsia="Times New Roman" w:hAnsi="Times New Roman" w:cs="Times New Roman"/>
            <w:color w:val="1155CC"/>
            <w:sz w:val="24"/>
            <w:szCs w:val="24"/>
            <w:highlight w:val="white"/>
            <w:u w:val="single"/>
          </w:rPr>
          <w:t>https://ww</w:t>
        </w:r>
        <w:r>
          <w:rPr>
            <w:rFonts w:ascii="Times New Roman" w:eastAsia="Times New Roman" w:hAnsi="Times New Roman" w:cs="Times New Roman"/>
            <w:color w:val="1155CC"/>
            <w:sz w:val="24"/>
            <w:szCs w:val="24"/>
            <w:highlight w:val="white"/>
            <w:u w:val="single"/>
          </w:rPr>
          <w:t>w.mdpi.com/2071-1050/15/6/5141</w:t>
        </w:r>
      </w:hyperlink>
      <w:r>
        <w:rPr>
          <w:rFonts w:ascii="Times New Roman" w:eastAsia="Times New Roman" w:hAnsi="Times New Roman" w:cs="Times New Roman"/>
          <w:color w:val="222222"/>
          <w:sz w:val="24"/>
          <w:szCs w:val="24"/>
          <w:highlight w:val="white"/>
        </w:rPr>
        <w:t xml:space="preserve"> </w:t>
      </w:r>
    </w:p>
    <w:p w:rsidR="00D915F8" w:rsidRDefault="005A42D6">
      <w:pPr>
        <w:spacing w:after="240" w:line="360" w:lineRule="auto"/>
        <w:jc w:val="both"/>
        <w:rPr>
          <w:rFonts w:ascii="Times New Roman" w:eastAsia="Times New Roman" w:hAnsi="Times New Roman" w:cs="Times New Roman"/>
          <w:color w:val="444746"/>
          <w:sz w:val="24"/>
          <w:szCs w:val="24"/>
          <w:highlight w:val="white"/>
        </w:rPr>
      </w:pPr>
      <w:r>
        <w:rPr>
          <w:rFonts w:ascii="Times New Roman" w:eastAsia="Times New Roman" w:hAnsi="Times New Roman" w:cs="Times New Roman"/>
          <w:color w:val="444746"/>
          <w:sz w:val="24"/>
          <w:szCs w:val="24"/>
          <w:highlight w:val="white"/>
        </w:rPr>
        <w:t xml:space="preserve">O’Neill, A. (2025). Gross domestic product (GDP) in current prices New Zealand 2030| Statista. [online] Statista. Available at: </w:t>
      </w:r>
      <w:hyperlink r:id="rId42">
        <w:r>
          <w:rPr>
            <w:rFonts w:ascii="Times New Roman" w:eastAsia="Times New Roman" w:hAnsi="Times New Roman" w:cs="Times New Roman"/>
            <w:color w:val="0B57D0"/>
            <w:sz w:val="24"/>
            <w:szCs w:val="24"/>
            <w:highlight w:val="white"/>
          </w:rPr>
          <w:t>https://www.statista.com/statistics/375263/gross-domestic-product-gdp-in-new-zealand/?sr</w:t>
        </w:r>
        <w:r>
          <w:rPr>
            <w:rFonts w:ascii="Times New Roman" w:eastAsia="Times New Roman" w:hAnsi="Times New Roman" w:cs="Times New Roman"/>
            <w:color w:val="0B57D0"/>
            <w:sz w:val="24"/>
            <w:szCs w:val="24"/>
            <w:highlight w:val="white"/>
          </w:rPr>
          <w:t>sltid=AfmBOopojLYlhapAwODbT4xNOKoHBClUETeuEplfJKHIUd6YQ5Zp9MXF</w:t>
        </w:r>
      </w:hyperlink>
      <w:r>
        <w:rPr>
          <w:rFonts w:ascii="Times New Roman" w:eastAsia="Times New Roman" w:hAnsi="Times New Roman" w:cs="Times New Roman"/>
          <w:color w:val="444746"/>
          <w:sz w:val="24"/>
          <w:szCs w:val="24"/>
          <w:highlight w:val="white"/>
        </w:rPr>
        <w:t xml:space="preserve"> [Accessed 19 Nov. 2025].</w:t>
      </w:r>
    </w:p>
    <w:p w:rsidR="00D915F8" w:rsidRDefault="005A42D6">
      <w:pP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Priya, Berry, S. and Agrawal, P.R., 2024. Sustainable textile production in the developing countries: Major challenges or concerns and their possible solutions. In </w:t>
      </w:r>
      <w:r>
        <w:rPr>
          <w:rFonts w:ascii="Times New Roman" w:eastAsia="Times New Roman" w:hAnsi="Times New Roman" w:cs="Times New Roman"/>
          <w:i/>
          <w:iCs/>
          <w:color w:val="222222"/>
          <w:sz w:val="24"/>
          <w:szCs w:val="24"/>
          <w:highlight w:val="white"/>
        </w:rPr>
        <w:t xml:space="preserve">Dye </w:t>
      </w:r>
      <w:r>
        <w:rPr>
          <w:rFonts w:ascii="Times New Roman" w:eastAsia="Times New Roman" w:hAnsi="Times New Roman" w:cs="Times New Roman"/>
          <w:i/>
          <w:iCs/>
          <w:color w:val="222222"/>
          <w:sz w:val="24"/>
          <w:szCs w:val="24"/>
          <w:highlight w:val="white"/>
        </w:rPr>
        <w:t>pollution from textile industry: challenges and opportunities for sustainable development</w:t>
      </w:r>
      <w:r>
        <w:rPr>
          <w:rFonts w:ascii="Times New Roman" w:eastAsia="Times New Roman" w:hAnsi="Times New Roman" w:cs="Times New Roman"/>
          <w:color w:val="222222"/>
          <w:sz w:val="24"/>
          <w:szCs w:val="24"/>
          <w:highlight w:val="white"/>
        </w:rPr>
        <w:t xml:space="preserve"> (pp. 263-278). Singapore: Springer Nature Singapore.</w:t>
      </w:r>
      <w:hyperlink r:id="rId43">
        <w:r>
          <w:rPr>
            <w:rFonts w:ascii="Times New Roman" w:eastAsia="Times New Roman" w:hAnsi="Times New Roman" w:cs="Times New Roman"/>
            <w:color w:val="1155CC"/>
            <w:sz w:val="24"/>
            <w:szCs w:val="24"/>
            <w:highlight w:val="white"/>
            <w:u w:val="single"/>
          </w:rPr>
          <w:t>https://link.springer.com/chapte</w:t>
        </w:r>
        <w:r>
          <w:rPr>
            <w:rFonts w:ascii="Times New Roman" w:eastAsia="Times New Roman" w:hAnsi="Times New Roman" w:cs="Times New Roman"/>
            <w:color w:val="1155CC"/>
            <w:sz w:val="24"/>
            <w:szCs w:val="24"/>
            <w:highlight w:val="white"/>
            <w:u w:val="single"/>
          </w:rPr>
          <w:t>r/10.1007/978-981-97-5341-3_13</w:t>
        </w:r>
      </w:hyperlink>
      <w:r>
        <w:rPr>
          <w:rFonts w:ascii="Times New Roman" w:eastAsia="Times New Roman" w:hAnsi="Times New Roman" w:cs="Times New Roman"/>
          <w:color w:val="222222"/>
          <w:sz w:val="24"/>
          <w:szCs w:val="24"/>
          <w:highlight w:val="white"/>
        </w:rPr>
        <w:t xml:space="preserve"> </w:t>
      </w:r>
    </w:p>
    <w:p w:rsidR="00D915F8" w:rsidRDefault="005A42D6">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Rachini, E. (2021). </w:t>
      </w:r>
      <w:r>
        <w:rPr>
          <w:rFonts w:ascii="Times New Roman" w:eastAsia="Times New Roman" w:hAnsi="Times New Roman" w:cs="Times New Roman"/>
          <w:i/>
          <w:iCs/>
          <w:sz w:val="24"/>
          <w:szCs w:val="24"/>
        </w:rPr>
        <w:t>Sustainability in the fashion world: A competitive advantage not a limitation</w:t>
      </w:r>
      <w:r>
        <w:rPr>
          <w:rFonts w:ascii="Times New Roman" w:eastAsia="Times New Roman" w:hAnsi="Times New Roman" w:cs="Times New Roman"/>
          <w:sz w:val="24"/>
          <w:szCs w:val="24"/>
        </w:rPr>
        <w:t xml:space="preserve">. [online] Available at: </w:t>
      </w:r>
      <w:hyperlink r:id="rId44">
        <w:r>
          <w:rPr>
            <w:rFonts w:ascii="Times New Roman" w:eastAsia="Times New Roman" w:hAnsi="Times New Roman" w:cs="Times New Roman"/>
            <w:color w:val="1155CC"/>
            <w:sz w:val="24"/>
            <w:szCs w:val="24"/>
            <w:u w:val="single"/>
          </w:rPr>
          <w:t>https://tesi.luiss.it/32293/1/726591_RACHINI_EDOARDO.pdf</w:t>
        </w:r>
      </w:hyperlink>
      <w:r>
        <w:rPr>
          <w:rFonts w:ascii="Times New Roman" w:eastAsia="Times New Roman" w:hAnsi="Times New Roman" w:cs="Times New Roman"/>
          <w:sz w:val="24"/>
          <w:szCs w:val="24"/>
        </w:rPr>
        <w:t xml:space="preserve"> [Accessed 19 Nov. 2025].</w:t>
      </w:r>
    </w:p>
    <w:p w:rsidR="00D915F8" w:rsidRDefault="005A42D6">
      <w:pP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Rombach, M. and Dean, D.L. (2025). A Rising Tide of Green: Unpacking Predictors of New Zealand Consumers’ Willingness to Drink, Pay a Price Premium, and Promote Micro-Algae-B</w:t>
      </w:r>
      <w:r>
        <w:rPr>
          <w:rFonts w:ascii="Times New Roman" w:eastAsia="Times New Roman" w:hAnsi="Times New Roman" w:cs="Times New Roman"/>
          <w:color w:val="222222"/>
          <w:sz w:val="24"/>
          <w:szCs w:val="24"/>
          <w:highlight w:val="white"/>
        </w:rPr>
        <w:t xml:space="preserve">ased Beverages. </w:t>
      </w:r>
      <w:r>
        <w:rPr>
          <w:rFonts w:ascii="Times New Roman" w:eastAsia="Times New Roman" w:hAnsi="Times New Roman" w:cs="Times New Roman"/>
          <w:i/>
          <w:iCs/>
          <w:color w:val="222222"/>
          <w:sz w:val="24"/>
          <w:szCs w:val="24"/>
          <w:highlight w:val="white"/>
        </w:rPr>
        <w:t>Beverages</w:t>
      </w:r>
      <w:r>
        <w:rPr>
          <w:rFonts w:ascii="Times New Roman" w:eastAsia="Times New Roman" w:hAnsi="Times New Roman" w:cs="Times New Roman"/>
          <w:color w:val="222222"/>
          <w:sz w:val="24"/>
          <w:szCs w:val="24"/>
          <w:highlight w:val="white"/>
        </w:rPr>
        <w:t>, [online] 11(4), pp.120–120. doi:</w:t>
      </w:r>
      <w:hyperlink r:id="rId45">
        <w:r>
          <w:rPr>
            <w:rFonts w:ascii="Times New Roman" w:eastAsia="Times New Roman" w:hAnsi="Times New Roman" w:cs="Times New Roman"/>
            <w:color w:val="1155CC"/>
            <w:sz w:val="24"/>
            <w:szCs w:val="24"/>
            <w:highlight w:val="white"/>
            <w:u w:val="single"/>
          </w:rPr>
          <w:t>https://doi.org/10.3390/beverages11040120</w:t>
        </w:r>
      </w:hyperlink>
      <w:r>
        <w:rPr>
          <w:rFonts w:ascii="Times New Roman" w:eastAsia="Times New Roman" w:hAnsi="Times New Roman" w:cs="Times New Roman"/>
          <w:color w:val="222222"/>
          <w:sz w:val="24"/>
          <w:szCs w:val="24"/>
          <w:highlight w:val="white"/>
        </w:rPr>
        <w:t xml:space="preserve">. </w:t>
      </w:r>
    </w:p>
    <w:p w:rsidR="00D915F8" w:rsidRDefault="005A42D6">
      <w:pP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Schnack, A., 2024. Facilitators and inhibitors of different forms of sustainable consumption</w:t>
      </w:r>
      <w:r>
        <w:rPr>
          <w:rFonts w:ascii="Times New Roman" w:eastAsia="Times New Roman" w:hAnsi="Times New Roman" w:cs="Times New Roman"/>
          <w:color w:val="222222"/>
          <w:sz w:val="24"/>
          <w:szCs w:val="24"/>
          <w:highlight w:val="white"/>
        </w:rPr>
        <w:t xml:space="preserve">: Consumer surveys in Australia and New Zealand. </w:t>
      </w:r>
      <w:r>
        <w:rPr>
          <w:rFonts w:ascii="Times New Roman" w:eastAsia="Times New Roman" w:hAnsi="Times New Roman" w:cs="Times New Roman"/>
          <w:i/>
          <w:iCs/>
          <w:color w:val="222222"/>
          <w:sz w:val="24"/>
          <w:szCs w:val="24"/>
          <w:highlight w:val="white"/>
        </w:rPr>
        <w:t>Cleaner and Responsible Consumption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14</w:t>
      </w:r>
      <w:r>
        <w:rPr>
          <w:rFonts w:ascii="Times New Roman" w:eastAsia="Times New Roman" w:hAnsi="Times New Roman" w:cs="Times New Roman"/>
          <w:color w:val="222222"/>
          <w:sz w:val="24"/>
          <w:szCs w:val="24"/>
          <w:highlight w:val="white"/>
        </w:rPr>
        <w:t xml:space="preserve">, p.100207. </w:t>
      </w:r>
      <w:hyperlink r:id="rId46">
        <w:r>
          <w:rPr>
            <w:rFonts w:ascii="Times New Roman" w:eastAsia="Times New Roman" w:hAnsi="Times New Roman" w:cs="Times New Roman"/>
            <w:color w:val="1155CC"/>
            <w:sz w:val="24"/>
            <w:szCs w:val="24"/>
            <w:highlight w:val="white"/>
            <w:u w:val="single"/>
          </w:rPr>
          <w:t>https://www.sciencedirect.com/science/article/pii/S2666784324000408</w:t>
        </w:r>
      </w:hyperlink>
      <w:r>
        <w:rPr>
          <w:rFonts w:ascii="Times New Roman" w:eastAsia="Times New Roman" w:hAnsi="Times New Roman" w:cs="Times New Roman"/>
          <w:color w:val="222222"/>
          <w:sz w:val="24"/>
          <w:szCs w:val="24"/>
          <w:highlight w:val="white"/>
        </w:rPr>
        <w:t xml:space="preserve"> </w:t>
      </w:r>
    </w:p>
    <w:p w:rsidR="00D915F8" w:rsidRDefault="005A42D6">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Shastri, A. (2022). </w:t>
      </w:r>
      <w:r>
        <w:rPr>
          <w:rFonts w:ascii="Times New Roman" w:eastAsia="Times New Roman" w:hAnsi="Times New Roman" w:cs="Times New Roman"/>
          <w:i/>
          <w:iCs/>
          <w:sz w:val="24"/>
          <w:szCs w:val="24"/>
        </w:rPr>
        <w:t>In-Depth Marketing Strategy of The North Face - 2022 | IIDE</w:t>
      </w:r>
      <w:r>
        <w:rPr>
          <w:rFonts w:ascii="Times New Roman" w:eastAsia="Times New Roman" w:hAnsi="Times New Roman" w:cs="Times New Roman"/>
          <w:sz w:val="24"/>
          <w:szCs w:val="24"/>
        </w:rPr>
        <w:t>. [online] iide.co. Available at: https://iide.co/case-studies/marketing-strategy-of-the-north-face/ [Accessed 19 Nov. 2025].</w:t>
      </w:r>
    </w:p>
    <w:p w:rsidR="00D915F8" w:rsidRDefault="005A42D6">
      <w:pP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Shaw, A. (2025). </w:t>
      </w:r>
      <w:r>
        <w:rPr>
          <w:rFonts w:ascii="Times New Roman" w:eastAsia="Times New Roman" w:hAnsi="Times New Roman" w:cs="Times New Roman"/>
          <w:i/>
          <w:iCs/>
          <w:color w:val="222222"/>
          <w:sz w:val="24"/>
          <w:szCs w:val="24"/>
          <w:highlight w:val="white"/>
        </w:rPr>
        <w:t>The Post</w:t>
      </w:r>
      <w:r>
        <w:rPr>
          <w:rFonts w:ascii="Times New Roman" w:eastAsia="Times New Roman" w:hAnsi="Times New Roman" w:cs="Times New Roman"/>
          <w:color w:val="222222"/>
          <w:sz w:val="24"/>
          <w:szCs w:val="24"/>
          <w:highlight w:val="white"/>
        </w:rPr>
        <w:t xml:space="preserve">. [online] Thepost.co.nz. </w:t>
      </w:r>
      <w:r>
        <w:rPr>
          <w:rFonts w:ascii="Times New Roman" w:eastAsia="Times New Roman" w:hAnsi="Times New Roman" w:cs="Times New Roman"/>
          <w:color w:val="222222"/>
          <w:sz w:val="24"/>
          <w:szCs w:val="24"/>
          <w:highlight w:val="white"/>
        </w:rPr>
        <w:t xml:space="preserve">Available at: </w:t>
      </w:r>
      <w:hyperlink r:id="rId47">
        <w:r>
          <w:rPr>
            <w:rFonts w:ascii="Times New Roman" w:eastAsia="Times New Roman" w:hAnsi="Times New Roman" w:cs="Times New Roman"/>
            <w:color w:val="1155CC"/>
            <w:sz w:val="24"/>
            <w:szCs w:val="24"/>
            <w:highlight w:val="white"/>
            <w:u w:val="single"/>
          </w:rPr>
          <w:t>https://www.thepost.co.nz/business/360814184/kathmandu-owner-kmd-brands-share-price-plunges-company-vows-tu</w:t>
        </w:r>
        <w:r>
          <w:rPr>
            <w:rFonts w:ascii="Times New Roman" w:eastAsia="Times New Roman" w:hAnsi="Times New Roman" w:cs="Times New Roman"/>
            <w:color w:val="1155CC"/>
            <w:sz w:val="24"/>
            <w:szCs w:val="24"/>
            <w:highlight w:val="white"/>
            <w:u w:val="single"/>
          </w:rPr>
          <w:t>rnaround</w:t>
        </w:r>
      </w:hyperlink>
      <w:r>
        <w:rPr>
          <w:rFonts w:ascii="Times New Roman" w:eastAsia="Times New Roman" w:hAnsi="Times New Roman" w:cs="Times New Roman"/>
          <w:color w:val="222222"/>
          <w:sz w:val="24"/>
          <w:szCs w:val="24"/>
          <w:highlight w:val="white"/>
        </w:rPr>
        <w:t xml:space="preserve"> [Accessed 19 Nov. 2025].</w:t>
      </w:r>
    </w:p>
    <w:p w:rsidR="00D915F8" w:rsidRDefault="005A42D6">
      <w:pP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stats.govt.nz (2025). </w:t>
      </w:r>
      <w:r>
        <w:rPr>
          <w:rFonts w:ascii="Times New Roman" w:eastAsia="Times New Roman" w:hAnsi="Times New Roman" w:cs="Times New Roman"/>
          <w:i/>
          <w:iCs/>
          <w:color w:val="222222"/>
          <w:sz w:val="24"/>
          <w:szCs w:val="24"/>
          <w:highlight w:val="white"/>
        </w:rPr>
        <w:t>International travel: January 2025 | Stats NZ</w:t>
      </w:r>
      <w:r>
        <w:rPr>
          <w:rFonts w:ascii="Times New Roman" w:eastAsia="Times New Roman" w:hAnsi="Times New Roman" w:cs="Times New Roman"/>
          <w:color w:val="222222"/>
          <w:sz w:val="24"/>
          <w:szCs w:val="24"/>
          <w:highlight w:val="white"/>
        </w:rPr>
        <w:t xml:space="preserve">. [online] Govt.nz. Available at: </w:t>
      </w:r>
      <w:hyperlink r:id="rId48">
        <w:r>
          <w:rPr>
            <w:rFonts w:ascii="Times New Roman" w:eastAsia="Times New Roman" w:hAnsi="Times New Roman" w:cs="Times New Roman"/>
            <w:color w:val="1155CC"/>
            <w:sz w:val="24"/>
            <w:szCs w:val="24"/>
            <w:highlight w:val="white"/>
            <w:u w:val="single"/>
          </w:rPr>
          <w:t>https://www.stats.govt.nz/information-releases/international-travel-january-2025/</w:t>
        </w:r>
      </w:hyperlink>
      <w:r>
        <w:rPr>
          <w:rFonts w:ascii="Times New Roman" w:eastAsia="Times New Roman" w:hAnsi="Times New Roman" w:cs="Times New Roman"/>
          <w:color w:val="222222"/>
          <w:sz w:val="24"/>
          <w:szCs w:val="24"/>
          <w:highlight w:val="white"/>
        </w:rPr>
        <w:t xml:space="preserve"> [Accessed 19 Nov. 2025].</w:t>
      </w:r>
    </w:p>
    <w:p w:rsidR="00D915F8" w:rsidRDefault="005A42D6">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Studocu. (2022). </w:t>
      </w:r>
      <w:r>
        <w:rPr>
          <w:rFonts w:ascii="Times New Roman" w:eastAsia="Times New Roman" w:hAnsi="Times New Roman" w:cs="Times New Roman"/>
          <w:i/>
          <w:iCs/>
          <w:sz w:val="24"/>
          <w:szCs w:val="24"/>
        </w:rPr>
        <w:t>Positioning of The North Face</w:t>
      </w:r>
      <w:r>
        <w:rPr>
          <w:rFonts w:ascii="Times New Roman" w:eastAsia="Times New Roman" w:hAnsi="Times New Roman" w:cs="Times New Roman"/>
          <w:sz w:val="24"/>
          <w:szCs w:val="24"/>
        </w:rPr>
        <w:t xml:space="preserve">. [online] Available at: </w:t>
      </w:r>
      <w:hyperlink r:id="rId49">
        <w:r>
          <w:rPr>
            <w:rFonts w:ascii="Times New Roman" w:eastAsia="Times New Roman" w:hAnsi="Times New Roman" w:cs="Times New Roman"/>
            <w:color w:val="1155CC"/>
            <w:sz w:val="24"/>
            <w:szCs w:val="24"/>
            <w:u w:val="single"/>
          </w:rPr>
          <w:t>https://www.studocu.com/en-ie/document/technological-university-dublin/digital-marketing/positioning-of-the-north-face/82268889</w:t>
        </w:r>
      </w:hyperlink>
      <w:r>
        <w:rPr>
          <w:rFonts w:ascii="Times New Roman" w:eastAsia="Times New Roman" w:hAnsi="Times New Roman" w:cs="Times New Roman"/>
          <w:sz w:val="24"/>
          <w:szCs w:val="24"/>
        </w:rPr>
        <w:t xml:space="preserve"> [Accessed 19 Nov. 2025].</w:t>
      </w:r>
    </w:p>
    <w:p w:rsidR="00D915F8" w:rsidRDefault="005A42D6">
      <w:pP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Sudirjo, F., 2023. Marketing strat</w:t>
      </w:r>
      <w:r>
        <w:rPr>
          <w:rFonts w:ascii="Times New Roman" w:eastAsia="Times New Roman" w:hAnsi="Times New Roman" w:cs="Times New Roman"/>
          <w:color w:val="222222"/>
          <w:sz w:val="24"/>
          <w:szCs w:val="24"/>
          <w:highlight w:val="white"/>
        </w:rPr>
        <w:t xml:space="preserve">egy in improving product competitiveness in the global market. </w:t>
      </w:r>
      <w:r>
        <w:rPr>
          <w:rFonts w:ascii="Times New Roman" w:eastAsia="Times New Roman" w:hAnsi="Times New Roman" w:cs="Times New Roman"/>
          <w:i/>
          <w:iCs/>
          <w:color w:val="222222"/>
          <w:sz w:val="24"/>
          <w:szCs w:val="24"/>
          <w:highlight w:val="white"/>
        </w:rPr>
        <w:t>Journal of Contemporary Administration and Management (ADMAN)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w:t>
      </w:r>
      <w:r>
        <w:rPr>
          <w:rFonts w:ascii="Times New Roman" w:eastAsia="Times New Roman" w:hAnsi="Times New Roman" w:cs="Times New Roman"/>
          <w:color w:val="222222"/>
          <w:sz w:val="24"/>
          <w:szCs w:val="24"/>
          <w:highlight w:val="white"/>
        </w:rPr>
        <w:t>(2), pp.63-69.</w:t>
      </w:r>
      <w:hyperlink r:id="rId50">
        <w:r>
          <w:rPr>
            <w:rFonts w:ascii="Times New Roman" w:eastAsia="Times New Roman" w:hAnsi="Times New Roman" w:cs="Times New Roman"/>
            <w:color w:val="1155CC"/>
            <w:sz w:val="24"/>
            <w:szCs w:val="24"/>
            <w:highlight w:val="white"/>
            <w:u w:val="single"/>
          </w:rPr>
          <w:t>https://journal.liter</w:t>
        </w:r>
        <w:r>
          <w:rPr>
            <w:rFonts w:ascii="Times New Roman" w:eastAsia="Times New Roman" w:hAnsi="Times New Roman" w:cs="Times New Roman"/>
            <w:color w:val="1155CC"/>
            <w:sz w:val="24"/>
            <w:szCs w:val="24"/>
            <w:highlight w:val="white"/>
            <w:u w:val="single"/>
          </w:rPr>
          <w:t>asisainsnusantara.com/Index.Php/Adman/Article/View/24</w:t>
        </w:r>
      </w:hyperlink>
      <w:r>
        <w:rPr>
          <w:rFonts w:ascii="Times New Roman" w:eastAsia="Times New Roman" w:hAnsi="Times New Roman" w:cs="Times New Roman"/>
          <w:color w:val="222222"/>
          <w:sz w:val="24"/>
          <w:szCs w:val="24"/>
          <w:highlight w:val="white"/>
        </w:rPr>
        <w:t xml:space="preserve"> </w:t>
      </w:r>
    </w:p>
    <w:p w:rsidR="00D915F8" w:rsidRDefault="005A42D6">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North Face (2022). </w:t>
      </w:r>
      <w:r>
        <w:rPr>
          <w:rFonts w:ascii="Times New Roman" w:eastAsia="Times New Roman" w:hAnsi="Times New Roman" w:cs="Times New Roman"/>
          <w:i/>
          <w:iCs/>
          <w:sz w:val="24"/>
          <w:szCs w:val="24"/>
        </w:rPr>
        <w:t>Sustainability and Responsibility Report Fiscal Year 2022</w:t>
      </w:r>
      <w:r>
        <w:rPr>
          <w:rFonts w:ascii="Times New Roman" w:eastAsia="Times New Roman" w:hAnsi="Times New Roman" w:cs="Times New Roman"/>
          <w:sz w:val="24"/>
          <w:szCs w:val="24"/>
        </w:rPr>
        <w:t xml:space="preserve">. [online] cloudfront.net. Available at: </w:t>
      </w:r>
      <w:hyperlink r:id="rId51">
        <w:r>
          <w:rPr>
            <w:rFonts w:ascii="Times New Roman" w:eastAsia="Times New Roman" w:hAnsi="Times New Roman" w:cs="Times New Roman"/>
            <w:color w:val="1155CC"/>
            <w:sz w:val="24"/>
            <w:szCs w:val="24"/>
            <w:u w:val="single"/>
          </w:rPr>
          <w:t>https://d1io3yog0oux5.cloudfront.net/vfc/files/documents/Sustainability/Resources/VF_FY2022_Made_for_Change_Report_FINAL.pdf</w:t>
        </w:r>
      </w:hyperlink>
      <w:r>
        <w:rPr>
          <w:rFonts w:ascii="Times New Roman" w:eastAsia="Times New Roman" w:hAnsi="Times New Roman" w:cs="Times New Roman"/>
          <w:sz w:val="24"/>
          <w:szCs w:val="24"/>
        </w:rPr>
        <w:t xml:space="preserve"> [Accessed 19 Nov. 2025].</w:t>
      </w:r>
    </w:p>
    <w:p w:rsidR="00D915F8" w:rsidRDefault="005A42D6">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North Face (2023). </w:t>
      </w:r>
      <w:r>
        <w:rPr>
          <w:rFonts w:ascii="Times New Roman" w:eastAsia="Times New Roman" w:hAnsi="Times New Roman" w:cs="Times New Roman"/>
          <w:i/>
          <w:iCs/>
          <w:sz w:val="24"/>
          <w:szCs w:val="24"/>
        </w:rPr>
        <w:t>Sustainable commitments</w:t>
      </w:r>
      <w:r>
        <w:rPr>
          <w:rFonts w:ascii="Times New Roman" w:eastAsia="Times New Roman" w:hAnsi="Times New Roman" w:cs="Times New Roman"/>
          <w:sz w:val="24"/>
          <w:szCs w:val="24"/>
        </w:rPr>
        <w:t xml:space="preserve">. [online] The North Face. Available at: </w:t>
      </w:r>
      <w:hyperlink r:id="rId52">
        <w:r>
          <w:rPr>
            <w:rFonts w:ascii="Times New Roman" w:eastAsia="Times New Roman" w:hAnsi="Times New Roman" w:cs="Times New Roman"/>
            <w:color w:val="1155CC"/>
            <w:sz w:val="24"/>
            <w:szCs w:val="24"/>
            <w:u w:val="single"/>
          </w:rPr>
          <w:t>https://www.thenorthface.com/en-us/sustainability</w:t>
        </w:r>
      </w:hyperlink>
      <w:r>
        <w:rPr>
          <w:rFonts w:ascii="Times New Roman" w:eastAsia="Times New Roman" w:hAnsi="Times New Roman" w:cs="Times New Roman"/>
          <w:sz w:val="24"/>
          <w:szCs w:val="24"/>
        </w:rPr>
        <w:t xml:space="preserve"> [Accessed 19 Nov. 2025].</w:t>
      </w:r>
    </w:p>
    <w:p w:rsidR="00D915F8" w:rsidRDefault="005A42D6">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North Face (2024). </w:t>
      </w:r>
      <w:r>
        <w:rPr>
          <w:rFonts w:ascii="Times New Roman" w:eastAsia="Times New Roman" w:hAnsi="Times New Roman" w:cs="Times New Roman"/>
          <w:i/>
          <w:iCs/>
          <w:sz w:val="24"/>
          <w:szCs w:val="24"/>
        </w:rPr>
        <w:t>The North Face Story</w:t>
      </w:r>
      <w:r>
        <w:rPr>
          <w:rFonts w:ascii="Times New Roman" w:eastAsia="Times New Roman" w:hAnsi="Times New Roman" w:cs="Times New Roman"/>
          <w:sz w:val="24"/>
          <w:szCs w:val="24"/>
        </w:rPr>
        <w:t>. [on</w:t>
      </w:r>
      <w:r>
        <w:rPr>
          <w:rFonts w:ascii="Times New Roman" w:eastAsia="Times New Roman" w:hAnsi="Times New Roman" w:cs="Times New Roman"/>
          <w:sz w:val="24"/>
          <w:szCs w:val="24"/>
        </w:rPr>
        <w:t xml:space="preserve">line] The North Face. Available at: </w:t>
      </w:r>
      <w:hyperlink r:id="rId53">
        <w:r>
          <w:rPr>
            <w:rFonts w:ascii="Times New Roman" w:eastAsia="Times New Roman" w:hAnsi="Times New Roman" w:cs="Times New Roman"/>
            <w:color w:val="1155CC"/>
            <w:sz w:val="24"/>
            <w:szCs w:val="24"/>
            <w:u w:val="single"/>
          </w:rPr>
          <w:t>https://www.thenorthface.com/en-us/about-us/our-story</w:t>
        </w:r>
      </w:hyperlink>
      <w:r>
        <w:rPr>
          <w:rFonts w:ascii="Times New Roman" w:eastAsia="Times New Roman" w:hAnsi="Times New Roman" w:cs="Times New Roman"/>
          <w:sz w:val="24"/>
          <w:szCs w:val="24"/>
        </w:rPr>
        <w:t xml:space="preserve"> [Accessed 19 Nov. 2025].</w:t>
      </w:r>
    </w:p>
    <w:p w:rsidR="00D915F8" w:rsidRDefault="005A42D6">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North Face (2025). </w:t>
      </w:r>
      <w:r>
        <w:rPr>
          <w:rFonts w:ascii="Times New Roman" w:eastAsia="Times New Roman" w:hAnsi="Times New Roman" w:cs="Times New Roman"/>
          <w:i/>
          <w:iCs/>
          <w:sz w:val="24"/>
          <w:szCs w:val="24"/>
        </w:rPr>
        <w:t>Our Commitment</w:t>
      </w:r>
      <w:r>
        <w:rPr>
          <w:rFonts w:ascii="Times New Roman" w:eastAsia="Times New Roman" w:hAnsi="Times New Roman" w:cs="Times New Roman"/>
          <w:sz w:val="24"/>
          <w:szCs w:val="24"/>
        </w:rPr>
        <w:t xml:space="preserve">. [online] thenorthface.co.nz. </w:t>
      </w:r>
      <w:r>
        <w:rPr>
          <w:rFonts w:ascii="Times New Roman" w:eastAsia="Times New Roman" w:hAnsi="Times New Roman" w:cs="Times New Roman"/>
          <w:sz w:val="24"/>
          <w:szCs w:val="24"/>
        </w:rPr>
        <w:t xml:space="preserve">Available at: </w:t>
      </w:r>
      <w:hyperlink r:id="rId54">
        <w:r>
          <w:rPr>
            <w:rFonts w:ascii="Times New Roman" w:eastAsia="Times New Roman" w:hAnsi="Times New Roman" w:cs="Times New Roman"/>
            <w:color w:val="1155CC"/>
            <w:sz w:val="24"/>
            <w:szCs w:val="24"/>
            <w:u w:val="single"/>
          </w:rPr>
          <w:t>https://thenorthface.co.nz/sustainability.html?srsltid=AfmBOoqcFYvLkQqp_-OwARgjsgT3JOPe8i_AjnD3XxdcswCd_-w6eew1</w:t>
        </w:r>
      </w:hyperlink>
      <w:r>
        <w:rPr>
          <w:rFonts w:ascii="Times New Roman" w:eastAsia="Times New Roman" w:hAnsi="Times New Roman" w:cs="Times New Roman"/>
          <w:sz w:val="24"/>
          <w:szCs w:val="24"/>
        </w:rPr>
        <w:t xml:space="preserve"> [Accessed 19 Nov. 2025].</w:t>
      </w:r>
    </w:p>
    <w:p w:rsidR="00D915F8" w:rsidRDefault="005A42D6">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Strategy Institute (2024). </w:t>
      </w:r>
      <w:r>
        <w:rPr>
          <w:rFonts w:ascii="Times New Roman" w:eastAsia="Times New Roman" w:hAnsi="Times New Roman" w:cs="Times New Roman"/>
          <w:i/>
          <w:iCs/>
          <w:sz w:val="24"/>
          <w:szCs w:val="24"/>
        </w:rPr>
        <w:t>A Comprehensive Guide to Implementing the Balanced Scorecard Framework</w:t>
      </w:r>
      <w:r>
        <w:rPr>
          <w:rFonts w:ascii="Times New Roman" w:eastAsia="Times New Roman" w:hAnsi="Times New Roman" w:cs="Times New Roman"/>
          <w:sz w:val="24"/>
          <w:szCs w:val="24"/>
        </w:rPr>
        <w:t xml:space="preserve">. [online] www.thestrategyinstitute.org. Available at: </w:t>
      </w:r>
      <w:hyperlink r:id="rId55">
        <w:r>
          <w:rPr>
            <w:rFonts w:ascii="Times New Roman" w:eastAsia="Times New Roman" w:hAnsi="Times New Roman" w:cs="Times New Roman"/>
            <w:color w:val="1155CC"/>
            <w:sz w:val="24"/>
            <w:szCs w:val="24"/>
            <w:u w:val="single"/>
          </w:rPr>
          <w:t>https://www.thestrategyinstitute.org/insights/a-comprehensive-guide-to-implementing-the-balanced-scorecard-framework</w:t>
        </w:r>
      </w:hyperlink>
      <w:r>
        <w:rPr>
          <w:rFonts w:ascii="Times New Roman" w:eastAsia="Times New Roman" w:hAnsi="Times New Roman" w:cs="Times New Roman"/>
          <w:sz w:val="24"/>
          <w:szCs w:val="24"/>
        </w:rPr>
        <w:t xml:space="preserve"> [Accessed 19 Nov. 2025].</w:t>
      </w:r>
    </w:p>
    <w:p w:rsidR="00D915F8" w:rsidRDefault="005A42D6">
      <w:pP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Tu, Y., Hu, L., Hua, X. and Li, H., 2025. Supply cha</w:t>
      </w:r>
      <w:r>
        <w:rPr>
          <w:rFonts w:ascii="Times New Roman" w:eastAsia="Times New Roman" w:hAnsi="Times New Roman" w:cs="Times New Roman"/>
          <w:color w:val="222222"/>
          <w:sz w:val="24"/>
          <w:szCs w:val="24"/>
          <w:highlight w:val="white"/>
        </w:rPr>
        <w:t xml:space="preserve">in stability and corporate green technology innovation. </w:t>
      </w:r>
      <w:r>
        <w:rPr>
          <w:rFonts w:ascii="Times New Roman" w:eastAsia="Times New Roman" w:hAnsi="Times New Roman" w:cs="Times New Roman"/>
          <w:i/>
          <w:iCs/>
          <w:color w:val="222222"/>
          <w:sz w:val="24"/>
          <w:szCs w:val="24"/>
          <w:highlight w:val="white"/>
        </w:rPr>
        <w:t>International Review of Economics &amp; Finance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97</w:t>
      </w:r>
      <w:r>
        <w:rPr>
          <w:rFonts w:ascii="Times New Roman" w:eastAsia="Times New Roman" w:hAnsi="Times New Roman" w:cs="Times New Roman"/>
          <w:color w:val="222222"/>
          <w:sz w:val="24"/>
          <w:szCs w:val="24"/>
          <w:highlight w:val="white"/>
        </w:rPr>
        <w:t>, p.103769.</w:t>
      </w:r>
      <w:hyperlink r:id="rId56">
        <w:r>
          <w:rPr>
            <w:rFonts w:ascii="Times New Roman" w:eastAsia="Times New Roman" w:hAnsi="Times New Roman" w:cs="Times New Roman"/>
            <w:color w:val="1155CC"/>
            <w:sz w:val="24"/>
            <w:szCs w:val="24"/>
            <w:highlight w:val="white"/>
            <w:u w:val="single"/>
          </w:rPr>
          <w:t>https://www.sciencedirect.com/science/article/pii/S1059056024007615</w:t>
        </w:r>
      </w:hyperlink>
      <w:r>
        <w:rPr>
          <w:rFonts w:ascii="Times New Roman" w:eastAsia="Times New Roman" w:hAnsi="Times New Roman" w:cs="Times New Roman"/>
          <w:color w:val="222222"/>
          <w:sz w:val="24"/>
          <w:szCs w:val="24"/>
          <w:highlight w:val="white"/>
        </w:rPr>
        <w:t xml:space="preserve"> </w:t>
      </w:r>
    </w:p>
    <w:p w:rsidR="00D915F8" w:rsidRDefault="005A42D6">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VFC, D. &amp; (2023). </w:t>
      </w:r>
      <w:r>
        <w:rPr>
          <w:rFonts w:ascii="Times New Roman" w:eastAsia="Times New Roman" w:hAnsi="Times New Roman" w:cs="Times New Roman"/>
          <w:i/>
          <w:iCs/>
          <w:sz w:val="24"/>
          <w:szCs w:val="24"/>
        </w:rPr>
        <w:t>The North Face Fabric Technology and Innovation</w:t>
      </w:r>
      <w:r>
        <w:rPr>
          <w:rFonts w:ascii="Times New Roman" w:eastAsia="Times New Roman" w:hAnsi="Times New Roman" w:cs="Times New Roman"/>
          <w:sz w:val="24"/>
          <w:szCs w:val="24"/>
        </w:rPr>
        <w:t xml:space="preserve">. [online] The North Face. Available at: </w:t>
      </w:r>
      <w:hyperlink r:id="rId57">
        <w:r>
          <w:rPr>
            <w:rFonts w:ascii="Times New Roman" w:eastAsia="Times New Roman" w:hAnsi="Times New Roman" w:cs="Times New Roman"/>
            <w:color w:val="1155CC"/>
            <w:sz w:val="24"/>
            <w:szCs w:val="24"/>
            <w:u w:val="single"/>
          </w:rPr>
          <w:t>https://www.thenorthface.com/en-us/about-us/technology-innovation/technology</w:t>
        </w:r>
      </w:hyperlink>
      <w:r>
        <w:rPr>
          <w:rFonts w:ascii="Times New Roman" w:eastAsia="Times New Roman" w:hAnsi="Times New Roman" w:cs="Times New Roman"/>
          <w:sz w:val="24"/>
          <w:szCs w:val="24"/>
        </w:rPr>
        <w:t xml:space="preserve"> [Accessed 19 Nov. 2025].</w:t>
      </w:r>
    </w:p>
    <w:p w:rsidR="00D915F8" w:rsidRDefault="005A42D6">
      <w:pPr>
        <w:spacing w:after="240" w:line="360" w:lineRule="auto"/>
        <w:jc w:val="both"/>
        <w:rPr>
          <w:rFonts w:ascii="Times New Roman" w:eastAsia="Times New Roman" w:hAnsi="Times New Roman" w:cs="Times New Roman"/>
          <w:color w:val="444746"/>
          <w:sz w:val="24"/>
          <w:szCs w:val="24"/>
          <w:highlight w:val="white"/>
        </w:rPr>
      </w:pPr>
      <w:r>
        <w:rPr>
          <w:rFonts w:ascii="Times New Roman" w:eastAsia="Times New Roman" w:hAnsi="Times New Roman" w:cs="Times New Roman"/>
          <w:color w:val="444746"/>
          <w:sz w:val="24"/>
          <w:szCs w:val="24"/>
          <w:highlight w:val="white"/>
        </w:rPr>
        <w:t>VF Corporation (2024). VF Corporation Reports Fourth Quarter Revenue and Earnings and Exceeds FY24 Cash Flow Expectations. [online] VF Corp</w:t>
      </w:r>
      <w:r>
        <w:rPr>
          <w:rFonts w:ascii="Times New Roman" w:eastAsia="Times New Roman" w:hAnsi="Times New Roman" w:cs="Times New Roman"/>
          <w:color w:val="444746"/>
          <w:sz w:val="24"/>
          <w:szCs w:val="24"/>
          <w:highlight w:val="white"/>
        </w:rPr>
        <w:t xml:space="preserve">oration. Available at: </w:t>
      </w:r>
      <w:hyperlink r:id="rId58">
        <w:r>
          <w:rPr>
            <w:rFonts w:ascii="Times New Roman" w:eastAsia="Times New Roman" w:hAnsi="Times New Roman" w:cs="Times New Roman"/>
            <w:color w:val="0B57D0"/>
            <w:sz w:val="24"/>
            <w:szCs w:val="24"/>
            <w:highlight w:val="white"/>
          </w:rPr>
          <w:t>https://www.vfc.com/investors/news-events-presentations/press-releases/d</w:t>
        </w:r>
        <w:r>
          <w:rPr>
            <w:rFonts w:ascii="Times New Roman" w:eastAsia="Times New Roman" w:hAnsi="Times New Roman" w:cs="Times New Roman"/>
            <w:color w:val="0B57D0"/>
            <w:sz w:val="24"/>
            <w:szCs w:val="24"/>
            <w:highlight w:val="white"/>
          </w:rPr>
          <w:t>etail/1834/vf-corporation-reports-fourth-quarter-revenue-and-earnings</w:t>
        </w:r>
      </w:hyperlink>
      <w:r>
        <w:rPr>
          <w:rFonts w:ascii="Times New Roman" w:eastAsia="Times New Roman" w:hAnsi="Times New Roman" w:cs="Times New Roman"/>
          <w:color w:val="444746"/>
          <w:sz w:val="24"/>
          <w:szCs w:val="24"/>
          <w:highlight w:val="white"/>
        </w:rPr>
        <w:t xml:space="preserve"> [Accessed 19 Nov. 2025].</w:t>
      </w:r>
    </w:p>
    <w:p w:rsidR="00D915F8" w:rsidRDefault="005A42D6">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VMSD Staff (2022). </w:t>
      </w:r>
      <w:r>
        <w:rPr>
          <w:rFonts w:ascii="Times New Roman" w:eastAsia="Times New Roman" w:hAnsi="Times New Roman" w:cs="Times New Roman"/>
          <w:i/>
          <w:iCs/>
          <w:sz w:val="24"/>
          <w:szCs w:val="24"/>
        </w:rPr>
        <w:t>The North Face’s Global Growth Plan Calls For 300 New Stores</w:t>
      </w:r>
      <w:r>
        <w:rPr>
          <w:rFonts w:ascii="Times New Roman" w:eastAsia="Times New Roman" w:hAnsi="Times New Roman" w:cs="Times New Roman"/>
          <w:sz w:val="24"/>
          <w:szCs w:val="24"/>
        </w:rPr>
        <w:t xml:space="preserve">. [online] Visual Merchandising and Store Design. Available at: </w:t>
      </w:r>
      <w:hyperlink r:id="rId59">
        <w:r>
          <w:rPr>
            <w:rFonts w:ascii="Times New Roman" w:eastAsia="Times New Roman" w:hAnsi="Times New Roman" w:cs="Times New Roman"/>
            <w:color w:val="1155CC"/>
            <w:sz w:val="24"/>
            <w:szCs w:val="24"/>
            <w:u w:val="single"/>
          </w:rPr>
          <w:t>https://vmsd.com/the-north-faces-global-growth-plan-calls-for-300-new-stores/</w:t>
        </w:r>
      </w:hyperlink>
      <w:r>
        <w:rPr>
          <w:rFonts w:ascii="Times New Roman" w:eastAsia="Times New Roman" w:hAnsi="Times New Roman" w:cs="Times New Roman"/>
          <w:sz w:val="24"/>
          <w:szCs w:val="24"/>
        </w:rPr>
        <w:t xml:space="preserve"> [Accessed 19 Nov. 2025].</w:t>
      </w:r>
    </w:p>
    <w:p w:rsidR="00D915F8" w:rsidRDefault="005A42D6">
      <w:pPr>
        <w:spacing w:after="240" w:line="360" w:lineRule="auto"/>
        <w:jc w:val="both"/>
        <w:rPr>
          <w:rFonts w:ascii="Times New Roman" w:eastAsia="Times New Roman" w:hAnsi="Times New Roman" w:cs="Times New Roman"/>
          <w:color w:val="444746"/>
          <w:sz w:val="24"/>
          <w:szCs w:val="24"/>
          <w:highlight w:val="white"/>
        </w:rPr>
      </w:pPr>
      <w:r>
        <w:rPr>
          <w:rFonts w:ascii="Times New Roman" w:eastAsia="Times New Roman" w:hAnsi="Times New Roman" w:cs="Times New Roman"/>
          <w:color w:val="444746"/>
          <w:sz w:val="24"/>
          <w:szCs w:val="24"/>
          <w:highlight w:val="white"/>
        </w:rPr>
        <w:t>World Bank (2024b). Ease of Doing Business Rankings. [online] The World Ba</w:t>
      </w:r>
      <w:r>
        <w:rPr>
          <w:rFonts w:ascii="Times New Roman" w:eastAsia="Times New Roman" w:hAnsi="Times New Roman" w:cs="Times New Roman"/>
          <w:color w:val="444746"/>
          <w:sz w:val="24"/>
          <w:szCs w:val="24"/>
          <w:highlight w:val="white"/>
        </w:rPr>
        <w:t xml:space="preserve">nk. Available at: </w:t>
      </w:r>
      <w:hyperlink r:id="rId60">
        <w:r>
          <w:rPr>
            <w:rFonts w:ascii="Times New Roman" w:eastAsia="Times New Roman" w:hAnsi="Times New Roman" w:cs="Times New Roman"/>
            <w:color w:val="0B57D0"/>
            <w:sz w:val="24"/>
            <w:szCs w:val="24"/>
            <w:highlight w:val="white"/>
          </w:rPr>
          <w:t>https://archive.doingbusiness.org/en/rankings</w:t>
        </w:r>
      </w:hyperlink>
      <w:r>
        <w:rPr>
          <w:rFonts w:ascii="Times New Roman" w:eastAsia="Times New Roman" w:hAnsi="Times New Roman" w:cs="Times New Roman"/>
          <w:color w:val="444746"/>
          <w:sz w:val="24"/>
          <w:szCs w:val="24"/>
          <w:highlight w:val="white"/>
        </w:rPr>
        <w:t xml:space="preserve"> [Accessed 19 Nov. 2025].</w:t>
      </w:r>
    </w:p>
    <w:p w:rsidR="00D915F8" w:rsidRDefault="005A42D6">
      <w:pP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Yang, A., 2024. A Corporate Role Model in Climate Action: A Case Study of O'right's Net-Zero Emission Practices in Supply Chain Management. </w:t>
      </w:r>
      <w:r>
        <w:rPr>
          <w:rFonts w:ascii="Times New Roman" w:eastAsia="Times New Roman" w:hAnsi="Times New Roman" w:cs="Times New Roman"/>
          <w:i/>
          <w:iCs/>
          <w:color w:val="222222"/>
          <w:sz w:val="24"/>
          <w:szCs w:val="24"/>
          <w:highlight w:val="white"/>
        </w:rPr>
        <w:t>Supply Chain and Sustainability Research: SCSR</w:t>
      </w:r>
      <w:r>
        <w:rPr>
          <w:rFonts w:ascii="Times New Roman" w:eastAsia="Times New Roman" w:hAnsi="Times New Roman" w:cs="Times New Roman"/>
          <w:color w:val="222222"/>
          <w:sz w:val="24"/>
          <w:szCs w:val="24"/>
          <w:highlight w:val="white"/>
        </w:rPr>
        <w:t>, pp.42-55.</w:t>
      </w:r>
      <w:hyperlink r:id="rId61">
        <w:r>
          <w:rPr>
            <w:rFonts w:ascii="Times New Roman" w:eastAsia="Times New Roman" w:hAnsi="Times New Roman" w:cs="Times New Roman"/>
            <w:color w:val="1155CC"/>
            <w:sz w:val="24"/>
            <w:szCs w:val="24"/>
            <w:highlight w:val="white"/>
            <w:u w:val="single"/>
          </w:rPr>
          <w:t>https://so08.tci-thaijo.org/index.php/SCSR/article/view/4172</w:t>
        </w:r>
      </w:hyperlink>
      <w:r>
        <w:rPr>
          <w:rFonts w:ascii="Times New Roman" w:eastAsia="Times New Roman" w:hAnsi="Times New Roman" w:cs="Times New Roman"/>
          <w:color w:val="222222"/>
          <w:sz w:val="24"/>
          <w:szCs w:val="24"/>
          <w:highlight w:val="white"/>
        </w:rPr>
        <w:t xml:space="preserve"> </w:t>
      </w:r>
    </w:p>
    <w:p w:rsidR="00D915F8" w:rsidRDefault="00D915F8">
      <w:pPr>
        <w:spacing w:after="240" w:line="360" w:lineRule="auto"/>
        <w:jc w:val="both"/>
        <w:rPr>
          <w:rFonts w:ascii="Times New Roman" w:eastAsia="Times New Roman" w:hAnsi="Times New Roman" w:cs="Times New Roman"/>
          <w:color w:val="222222"/>
          <w:sz w:val="24"/>
          <w:szCs w:val="24"/>
          <w:highlight w:val="white"/>
        </w:rPr>
      </w:pPr>
    </w:p>
    <w:p w:rsidR="00D915F8" w:rsidRDefault="00D915F8">
      <w:pPr>
        <w:spacing w:after="240" w:line="360" w:lineRule="auto"/>
        <w:jc w:val="both"/>
        <w:rPr>
          <w:rFonts w:ascii="Times New Roman" w:eastAsia="Times New Roman" w:hAnsi="Times New Roman" w:cs="Times New Roman"/>
          <w:color w:val="222222"/>
          <w:sz w:val="24"/>
          <w:szCs w:val="24"/>
          <w:highlight w:val="white"/>
        </w:rPr>
      </w:pPr>
    </w:p>
    <w:p w:rsidR="00D915F8" w:rsidRDefault="00D915F8">
      <w:pPr>
        <w:spacing w:after="240" w:line="360" w:lineRule="auto"/>
        <w:jc w:val="both"/>
        <w:rPr>
          <w:rFonts w:ascii="Times New Roman" w:eastAsia="Times New Roman" w:hAnsi="Times New Roman" w:cs="Times New Roman"/>
          <w:color w:val="222222"/>
          <w:sz w:val="24"/>
          <w:szCs w:val="24"/>
          <w:highlight w:val="white"/>
        </w:rPr>
      </w:pPr>
    </w:p>
    <w:p w:rsidR="00D915F8" w:rsidRDefault="00D915F8">
      <w:pPr>
        <w:spacing w:after="240" w:line="360" w:lineRule="auto"/>
        <w:jc w:val="both"/>
        <w:rPr>
          <w:rFonts w:ascii="Times New Roman" w:eastAsia="Times New Roman" w:hAnsi="Times New Roman" w:cs="Times New Roman"/>
          <w:color w:val="222222"/>
          <w:sz w:val="24"/>
          <w:szCs w:val="24"/>
          <w:highlight w:val="white"/>
        </w:rPr>
      </w:pPr>
    </w:p>
    <w:p w:rsidR="00D915F8" w:rsidRDefault="00D915F8">
      <w:pPr>
        <w:spacing w:after="240" w:line="360" w:lineRule="auto"/>
        <w:jc w:val="both"/>
        <w:rPr>
          <w:rFonts w:ascii="Times New Roman" w:eastAsia="Times New Roman" w:hAnsi="Times New Roman" w:cs="Times New Roman"/>
          <w:sz w:val="24"/>
          <w:szCs w:val="24"/>
        </w:rPr>
      </w:pPr>
    </w:p>
    <w:p w:rsidR="00D915F8" w:rsidRDefault="00D915F8">
      <w:pPr>
        <w:spacing w:line="360" w:lineRule="auto"/>
        <w:jc w:val="both"/>
        <w:rPr>
          <w:rFonts w:ascii="Times New Roman" w:eastAsia="Times New Roman" w:hAnsi="Times New Roman" w:cs="Times New Roman"/>
          <w:sz w:val="24"/>
          <w:szCs w:val="24"/>
        </w:rPr>
      </w:pPr>
    </w:p>
    <w:p w:rsidR="00D915F8" w:rsidRDefault="00D915F8">
      <w:pPr>
        <w:spacing w:after="240" w:line="360" w:lineRule="auto"/>
        <w:jc w:val="both"/>
        <w:rPr>
          <w:rFonts w:ascii="Times New Roman" w:eastAsia="Times New Roman" w:hAnsi="Times New Roman" w:cs="Times New Roman"/>
          <w:sz w:val="24"/>
          <w:szCs w:val="24"/>
        </w:rPr>
      </w:pPr>
    </w:p>
    <w:sectPr w:rsidR="00D915F8">
      <w:footerReference w:type="default" r:id="rId6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A42D6" w:rsidRDefault="005A42D6">
      <w:pPr>
        <w:spacing w:line="240" w:lineRule="auto"/>
      </w:pPr>
      <w:r>
        <w:separator/>
      </w:r>
    </w:p>
  </w:endnote>
  <w:endnote w:type="continuationSeparator" w:id="0">
    <w:p w:rsidR="005A42D6" w:rsidRDefault="005A42D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4CBD494E-75F7-4B04-AFE6-CA06A734F1D3}"/>
  </w:font>
  <w:font w:name="Cambria">
    <w:panose1 w:val="02040503050406030204"/>
    <w:charset w:val="00"/>
    <w:family w:val="roman"/>
    <w:pitch w:val="variable"/>
    <w:sig w:usb0="E00006FF" w:usb1="420024FF" w:usb2="02000000" w:usb3="00000000" w:csb0="0000019F" w:csb1="00000000"/>
    <w:embedRegular r:id="rId2" w:fontKey="{00D6166E-9945-4EE3-8EE6-07AD0392FA67}"/>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915F8" w:rsidRDefault="005A42D6">
    <w:pPr>
      <w:spacing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sidR="00047E59">
      <w:rPr>
        <w:rFonts w:ascii="Times New Roman" w:eastAsia="Times New Roman" w:hAnsi="Times New Roman" w:cs="Times New Roman"/>
        <w:sz w:val="24"/>
        <w:szCs w:val="24"/>
      </w:rPr>
      <w:fldChar w:fldCharType="separate"/>
    </w:r>
    <w:r w:rsidR="00047E59">
      <w:rPr>
        <w:rFonts w:ascii="Times New Roman" w:eastAsia="Times New Roman" w:hAnsi="Times New Roman" w:cs="Times New Roman"/>
        <w:noProof/>
        <w:sz w:val="24"/>
        <w:szCs w:val="24"/>
      </w:rPr>
      <w:t>1</w:t>
    </w:r>
    <w:r>
      <w:rPr>
        <w:rFonts w:ascii="Times New Roman" w:eastAsia="Times New Roman" w:hAnsi="Times New Roman" w:cs="Times New Roman"/>
        <w:sz w:val="24"/>
        <w:szCs w:val="24"/>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A42D6" w:rsidRDefault="005A42D6">
      <w:pPr>
        <w:spacing w:line="240" w:lineRule="auto"/>
      </w:pPr>
      <w:r>
        <w:separator/>
      </w:r>
    </w:p>
  </w:footnote>
  <w:footnote w:type="continuationSeparator" w:id="0">
    <w:p w:rsidR="005A42D6" w:rsidRDefault="005A42D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915F8"/>
    <w:rsid w:val="00047E59"/>
    <w:rsid w:val="005A42D6"/>
    <w:rsid w:val="00D915F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95A8C291-BBD3-442F-98DD-704DA85F6D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rFonts w:ascii="Times New Roman" w:eastAsia="Times New Roman" w:hAnsi="Times New Roman" w:cs="Times New Roman"/>
      <w:b/>
      <w:bCs/>
      <w:sz w:val="24"/>
      <w:szCs w:val="24"/>
    </w:rPr>
  </w:style>
  <w:style w:type="paragraph" w:styleId="Heading2">
    <w:name w:val="heading 2"/>
    <w:basedOn w:val="Normal"/>
    <w:next w:val="Normal"/>
    <w:pPr>
      <w:keepNext/>
      <w:keepLines/>
      <w:spacing w:line="360" w:lineRule="auto"/>
      <w:jc w:val="both"/>
      <w:outlineLvl w:val="1"/>
    </w:pPr>
    <w:rPr>
      <w:rFonts w:ascii="Times New Roman" w:eastAsia="Times New Roman" w:hAnsi="Times New Roman" w:cs="Times New Roman"/>
      <w:b/>
      <w:bCs/>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a">
    <w:basedOn w:val="TableNormal1"/>
    <w:tblPr>
      <w:tblStyleRowBandSize w:val="1"/>
      <w:tblStyleColBandSize w:val="1"/>
      <w:tblCellMar>
        <w:top w:w="100" w:type="dxa"/>
        <w:left w:w="100" w:type="dxa"/>
        <w:bottom w:w="100" w:type="dxa"/>
        <w:right w:w="100" w:type="dxa"/>
      </w:tblCellMar>
    </w:tblPr>
  </w:style>
  <w:style w:type="table" w:customStyle="1" w:styleId="a0">
    <w:basedOn w:val="TableNormal1"/>
    <w:tblPr>
      <w:tblStyleRowBandSize w:val="1"/>
      <w:tblStyleColBandSize w:val="1"/>
      <w:tblCellMar>
        <w:top w:w="100" w:type="dxa"/>
        <w:left w:w="100" w:type="dxa"/>
        <w:bottom w:w="100" w:type="dxa"/>
        <w:right w:w="100" w:type="dxa"/>
      </w:tblCellMar>
    </w:tblPr>
  </w:style>
  <w:style w:type="paragraph" w:styleId="Subtitle">
    <w:name w:val="Subtitle"/>
    <w:basedOn w:val="Normal"/>
    <w:next w:val="Normal"/>
    <w:pPr>
      <w:keepNext/>
      <w:keepLines/>
      <w:spacing w:after="320"/>
    </w:pPr>
    <w:rPr>
      <w:color w:val="666666"/>
      <w:sz w:val="30"/>
      <w:szCs w:val="30"/>
    </w:rPr>
  </w:style>
  <w:style w:type="table" w:customStyle="1" w:styleId="a1">
    <w:basedOn w:val="TableNormal1"/>
    <w:tblPr>
      <w:tblStyleRowBandSize w:val="1"/>
      <w:tblStyleColBandSize w:val="1"/>
      <w:tblCellMar>
        <w:top w:w="100" w:type="dxa"/>
        <w:left w:w="100" w:type="dxa"/>
        <w:bottom w:w="100" w:type="dxa"/>
        <w:right w:w="100" w:type="dxa"/>
      </w:tblCellMar>
    </w:tblPr>
  </w:style>
  <w:style w:type="table" w:customStyle="1" w:styleId="a2">
    <w:basedOn w:val="TableNormal1"/>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www.sciencedirect.com/science/article/pii/S2213078022000123" TargetMode="External"/><Relationship Id="rId39" Type="http://schemas.openxmlformats.org/officeDocument/2006/relationships/hyperlink" Target="https://online.hbs.edu/blog/post/what-is-the-triple-bottom-line" TargetMode="External"/><Relationship Id="rId21" Type="http://schemas.openxmlformats.org/officeDocument/2006/relationships/hyperlink" Target="https://balancedscorecard.org/bsc-basics-overview/" TargetMode="External"/><Relationship Id="rId34" Type="http://schemas.openxmlformats.org/officeDocument/2006/relationships/hyperlink" Target="https://doi.org/10.29119/1641-3466.2023.180.16" TargetMode="External"/><Relationship Id="rId42" Type="http://schemas.openxmlformats.org/officeDocument/2006/relationships/hyperlink" Target="https://www.statista.com/statistics/375263/gross-domestic-product-gdp-in-new-zealand/?srsltid=AfmBOopojLYlhapAwODbT4xNOKoHBClUETeuEplfJKHIUd6YQ5Zp9MXF" TargetMode="External"/><Relationship Id="rId47" Type="http://schemas.openxmlformats.org/officeDocument/2006/relationships/hyperlink" Target="https://www.thepost.co.nz/business/360814184/kathmandu-owner-kmd-brands-share-price-plunges-company-vows-turnaround" TargetMode="External"/><Relationship Id="rId50" Type="http://schemas.openxmlformats.org/officeDocument/2006/relationships/hyperlink" Target="https://journal.literasisainsnusantara.com/Index.Php/Adman/Article/View/24" TargetMode="External"/><Relationship Id="rId55" Type="http://schemas.openxmlformats.org/officeDocument/2006/relationships/hyperlink" Target="https://www.thestrategyinstitute.org/insights/a-comprehensive-guide-to-implementing-the-balanced-scorecard-framework" TargetMode="External"/><Relationship Id="rId63"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www.frontiersin.org/articles/10.3389/fpsyg.2023.1128686/full" TargetMode="External"/><Relationship Id="rId11" Type="http://schemas.openxmlformats.org/officeDocument/2006/relationships/image" Target="media/image5.png"/><Relationship Id="rId24" Type="http://schemas.openxmlformats.org/officeDocument/2006/relationships/hyperlink" Target="https://creately.com/diagram/example/m3O1O8AgSKY/stp-model" TargetMode="External"/><Relationship Id="rId32" Type="http://schemas.openxmlformats.org/officeDocument/2006/relationships/hyperlink" Target="https://telmarhelixa.com/resources/the-north-face-audience-analysis" TargetMode="External"/><Relationship Id="rId37" Type="http://schemas.openxmlformats.org/officeDocument/2006/relationships/hyperlink" Target="https://doi.org/10.3390/encyclopedia5010039" TargetMode="External"/><Relationship Id="rId40" Type="http://schemas.openxmlformats.org/officeDocument/2006/relationships/hyperlink" Target="https://www.mindtools.com/awbh8iv/the-triple-bottom-line/" TargetMode="External"/><Relationship Id="rId45" Type="http://schemas.openxmlformats.org/officeDocument/2006/relationships/hyperlink" Target="https://doi.org/10.3390/beverages11040120" TargetMode="External"/><Relationship Id="rId53" Type="http://schemas.openxmlformats.org/officeDocument/2006/relationships/hyperlink" Target="https://www.thenorthface.com/en-us/about-us/our-story" TargetMode="External"/><Relationship Id="rId58" Type="http://schemas.openxmlformats.org/officeDocument/2006/relationships/hyperlink" Target="https://www.vfc.com/investors/news-events-presentations/press-releases/detail/1834/vf-corporation-reports-fourth-quarter-revenue-and-earnings" TargetMode="External"/><Relationship Id="rId5" Type="http://schemas.openxmlformats.org/officeDocument/2006/relationships/footnotes" Target="footnotes.xml"/><Relationship Id="rId61" Type="http://schemas.openxmlformats.org/officeDocument/2006/relationships/hyperlink" Target="https://so08.tci-thaijo.org/index.php/SCSR/article/view/4172" TargetMode="External"/><Relationship Id="rId19" Type="http://schemas.openxmlformats.org/officeDocument/2006/relationships/image" Target="media/image13.png"/><Relationship Id="rId14" Type="http://schemas.openxmlformats.org/officeDocument/2006/relationships/image" Target="media/image8.png"/><Relationship Id="rId22" Type="http://schemas.openxmlformats.org/officeDocument/2006/relationships/hyperlink" Target="https://onlinelibrary.wiley.com/doi/abs/10.1002/bse.3653" TargetMode="External"/><Relationship Id="rId27" Type="http://schemas.openxmlformats.org/officeDocument/2006/relationships/hyperlink" Target="https://www.frontiersin.org/articles/10.3389/fenvs.2023.1162099/full" TargetMode="External"/><Relationship Id="rId30" Type="http://schemas.openxmlformats.org/officeDocument/2006/relationships/hyperlink" Target="https://library.oapen.org/bitstream/handle/20.500.12657/98674/9781040304563.pdf?sequence=1" TargetMode="External"/><Relationship Id="rId35" Type="http://schemas.openxmlformats.org/officeDocument/2006/relationships/hyperlink" Target="https://scholar.archive.org/work/5xz5s772dje2zjk2eatcgvdybm/access/wayback/https://journal.perbanas.ac.id/index.php/jebav/article/download/3256/pdf" TargetMode="External"/><Relationship Id="rId43" Type="http://schemas.openxmlformats.org/officeDocument/2006/relationships/hyperlink" Target="https://link.springer.com/chapter/10.1007/978-981-97-5341-3_13" TargetMode="External"/><Relationship Id="rId48" Type="http://schemas.openxmlformats.org/officeDocument/2006/relationships/hyperlink" Target="https://www.stats.govt.nz/information-releases/international-travel-january-2025/" TargetMode="External"/><Relationship Id="rId56" Type="http://schemas.openxmlformats.org/officeDocument/2006/relationships/hyperlink" Target="https://www.sciencedirect.com/science/article/pii/S1059056024007615" TargetMode="External"/><Relationship Id="rId64"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hyperlink" Target="https://d1io3yog0oux5.cloudfront.net/vfc/files/documents/Sustainability/Resources/VF_FY2022_Made_for_Change_Report_FINAL.pdf"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mdpi.com/2071-1050/15/2/1298" TargetMode="External"/><Relationship Id="rId33" Type="http://schemas.openxmlformats.org/officeDocument/2006/relationships/hyperlink" Target="https://www.trade.gov/country-commercial-guides/new-zealand-market-entry-strategy" TargetMode="External"/><Relationship Id="rId38" Type="http://schemas.openxmlformats.org/officeDocument/2006/relationships/hyperlink" Target="https://www.investopedia.com/vf-reports-loss-sales-miss-weak-demand-inventory-issues-8653189" TargetMode="External"/><Relationship Id="rId46" Type="http://schemas.openxmlformats.org/officeDocument/2006/relationships/hyperlink" Target="https://www.sciencedirect.com/science/article/pii/S2666784324000408" TargetMode="External"/><Relationship Id="rId59" Type="http://schemas.openxmlformats.org/officeDocument/2006/relationships/hyperlink" Target="https://vmsd.com/the-north-faces-global-growth-plan-calls-for-300-new-stores/" TargetMode="External"/><Relationship Id="rId20" Type="http://schemas.openxmlformats.org/officeDocument/2006/relationships/hyperlink" Target="https://www.slideshare.net/slideshow/north-face-for-interviews/1012689" TargetMode="External"/><Relationship Id="rId41" Type="http://schemas.openxmlformats.org/officeDocument/2006/relationships/hyperlink" Target="https://www.mdpi.com/2071-1050/15/6/5141" TargetMode="External"/><Relationship Id="rId54" Type="http://schemas.openxmlformats.org/officeDocument/2006/relationships/hyperlink" Target="https://thenorthface.co.nz/sustainability.html?srsltid=AfmBOoqcFYvLkQqp_-OwARgjsgT3JOPe8i_AjnD3XxdcswCd_-w6eew1" TargetMode="External"/><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hyperlink" Target="https://www.researchgate.net/profile/Muo-Charles/publication/372748300_Strategic_Outsourcing_and_Firm_Performance_A_Review_of_Literature/links/65e5a8d0c3b52a1170139c4f/Strategic-Outsourcing-and-Firm-Performance-A-Review-of-Literature.pdf" TargetMode="External"/><Relationship Id="rId28" Type="http://schemas.openxmlformats.org/officeDocument/2006/relationships/hyperlink" Target="https://www.researchgate.net/publication/370472596_The_North_Face_Case_Study" TargetMode="External"/><Relationship Id="rId36" Type="http://schemas.openxmlformats.org/officeDocument/2006/relationships/hyperlink" Target="https://www.mdpi.com/2624-6511/6/4/93" TargetMode="External"/><Relationship Id="rId49" Type="http://schemas.openxmlformats.org/officeDocument/2006/relationships/hyperlink" Target="https://www.studocu.com/en-ie/document/technological-university-dublin/digital-marketing/positioning-of-the-north-face/82268889" TargetMode="External"/><Relationship Id="rId57" Type="http://schemas.openxmlformats.org/officeDocument/2006/relationships/hyperlink" Target="https://www.thenorthface.com/en-us/about-us/technology-innovation/technology" TargetMode="External"/><Relationship Id="rId10" Type="http://schemas.openxmlformats.org/officeDocument/2006/relationships/image" Target="media/image4.png"/><Relationship Id="rId31" Type="http://schemas.openxmlformats.org/officeDocument/2006/relationships/hyperlink" Target="https://www.researchgate.net/profile/Kwan-Hong-Tan/publication/391661964_Strategic_International_Marketing_Plan_Patagonia's_Entry_into_India/links/68219de7d1054b0207ee4bdf/Strategic-International-Marketing-Plan-Patagonias-Entry-into-India.pdf" TargetMode="External"/><Relationship Id="rId44" Type="http://schemas.openxmlformats.org/officeDocument/2006/relationships/hyperlink" Target="https://tesi.luiss.it/32293/1/726591_RACHINI_EDOARDO.pdf" TargetMode="External"/><Relationship Id="rId52" Type="http://schemas.openxmlformats.org/officeDocument/2006/relationships/hyperlink" Target="https://www.thenorthface.com/en-us/sustainability" TargetMode="External"/><Relationship Id="rId60" Type="http://schemas.openxmlformats.org/officeDocument/2006/relationships/hyperlink" Target="https://archive.doingbusiness.org/en/rankings" TargetMode="External"/><Relationship Id="rId4" Type="http://schemas.openxmlformats.org/officeDocument/2006/relationships/webSettings" Target="webSettings.xml"/><Relationship Id="rId9" Type="http://schemas.openxmlformats.org/officeDocument/2006/relationships/image" Target="media/image3.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5A2Nuk8xm4oc8j3E9FsVb2H11qQ==">CgMxLjAyDmgudnhydzdybGpzY3Y1Mg5oLmdmdzJ2YmxnMGV6NjIOaC51ZmdyZjZobmR5NzUyDmgudmkwYnV2d2w0M3poMg5oLmJ5cmFlOW1pN25hMDIOaC5vNWtsbXVocTVidDUyDmgudTNvYzhpbzBnOHM5Mg5oLm16aGF0eGJrbXdqaTIOaC5ndXlseWo5dWs1eGkyDmguMTdqNnJsczRyZG1mMg5oLjRhbHo5d2ZpaW1jdTIOaC5uc2ppcTMzb2J6a3gyDmguY2Z1eWEzdzg3ejR5Mg5oLnlzazIxdDV0aGZoejIOaC54Z3dmZ3UxdmFkMTIyDWguaHpqeTlnMHA3MngyDmguZzA4b3VtbW5mNmpjMg5oLm5wZWZwaHNhcmE0ODIOaC41bm1ncWQ5MDhxNDY4AHIhMW5oYVNhRExxenFYcnRQQS14Tlk5VzIzVmlDbmx0VEVy</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32</Pages>
  <Words>7882</Words>
  <Characters>44931</Characters>
  <Application>Microsoft Office Word</Application>
  <DocSecurity>0</DocSecurity>
  <Lines>374</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52708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OS</cp:lastModifiedBy>
  <cp:revision>2</cp:revision>
  <dcterms:created xsi:type="dcterms:W3CDTF">2025-12-22T01:52:00Z</dcterms:created>
  <dcterms:modified xsi:type="dcterms:W3CDTF">2025-12-22T01:58:00Z</dcterms:modified>
</cp:coreProperties>
</file>