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BBE7D" w14:textId="77777777" w:rsidR="00CB5C72" w:rsidRPr="00F13502" w:rsidRDefault="00CB5C72" w:rsidP="00CB5C72">
      <w:pPr>
        <w:spacing w:line="480" w:lineRule="auto"/>
        <w:jc w:val="center"/>
        <w:rPr>
          <w:rFonts w:ascii="Times New Roman" w:hAnsi="Times New Roman" w:cs="Times New Roman"/>
          <w:b/>
          <w:bCs/>
          <w:sz w:val="28"/>
          <w:szCs w:val="28"/>
        </w:rPr>
      </w:pPr>
    </w:p>
    <w:p w14:paraId="0C05B7DE" w14:textId="77777777" w:rsidR="00CB5C72" w:rsidRPr="00CB5C72" w:rsidRDefault="00CB5C72" w:rsidP="00CB5C72">
      <w:pPr>
        <w:spacing w:line="480" w:lineRule="auto"/>
        <w:jc w:val="center"/>
        <w:rPr>
          <w:rFonts w:ascii="Times New Roman" w:hAnsi="Times New Roman" w:cs="Times New Roman"/>
          <w:b/>
          <w:bCs/>
        </w:rPr>
      </w:pPr>
    </w:p>
    <w:p w14:paraId="382F215E" w14:textId="77777777" w:rsidR="00CB5C72" w:rsidRDefault="00CB5C72" w:rsidP="00CB5C72">
      <w:pPr>
        <w:spacing w:line="480" w:lineRule="auto"/>
        <w:jc w:val="center"/>
        <w:rPr>
          <w:rFonts w:ascii="Times New Roman" w:hAnsi="Times New Roman" w:cs="Times New Roman"/>
          <w:b/>
          <w:bCs/>
        </w:rPr>
      </w:pPr>
    </w:p>
    <w:p w14:paraId="0F58D5A7" w14:textId="16D9186C" w:rsidR="00CB5C72" w:rsidRPr="00E619FA" w:rsidRDefault="00F13502" w:rsidP="00CB5C72">
      <w:pPr>
        <w:spacing w:line="480" w:lineRule="auto"/>
        <w:jc w:val="center"/>
        <w:rPr>
          <w:rFonts w:ascii="Arial" w:hAnsi="Arial" w:cs="Arial"/>
          <w:sz w:val="22"/>
          <w:szCs w:val="22"/>
        </w:rPr>
      </w:pPr>
      <w:r w:rsidRPr="00E619FA">
        <w:rPr>
          <w:rFonts w:ascii="Arial" w:hAnsi="Arial" w:cs="Arial"/>
          <w:b/>
          <w:bCs/>
          <w:sz w:val="22"/>
          <w:szCs w:val="22"/>
        </w:rPr>
        <w:t>INTRODUCTION TO PUBLIC HEALTH</w:t>
      </w:r>
    </w:p>
    <w:p w14:paraId="397526B0" w14:textId="77777777" w:rsidR="00F13502" w:rsidRPr="00E619FA" w:rsidRDefault="00F13502" w:rsidP="00CB5C72">
      <w:pPr>
        <w:spacing w:line="480" w:lineRule="auto"/>
        <w:jc w:val="center"/>
        <w:rPr>
          <w:rFonts w:ascii="Arial" w:hAnsi="Arial" w:cs="Arial"/>
          <w:sz w:val="22"/>
          <w:szCs w:val="22"/>
        </w:rPr>
      </w:pPr>
    </w:p>
    <w:p w14:paraId="5E093238" w14:textId="5B1052C3" w:rsidR="00CB5C72" w:rsidRPr="00E619FA" w:rsidRDefault="00CB5C72" w:rsidP="00CB5C72">
      <w:pPr>
        <w:spacing w:line="480" w:lineRule="auto"/>
        <w:jc w:val="center"/>
        <w:rPr>
          <w:rFonts w:ascii="Arial" w:hAnsi="Arial" w:cs="Arial"/>
          <w:sz w:val="22"/>
          <w:szCs w:val="22"/>
        </w:rPr>
      </w:pPr>
      <w:r w:rsidRPr="00E619FA">
        <w:rPr>
          <w:rFonts w:ascii="Arial" w:hAnsi="Arial" w:cs="Arial"/>
          <w:sz w:val="22"/>
          <w:szCs w:val="22"/>
        </w:rPr>
        <w:t>Student name</w:t>
      </w:r>
      <w:r w:rsidR="001C024D" w:rsidRPr="00E619FA">
        <w:rPr>
          <w:rFonts w:ascii="Arial" w:hAnsi="Arial" w:cs="Arial"/>
          <w:sz w:val="22"/>
          <w:szCs w:val="22"/>
        </w:rPr>
        <w:t>: AREENA AYAZ</w:t>
      </w:r>
    </w:p>
    <w:p w14:paraId="7D279EEF" w14:textId="0A91FA1A" w:rsidR="001C024D" w:rsidRPr="00E619FA" w:rsidRDefault="001C024D" w:rsidP="00CB5C72">
      <w:pPr>
        <w:spacing w:line="480" w:lineRule="auto"/>
        <w:jc w:val="center"/>
        <w:rPr>
          <w:rFonts w:ascii="Arial" w:hAnsi="Arial" w:cs="Arial"/>
          <w:sz w:val="22"/>
          <w:szCs w:val="22"/>
        </w:rPr>
      </w:pPr>
      <w:r w:rsidRPr="00E619FA">
        <w:rPr>
          <w:rFonts w:ascii="Arial" w:hAnsi="Arial" w:cs="Arial"/>
          <w:sz w:val="22"/>
          <w:szCs w:val="22"/>
        </w:rPr>
        <w:t>Student I.D: 2509706</w:t>
      </w:r>
    </w:p>
    <w:p w14:paraId="0A579441" w14:textId="37A8CAC3" w:rsidR="00CB5C72" w:rsidRPr="00E619FA" w:rsidRDefault="00CB5C72" w:rsidP="00CB5C72">
      <w:pPr>
        <w:spacing w:line="480" w:lineRule="auto"/>
        <w:jc w:val="center"/>
        <w:rPr>
          <w:rFonts w:ascii="Arial" w:hAnsi="Arial" w:cs="Arial"/>
          <w:sz w:val="22"/>
          <w:szCs w:val="22"/>
        </w:rPr>
      </w:pPr>
      <w:r w:rsidRPr="00E619FA">
        <w:rPr>
          <w:rFonts w:ascii="Arial" w:hAnsi="Arial" w:cs="Arial"/>
          <w:sz w:val="22"/>
          <w:szCs w:val="22"/>
        </w:rPr>
        <w:t>Module code</w:t>
      </w:r>
      <w:r w:rsidR="001C024D" w:rsidRPr="00E619FA">
        <w:rPr>
          <w:rFonts w:ascii="Arial" w:hAnsi="Arial" w:cs="Arial"/>
          <w:sz w:val="22"/>
          <w:szCs w:val="22"/>
        </w:rPr>
        <w:t>: LCHS4008</w:t>
      </w:r>
    </w:p>
    <w:p w14:paraId="7D8F6192" w14:textId="0D2B42F5" w:rsidR="001C024D" w:rsidRPr="00E619FA" w:rsidRDefault="001C024D" w:rsidP="00CB5C72">
      <w:pPr>
        <w:spacing w:line="480" w:lineRule="auto"/>
        <w:jc w:val="center"/>
        <w:rPr>
          <w:rFonts w:ascii="Arial" w:hAnsi="Arial" w:cs="Arial"/>
          <w:sz w:val="22"/>
          <w:szCs w:val="22"/>
        </w:rPr>
      </w:pPr>
      <w:r w:rsidRPr="00E619FA">
        <w:rPr>
          <w:rFonts w:ascii="Arial" w:hAnsi="Arial" w:cs="Arial"/>
          <w:sz w:val="22"/>
          <w:szCs w:val="22"/>
        </w:rPr>
        <w:t xml:space="preserve">Module: Introduction to Public Health </w:t>
      </w:r>
    </w:p>
    <w:p w14:paraId="564786E0" w14:textId="35460A92" w:rsidR="001C024D" w:rsidRPr="00E619FA" w:rsidRDefault="001C024D" w:rsidP="00CB5C72">
      <w:pPr>
        <w:spacing w:line="480" w:lineRule="auto"/>
        <w:jc w:val="center"/>
        <w:rPr>
          <w:rFonts w:ascii="Arial" w:hAnsi="Arial" w:cs="Arial"/>
          <w:sz w:val="22"/>
          <w:szCs w:val="22"/>
        </w:rPr>
      </w:pPr>
      <w:r w:rsidRPr="00E619FA">
        <w:rPr>
          <w:rFonts w:ascii="Arial" w:hAnsi="Arial" w:cs="Arial"/>
          <w:sz w:val="22"/>
          <w:szCs w:val="22"/>
        </w:rPr>
        <w:t xml:space="preserve">Lecturer: Gillian Weaver </w:t>
      </w:r>
    </w:p>
    <w:p w14:paraId="5CDF29C6" w14:textId="6D4EA3C8" w:rsidR="00CB5C72" w:rsidRPr="00E619FA" w:rsidRDefault="00CB5C72" w:rsidP="00CB5C72">
      <w:pPr>
        <w:spacing w:line="480" w:lineRule="auto"/>
        <w:jc w:val="center"/>
        <w:rPr>
          <w:rFonts w:ascii="Arial" w:hAnsi="Arial" w:cs="Arial"/>
          <w:sz w:val="22"/>
          <w:szCs w:val="22"/>
        </w:rPr>
      </w:pPr>
    </w:p>
    <w:p w14:paraId="671BDD8D" w14:textId="3A45AD7C" w:rsidR="00CB5C72" w:rsidRPr="00E619FA" w:rsidRDefault="00CB5C72" w:rsidP="00CB5C72">
      <w:pPr>
        <w:rPr>
          <w:rFonts w:ascii="Arial" w:hAnsi="Arial" w:cs="Arial"/>
          <w:sz w:val="22"/>
          <w:szCs w:val="22"/>
        </w:rPr>
      </w:pPr>
    </w:p>
    <w:p w14:paraId="1E1D3AB3" w14:textId="77777777" w:rsidR="00CB5C72" w:rsidRPr="00E619FA" w:rsidRDefault="00CB5C72">
      <w:pPr>
        <w:rPr>
          <w:rFonts w:ascii="Arial" w:eastAsiaTheme="majorEastAsia" w:hAnsi="Arial" w:cs="Arial"/>
          <w:b/>
          <w:sz w:val="22"/>
          <w:szCs w:val="22"/>
        </w:rPr>
      </w:pPr>
      <w:r w:rsidRPr="00E619FA">
        <w:rPr>
          <w:rFonts w:ascii="Arial" w:hAnsi="Arial" w:cs="Arial"/>
          <w:sz w:val="22"/>
          <w:szCs w:val="22"/>
        </w:rPr>
        <w:br w:type="page"/>
      </w:r>
    </w:p>
    <w:sdt>
      <w:sdtPr>
        <w:rPr>
          <w:rFonts w:ascii="Arial" w:eastAsiaTheme="minorHAnsi" w:hAnsi="Arial" w:cs="Arial"/>
          <w:color w:val="auto"/>
          <w:kern w:val="2"/>
          <w:sz w:val="22"/>
          <w:szCs w:val="22"/>
          <w14:ligatures w14:val="standardContextual"/>
        </w:rPr>
        <w:id w:val="348296331"/>
        <w:docPartObj>
          <w:docPartGallery w:val="Table of Contents"/>
          <w:docPartUnique/>
        </w:docPartObj>
      </w:sdtPr>
      <w:sdtEndPr>
        <w:rPr>
          <w:b/>
          <w:bCs/>
          <w:noProof/>
        </w:rPr>
      </w:sdtEndPr>
      <w:sdtContent>
        <w:p w14:paraId="6261B7E5" w14:textId="1CE4A380" w:rsidR="00CB5C72" w:rsidRPr="00E619FA" w:rsidRDefault="00CB5C72" w:rsidP="00CB5C72">
          <w:pPr>
            <w:pStyle w:val="TOCHeading"/>
            <w:spacing w:line="480" w:lineRule="auto"/>
            <w:rPr>
              <w:rFonts w:ascii="Arial" w:hAnsi="Arial" w:cs="Arial"/>
              <w:b/>
              <w:bCs/>
              <w:color w:val="auto"/>
              <w:sz w:val="22"/>
              <w:szCs w:val="22"/>
            </w:rPr>
          </w:pPr>
          <w:r w:rsidRPr="00E619FA">
            <w:rPr>
              <w:rFonts w:ascii="Arial" w:hAnsi="Arial" w:cs="Arial"/>
              <w:b/>
              <w:bCs/>
              <w:color w:val="auto"/>
              <w:sz w:val="22"/>
              <w:szCs w:val="22"/>
            </w:rPr>
            <w:t>Table of Contents</w:t>
          </w:r>
        </w:p>
        <w:p w14:paraId="40FB60BA" w14:textId="7DF0019C" w:rsidR="00CB5C72" w:rsidRPr="00E619FA" w:rsidRDefault="00CB5C72" w:rsidP="00CB5C72">
          <w:pPr>
            <w:pStyle w:val="TOC1"/>
            <w:tabs>
              <w:tab w:val="right" w:leader="dot" w:pos="9350"/>
            </w:tabs>
            <w:spacing w:line="480" w:lineRule="auto"/>
            <w:rPr>
              <w:rFonts w:ascii="Arial" w:eastAsiaTheme="minorEastAsia" w:hAnsi="Arial" w:cs="Arial"/>
              <w:noProof/>
              <w:sz w:val="22"/>
              <w:szCs w:val="22"/>
            </w:rPr>
          </w:pPr>
          <w:r w:rsidRPr="00E619FA">
            <w:rPr>
              <w:rFonts w:ascii="Arial" w:hAnsi="Arial" w:cs="Arial"/>
              <w:sz w:val="22"/>
              <w:szCs w:val="22"/>
            </w:rPr>
            <w:fldChar w:fldCharType="begin"/>
          </w:r>
          <w:r w:rsidRPr="00E619FA">
            <w:rPr>
              <w:rFonts w:ascii="Arial" w:hAnsi="Arial" w:cs="Arial"/>
              <w:sz w:val="22"/>
              <w:szCs w:val="22"/>
            </w:rPr>
            <w:instrText xml:space="preserve"> TOC \o "1-3" \h \z \u </w:instrText>
          </w:r>
          <w:r w:rsidRPr="00E619FA">
            <w:rPr>
              <w:rFonts w:ascii="Arial" w:hAnsi="Arial" w:cs="Arial"/>
              <w:sz w:val="22"/>
              <w:szCs w:val="22"/>
            </w:rPr>
            <w:fldChar w:fldCharType="separate"/>
          </w:r>
          <w:hyperlink w:anchor="_Toc223521237" w:history="1">
            <w:r w:rsidRPr="00E619FA">
              <w:rPr>
                <w:rStyle w:val="Hyperlink"/>
                <w:rFonts w:ascii="Arial" w:hAnsi="Arial" w:cs="Arial"/>
                <w:noProof/>
                <w:color w:val="auto"/>
                <w:sz w:val="22"/>
                <w:szCs w:val="22"/>
              </w:rPr>
              <w:t>Introduction</w:t>
            </w:r>
            <w:r w:rsidRPr="00E619FA">
              <w:rPr>
                <w:rFonts w:ascii="Arial" w:hAnsi="Arial" w:cs="Arial"/>
                <w:noProof/>
                <w:webHidden/>
                <w:sz w:val="22"/>
                <w:szCs w:val="22"/>
              </w:rPr>
              <w:tab/>
            </w:r>
            <w:r w:rsidRPr="00E619FA">
              <w:rPr>
                <w:rFonts w:ascii="Arial" w:hAnsi="Arial" w:cs="Arial"/>
                <w:noProof/>
                <w:webHidden/>
                <w:sz w:val="22"/>
                <w:szCs w:val="22"/>
              </w:rPr>
              <w:fldChar w:fldCharType="begin"/>
            </w:r>
            <w:r w:rsidRPr="00E619FA">
              <w:rPr>
                <w:rFonts w:ascii="Arial" w:hAnsi="Arial" w:cs="Arial"/>
                <w:noProof/>
                <w:webHidden/>
                <w:sz w:val="22"/>
                <w:szCs w:val="22"/>
              </w:rPr>
              <w:instrText xml:space="preserve"> PAGEREF _Toc223521237 \h </w:instrText>
            </w:r>
            <w:r w:rsidRPr="00E619FA">
              <w:rPr>
                <w:rFonts w:ascii="Arial" w:hAnsi="Arial" w:cs="Arial"/>
                <w:noProof/>
                <w:webHidden/>
                <w:sz w:val="22"/>
                <w:szCs w:val="22"/>
              </w:rPr>
            </w:r>
            <w:r w:rsidRPr="00E619FA">
              <w:rPr>
                <w:rFonts w:ascii="Arial" w:hAnsi="Arial" w:cs="Arial"/>
                <w:noProof/>
                <w:webHidden/>
                <w:sz w:val="22"/>
                <w:szCs w:val="22"/>
              </w:rPr>
              <w:fldChar w:fldCharType="separate"/>
            </w:r>
            <w:r w:rsidRPr="00E619FA">
              <w:rPr>
                <w:rFonts w:ascii="Arial" w:hAnsi="Arial" w:cs="Arial"/>
                <w:noProof/>
                <w:webHidden/>
                <w:sz w:val="22"/>
                <w:szCs w:val="22"/>
              </w:rPr>
              <w:t>1</w:t>
            </w:r>
            <w:r w:rsidRPr="00E619FA">
              <w:rPr>
                <w:rFonts w:ascii="Arial" w:hAnsi="Arial" w:cs="Arial"/>
                <w:noProof/>
                <w:webHidden/>
                <w:sz w:val="22"/>
                <w:szCs w:val="22"/>
              </w:rPr>
              <w:fldChar w:fldCharType="end"/>
            </w:r>
          </w:hyperlink>
        </w:p>
        <w:p w14:paraId="06BA942B" w14:textId="2C1B6B6C" w:rsidR="00CB5C72" w:rsidRPr="00E619FA" w:rsidRDefault="00CB5C72" w:rsidP="00CB5C72">
          <w:pPr>
            <w:pStyle w:val="TOC1"/>
            <w:tabs>
              <w:tab w:val="right" w:leader="dot" w:pos="9350"/>
            </w:tabs>
            <w:spacing w:line="480" w:lineRule="auto"/>
            <w:rPr>
              <w:rFonts w:ascii="Arial" w:eastAsiaTheme="minorEastAsia" w:hAnsi="Arial" w:cs="Arial"/>
              <w:noProof/>
              <w:sz w:val="22"/>
              <w:szCs w:val="22"/>
            </w:rPr>
          </w:pPr>
          <w:hyperlink w:anchor="_Toc223521238" w:history="1">
            <w:r w:rsidRPr="00E619FA">
              <w:rPr>
                <w:rStyle w:val="Hyperlink"/>
                <w:rFonts w:ascii="Arial" w:hAnsi="Arial" w:cs="Arial"/>
                <w:noProof/>
                <w:color w:val="auto"/>
                <w:sz w:val="22"/>
                <w:szCs w:val="22"/>
              </w:rPr>
              <w:t>Various methods employed in the measurement and monitoring of TB</w:t>
            </w:r>
            <w:r w:rsidRPr="00E619FA">
              <w:rPr>
                <w:rFonts w:ascii="Arial" w:hAnsi="Arial" w:cs="Arial"/>
                <w:noProof/>
                <w:webHidden/>
                <w:sz w:val="22"/>
                <w:szCs w:val="22"/>
              </w:rPr>
              <w:tab/>
            </w:r>
            <w:r w:rsidRPr="00E619FA">
              <w:rPr>
                <w:rFonts w:ascii="Arial" w:hAnsi="Arial" w:cs="Arial"/>
                <w:noProof/>
                <w:webHidden/>
                <w:sz w:val="22"/>
                <w:szCs w:val="22"/>
              </w:rPr>
              <w:fldChar w:fldCharType="begin"/>
            </w:r>
            <w:r w:rsidRPr="00E619FA">
              <w:rPr>
                <w:rFonts w:ascii="Arial" w:hAnsi="Arial" w:cs="Arial"/>
                <w:noProof/>
                <w:webHidden/>
                <w:sz w:val="22"/>
                <w:szCs w:val="22"/>
              </w:rPr>
              <w:instrText xml:space="preserve"> PAGEREF _Toc223521238 \h </w:instrText>
            </w:r>
            <w:r w:rsidRPr="00E619FA">
              <w:rPr>
                <w:rFonts w:ascii="Arial" w:hAnsi="Arial" w:cs="Arial"/>
                <w:noProof/>
                <w:webHidden/>
                <w:sz w:val="22"/>
                <w:szCs w:val="22"/>
              </w:rPr>
            </w:r>
            <w:r w:rsidRPr="00E619FA">
              <w:rPr>
                <w:rFonts w:ascii="Arial" w:hAnsi="Arial" w:cs="Arial"/>
                <w:noProof/>
                <w:webHidden/>
                <w:sz w:val="22"/>
                <w:szCs w:val="22"/>
              </w:rPr>
              <w:fldChar w:fldCharType="separate"/>
            </w:r>
            <w:r w:rsidRPr="00E619FA">
              <w:rPr>
                <w:rFonts w:ascii="Arial" w:hAnsi="Arial" w:cs="Arial"/>
                <w:noProof/>
                <w:webHidden/>
                <w:sz w:val="22"/>
                <w:szCs w:val="22"/>
              </w:rPr>
              <w:t>2</w:t>
            </w:r>
            <w:r w:rsidRPr="00E619FA">
              <w:rPr>
                <w:rFonts w:ascii="Arial" w:hAnsi="Arial" w:cs="Arial"/>
                <w:noProof/>
                <w:webHidden/>
                <w:sz w:val="22"/>
                <w:szCs w:val="22"/>
              </w:rPr>
              <w:fldChar w:fldCharType="end"/>
            </w:r>
          </w:hyperlink>
        </w:p>
        <w:p w14:paraId="3ED2EBDF" w14:textId="73AF69AA" w:rsidR="00CB5C72" w:rsidRPr="00E619FA" w:rsidRDefault="00CB5C72" w:rsidP="00CB5C72">
          <w:pPr>
            <w:pStyle w:val="TOC1"/>
            <w:tabs>
              <w:tab w:val="right" w:leader="dot" w:pos="9350"/>
            </w:tabs>
            <w:spacing w:line="480" w:lineRule="auto"/>
            <w:rPr>
              <w:rFonts w:ascii="Arial" w:eastAsiaTheme="minorEastAsia" w:hAnsi="Arial" w:cs="Arial"/>
              <w:noProof/>
              <w:sz w:val="22"/>
              <w:szCs w:val="22"/>
            </w:rPr>
          </w:pPr>
          <w:hyperlink w:anchor="_Toc223521239" w:history="1">
            <w:r w:rsidRPr="00E619FA">
              <w:rPr>
                <w:rStyle w:val="Hyperlink"/>
                <w:rFonts w:ascii="Arial" w:hAnsi="Arial" w:cs="Arial"/>
                <w:noProof/>
                <w:color w:val="auto"/>
                <w:sz w:val="22"/>
                <w:szCs w:val="22"/>
              </w:rPr>
              <w:t>How TB is controlled</w:t>
            </w:r>
            <w:r w:rsidRPr="00E619FA">
              <w:rPr>
                <w:rFonts w:ascii="Arial" w:hAnsi="Arial" w:cs="Arial"/>
                <w:noProof/>
                <w:webHidden/>
                <w:sz w:val="22"/>
                <w:szCs w:val="22"/>
              </w:rPr>
              <w:tab/>
            </w:r>
            <w:r w:rsidRPr="00E619FA">
              <w:rPr>
                <w:rFonts w:ascii="Arial" w:hAnsi="Arial" w:cs="Arial"/>
                <w:noProof/>
                <w:webHidden/>
                <w:sz w:val="22"/>
                <w:szCs w:val="22"/>
              </w:rPr>
              <w:fldChar w:fldCharType="begin"/>
            </w:r>
            <w:r w:rsidRPr="00E619FA">
              <w:rPr>
                <w:rFonts w:ascii="Arial" w:hAnsi="Arial" w:cs="Arial"/>
                <w:noProof/>
                <w:webHidden/>
                <w:sz w:val="22"/>
                <w:szCs w:val="22"/>
              </w:rPr>
              <w:instrText xml:space="preserve"> PAGEREF _Toc223521239 \h </w:instrText>
            </w:r>
            <w:r w:rsidRPr="00E619FA">
              <w:rPr>
                <w:rFonts w:ascii="Arial" w:hAnsi="Arial" w:cs="Arial"/>
                <w:noProof/>
                <w:webHidden/>
                <w:sz w:val="22"/>
                <w:szCs w:val="22"/>
              </w:rPr>
            </w:r>
            <w:r w:rsidRPr="00E619FA">
              <w:rPr>
                <w:rFonts w:ascii="Arial" w:hAnsi="Arial" w:cs="Arial"/>
                <w:noProof/>
                <w:webHidden/>
                <w:sz w:val="22"/>
                <w:szCs w:val="22"/>
              </w:rPr>
              <w:fldChar w:fldCharType="separate"/>
            </w:r>
            <w:r w:rsidRPr="00E619FA">
              <w:rPr>
                <w:rFonts w:ascii="Arial" w:hAnsi="Arial" w:cs="Arial"/>
                <w:noProof/>
                <w:webHidden/>
                <w:sz w:val="22"/>
                <w:szCs w:val="22"/>
              </w:rPr>
              <w:t>2</w:t>
            </w:r>
            <w:r w:rsidRPr="00E619FA">
              <w:rPr>
                <w:rFonts w:ascii="Arial" w:hAnsi="Arial" w:cs="Arial"/>
                <w:noProof/>
                <w:webHidden/>
                <w:sz w:val="22"/>
                <w:szCs w:val="22"/>
              </w:rPr>
              <w:fldChar w:fldCharType="end"/>
            </w:r>
          </w:hyperlink>
        </w:p>
        <w:p w14:paraId="3CAF90F8" w14:textId="58F025AB" w:rsidR="00CB5C72" w:rsidRPr="00E619FA" w:rsidRDefault="00CB5C72" w:rsidP="00CB5C72">
          <w:pPr>
            <w:pStyle w:val="TOC1"/>
            <w:tabs>
              <w:tab w:val="right" w:leader="dot" w:pos="9350"/>
            </w:tabs>
            <w:spacing w:line="480" w:lineRule="auto"/>
            <w:rPr>
              <w:rFonts w:ascii="Arial" w:eastAsiaTheme="minorEastAsia" w:hAnsi="Arial" w:cs="Arial"/>
              <w:noProof/>
              <w:sz w:val="22"/>
              <w:szCs w:val="22"/>
            </w:rPr>
          </w:pPr>
          <w:hyperlink w:anchor="_Toc223521240" w:history="1">
            <w:r w:rsidRPr="00E619FA">
              <w:rPr>
                <w:rStyle w:val="Hyperlink"/>
                <w:rFonts w:ascii="Arial" w:hAnsi="Arial" w:cs="Arial"/>
                <w:noProof/>
                <w:color w:val="auto"/>
                <w:sz w:val="22"/>
                <w:szCs w:val="22"/>
              </w:rPr>
              <w:t>Consequences of TB on people in the community</w:t>
            </w:r>
            <w:r w:rsidRPr="00E619FA">
              <w:rPr>
                <w:rFonts w:ascii="Arial" w:hAnsi="Arial" w:cs="Arial"/>
                <w:noProof/>
                <w:webHidden/>
                <w:sz w:val="22"/>
                <w:szCs w:val="22"/>
              </w:rPr>
              <w:tab/>
            </w:r>
            <w:r w:rsidRPr="00E619FA">
              <w:rPr>
                <w:rFonts w:ascii="Arial" w:hAnsi="Arial" w:cs="Arial"/>
                <w:noProof/>
                <w:webHidden/>
                <w:sz w:val="22"/>
                <w:szCs w:val="22"/>
              </w:rPr>
              <w:fldChar w:fldCharType="begin"/>
            </w:r>
            <w:r w:rsidRPr="00E619FA">
              <w:rPr>
                <w:rFonts w:ascii="Arial" w:hAnsi="Arial" w:cs="Arial"/>
                <w:noProof/>
                <w:webHidden/>
                <w:sz w:val="22"/>
                <w:szCs w:val="22"/>
              </w:rPr>
              <w:instrText xml:space="preserve"> PAGEREF _Toc223521240 \h </w:instrText>
            </w:r>
            <w:r w:rsidRPr="00E619FA">
              <w:rPr>
                <w:rFonts w:ascii="Arial" w:hAnsi="Arial" w:cs="Arial"/>
                <w:noProof/>
                <w:webHidden/>
                <w:sz w:val="22"/>
                <w:szCs w:val="22"/>
              </w:rPr>
            </w:r>
            <w:r w:rsidRPr="00E619FA">
              <w:rPr>
                <w:rFonts w:ascii="Arial" w:hAnsi="Arial" w:cs="Arial"/>
                <w:noProof/>
                <w:webHidden/>
                <w:sz w:val="22"/>
                <w:szCs w:val="22"/>
              </w:rPr>
              <w:fldChar w:fldCharType="separate"/>
            </w:r>
            <w:r w:rsidRPr="00E619FA">
              <w:rPr>
                <w:rFonts w:ascii="Arial" w:hAnsi="Arial" w:cs="Arial"/>
                <w:noProof/>
                <w:webHidden/>
                <w:sz w:val="22"/>
                <w:szCs w:val="22"/>
              </w:rPr>
              <w:t>3</w:t>
            </w:r>
            <w:r w:rsidRPr="00E619FA">
              <w:rPr>
                <w:rFonts w:ascii="Arial" w:hAnsi="Arial" w:cs="Arial"/>
                <w:noProof/>
                <w:webHidden/>
                <w:sz w:val="22"/>
                <w:szCs w:val="22"/>
              </w:rPr>
              <w:fldChar w:fldCharType="end"/>
            </w:r>
          </w:hyperlink>
        </w:p>
        <w:p w14:paraId="36595475" w14:textId="6889D657" w:rsidR="00CB5C72" w:rsidRPr="00E619FA" w:rsidRDefault="00CB5C72" w:rsidP="00CB5C72">
          <w:pPr>
            <w:pStyle w:val="TOC1"/>
            <w:tabs>
              <w:tab w:val="right" w:leader="dot" w:pos="9350"/>
            </w:tabs>
            <w:spacing w:line="480" w:lineRule="auto"/>
            <w:rPr>
              <w:rFonts w:ascii="Arial" w:eastAsiaTheme="minorEastAsia" w:hAnsi="Arial" w:cs="Arial"/>
              <w:noProof/>
              <w:sz w:val="22"/>
              <w:szCs w:val="22"/>
            </w:rPr>
          </w:pPr>
          <w:hyperlink w:anchor="_Toc223521241" w:history="1">
            <w:r w:rsidRPr="00E619FA">
              <w:rPr>
                <w:rStyle w:val="Hyperlink"/>
                <w:rFonts w:ascii="Arial" w:hAnsi="Arial" w:cs="Arial"/>
                <w:noProof/>
                <w:color w:val="auto"/>
                <w:sz w:val="22"/>
                <w:szCs w:val="22"/>
              </w:rPr>
              <w:t>Health and social care support services which are required to meet the needs of individuals affected by TB in the community</w:t>
            </w:r>
            <w:r w:rsidRPr="00E619FA">
              <w:rPr>
                <w:rFonts w:ascii="Arial" w:hAnsi="Arial" w:cs="Arial"/>
                <w:noProof/>
                <w:webHidden/>
                <w:sz w:val="22"/>
                <w:szCs w:val="22"/>
              </w:rPr>
              <w:tab/>
            </w:r>
            <w:r w:rsidRPr="00E619FA">
              <w:rPr>
                <w:rFonts w:ascii="Arial" w:hAnsi="Arial" w:cs="Arial"/>
                <w:noProof/>
                <w:webHidden/>
                <w:sz w:val="22"/>
                <w:szCs w:val="22"/>
              </w:rPr>
              <w:fldChar w:fldCharType="begin"/>
            </w:r>
            <w:r w:rsidRPr="00E619FA">
              <w:rPr>
                <w:rFonts w:ascii="Arial" w:hAnsi="Arial" w:cs="Arial"/>
                <w:noProof/>
                <w:webHidden/>
                <w:sz w:val="22"/>
                <w:szCs w:val="22"/>
              </w:rPr>
              <w:instrText xml:space="preserve"> PAGEREF _Toc223521241 \h </w:instrText>
            </w:r>
            <w:r w:rsidRPr="00E619FA">
              <w:rPr>
                <w:rFonts w:ascii="Arial" w:hAnsi="Arial" w:cs="Arial"/>
                <w:noProof/>
                <w:webHidden/>
                <w:sz w:val="22"/>
                <w:szCs w:val="22"/>
              </w:rPr>
            </w:r>
            <w:r w:rsidRPr="00E619FA">
              <w:rPr>
                <w:rFonts w:ascii="Arial" w:hAnsi="Arial" w:cs="Arial"/>
                <w:noProof/>
                <w:webHidden/>
                <w:sz w:val="22"/>
                <w:szCs w:val="22"/>
              </w:rPr>
              <w:fldChar w:fldCharType="separate"/>
            </w:r>
            <w:r w:rsidRPr="00E619FA">
              <w:rPr>
                <w:rFonts w:ascii="Arial" w:hAnsi="Arial" w:cs="Arial"/>
                <w:noProof/>
                <w:webHidden/>
                <w:sz w:val="22"/>
                <w:szCs w:val="22"/>
              </w:rPr>
              <w:t>4</w:t>
            </w:r>
            <w:r w:rsidRPr="00E619FA">
              <w:rPr>
                <w:rFonts w:ascii="Arial" w:hAnsi="Arial" w:cs="Arial"/>
                <w:noProof/>
                <w:webHidden/>
                <w:sz w:val="22"/>
                <w:szCs w:val="22"/>
              </w:rPr>
              <w:fldChar w:fldCharType="end"/>
            </w:r>
          </w:hyperlink>
        </w:p>
        <w:p w14:paraId="1C09E898" w14:textId="4EB02A17" w:rsidR="00CB5C72" w:rsidRPr="00E619FA" w:rsidRDefault="00CB5C72" w:rsidP="00CB5C72">
          <w:pPr>
            <w:pStyle w:val="TOC1"/>
            <w:tabs>
              <w:tab w:val="right" w:leader="dot" w:pos="9350"/>
            </w:tabs>
            <w:spacing w:line="480" w:lineRule="auto"/>
            <w:rPr>
              <w:rFonts w:ascii="Arial" w:eastAsiaTheme="minorEastAsia" w:hAnsi="Arial" w:cs="Arial"/>
              <w:noProof/>
              <w:sz w:val="22"/>
              <w:szCs w:val="22"/>
            </w:rPr>
          </w:pPr>
          <w:hyperlink w:anchor="_Toc223521242" w:history="1">
            <w:r w:rsidRPr="00E619FA">
              <w:rPr>
                <w:rStyle w:val="Hyperlink"/>
                <w:rFonts w:ascii="Arial" w:hAnsi="Arial" w:cs="Arial"/>
                <w:noProof/>
                <w:color w:val="auto"/>
                <w:sz w:val="22"/>
                <w:szCs w:val="22"/>
              </w:rPr>
              <w:t>Conclusion</w:t>
            </w:r>
            <w:r w:rsidRPr="00E619FA">
              <w:rPr>
                <w:rFonts w:ascii="Arial" w:hAnsi="Arial" w:cs="Arial"/>
                <w:noProof/>
                <w:webHidden/>
                <w:sz w:val="22"/>
                <w:szCs w:val="22"/>
              </w:rPr>
              <w:tab/>
            </w:r>
            <w:r w:rsidRPr="00E619FA">
              <w:rPr>
                <w:rFonts w:ascii="Arial" w:hAnsi="Arial" w:cs="Arial"/>
                <w:noProof/>
                <w:webHidden/>
                <w:sz w:val="22"/>
                <w:szCs w:val="22"/>
              </w:rPr>
              <w:fldChar w:fldCharType="begin"/>
            </w:r>
            <w:r w:rsidRPr="00E619FA">
              <w:rPr>
                <w:rFonts w:ascii="Arial" w:hAnsi="Arial" w:cs="Arial"/>
                <w:noProof/>
                <w:webHidden/>
                <w:sz w:val="22"/>
                <w:szCs w:val="22"/>
              </w:rPr>
              <w:instrText xml:space="preserve"> PAGEREF _Toc223521242 \h </w:instrText>
            </w:r>
            <w:r w:rsidRPr="00E619FA">
              <w:rPr>
                <w:rFonts w:ascii="Arial" w:hAnsi="Arial" w:cs="Arial"/>
                <w:noProof/>
                <w:webHidden/>
                <w:sz w:val="22"/>
                <w:szCs w:val="22"/>
              </w:rPr>
            </w:r>
            <w:r w:rsidRPr="00E619FA">
              <w:rPr>
                <w:rFonts w:ascii="Arial" w:hAnsi="Arial" w:cs="Arial"/>
                <w:noProof/>
                <w:webHidden/>
                <w:sz w:val="22"/>
                <w:szCs w:val="22"/>
              </w:rPr>
              <w:fldChar w:fldCharType="separate"/>
            </w:r>
            <w:r w:rsidRPr="00E619FA">
              <w:rPr>
                <w:rFonts w:ascii="Arial" w:hAnsi="Arial" w:cs="Arial"/>
                <w:noProof/>
                <w:webHidden/>
                <w:sz w:val="22"/>
                <w:szCs w:val="22"/>
              </w:rPr>
              <w:t>5</w:t>
            </w:r>
            <w:r w:rsidRPr="00E619FA">
              <w:rPr>
                <w:rFonts w:ascii="Arial" w:hAnsi="Arial" w:cs="Arial"/>
                <w:noProof/>
                <w:webHidden/>
                <w:sz w:val="22"/>
                <w:szCs w:val="22"/>
              </w:rPr>
              <w:fldChar w:fldCharType="end"/>
            </w:r>
          </w:hyperlink>
        </w:p>
        <w:p w14:paraId="432CCBC3" w14:textId="0AE26B96" w:rsidR="00CB5C72" w:rsidRPr="00E619FA" w:rsidRDefault="00CB5C72" w:rsidP="00CB5C72">
          <w:pPr>
            <w:pStyle w:val="TOC1"/>
            <w:tabs>
              <w:tab w:val="right" w:leader="dot" w:pos="9350"/>
            </w:tabs>
            <w:spacing w:line="480" w:lineRule="auto"/>
            <w:rPr>
              <w:rFonts w:ascii="Arial" w:eastAsiaTheme="minorEastAsia" w:hAnsi="Arial" w:cs="Arial"/>
              <w:noProof/>
              <w:sz w:val="22"/>
              <w:szCs w:val="22"/>
            </w:rPr>
          </w:pPr>
          <w:hyperlink w:anchor="_Toc223521243" w:history="1">
            <w:r w:rsidRPr="00E619FA">
              <w:rPr>
                <w:rStyle w:val="Hyperlink"/>
                <w:rFonts w:ascii="Arial" w:hAnsi="Arial" w:cs="Arial"/>
                <w:noProof/>
                <w:color w:val="auto"/>
                <w:sz w:val="22"/>
                <w:szCs w:val="22"/>
              </w:rPr>
              <w:t>References</w:t>
            </w:r>
            <w:r w:rsidRPr="00E619FA">
              <w:rPr>
                <w:rFonts w:ascii="Arial" w:hAnsi="Arial" w:cs="Arial"/>
                <w:noProof/>
                <w:webHidden/>
                <w:sz w:val="22"/>
                <w:szCs w:val="22"/>
              </w:rPr>
              <w:tab/>
            </w:r>
            <w:r w:rsidRPr="00E619FA">
              <w:rPr>
                <w:rFonts w:ascii="Arial" w:hAnsi="Arial" w:cs="Arial"/>
                <w:noProof/>
                <w:webHidden/>
                <w:sz w:val="22"/>
                <w:szCs w:val="22"/>
              </w:rPr>
              <w:fldChar w:fldCharType="begin"/>
            </w:r>
            <w:r w:rsidRPr="00E619FA">
              <w:rPr>
                <w:rFonts w:ascii="Arial" w:hAnsi="Arial" w:cs="Arial"/>
                <w:noProof/>
                <w:webHidden/>
                <w:sz w:val="22"/>
                <w:szCs w:val="22"/>
              </w:rPr>
              <w:instrText xml:space="preserve"> PAGEREF _Toc223521243 \h </w:instrText>
            </w:r>
            <w:r w:rsidRPr="00E619FA">
              <w:rPr>
                <w:rFonts w:ascii="Arial" w:hAnsi="Arial" w:cs="Arial"/>
                <w:noProof/>
                <w:webHidden/>
                <w:sz w:val="22"/>
                <w:szCs w:val="22"/>
              </w:rPr>
            </w:r>
            <w:r w:rsidRPr="00E619FA">
              <w:rPr>
                <w:rFonts w:ascii="Arial" w:hAnsi="Arial" w:cs="Arial"/>
                <w:noProof/>
                <w:webHidden/>
                <w:sz w:val="22"/>
                <w:szCs w:val="22"/>
              </w:rPr>
              <w:fldChar w:fldCharType="separate"/>
            </w:r>
            <w:r w:rsidRPr="00E619FA">
              <w:rPr>
                <w:rFonts w:ascii="Arial" w:hAnsi="Arial" w:cs="Arial"/>
                <w:noProof/>
                <w:webHidden/>
                <w:sz w:val="22"/>
                <w:szCs w:val="22"/>
              </w:rPr>
              <w:t>6</w:t>
            </w:r>
            <w:r w:rsidRPr="00E619FA">
              <w:rPr>
                <w:rFonts w:ascii="Arial" w:hAnsi="Arial" w:cs="Arial"/>
                <w:noProof/>
                <w:webHidden/>
                <w:sz w:val="22"/>
                <w:szCs w:val="22"/>
              </w:rPr>
              <w:fldChar w:fldCharType="end"/>
            </w:r>
          </w:hyperlink>
        </w:p>
        <w:p w14:paraId="59D8C859" w14:textId="2891C8B0" w:rsidR="00CB5C72" w:rsidRPr="00E619FA" w:rsidRDefault="00CB5C72" w:rsidP="00CB5C72">
          <w:pPr>
            <w:spacing w:line="480" w:lineRule="auto"/>
            <w:rPr>
              <w:rFonts w:ascii="Arial" w:hAnsi="Arial" w:cs="Arial"/>
              <w:sz w:val="22"/>
              <w:szCs w:val="22"/>
            </w:rPr>
          </w:pPr>
          <w:r w:rsidRPr="00E619FA">
            <w:rPr>
              <w:rFonts w:ascii="Arial" w:hAnsi="Arial" w:cs="Arial"/>
              <w:b/>
              <w:bCs/>
              <w:noProof/>
              <w:sz w:val="22"/>
              <w:szCs w:val="22"/>
            </w:rPr>
            <w:fldChar w:fldCharType="end"/>
          </w:r>
        </w:p>
      </w:sdtContent>
    </w:sdt>
    <w:p w14:paraId="78CF0D7F" w14:textId="77777777" w:rsidR="00CB5C72" w:rsidRPr="00E619FA" w:rsidRDefault="00CB5C72" w:rsidP="00C47240">
      <w:pPr>
        <w:pStyle w:val="Heading1"/>
        <w:spacing w:line="480" w:lineRule="auto"/>
        <w:rPr>
          <w:rFonts w:ascii="Arial" w:hAnsi="Arial" w:cs="Arial"/>
          <w:sz w:val="22"/>
          <w:szCs w:val="22"/>
        </w:rPr>
      </w:pPr>
    </w:p>
    <w:p w14:paraId="6C7382D1" w14:textId="77777777" w:rsidR="00CB5C72" w:rsidRPr="00E619FA" w:rsidRDefault="00CB5C72">
      <w:pPr>
        <w:rPr>
          <w:rFonts w:ascii="Arial" w:eastAsiaTheme="majorEastAsia" w:hAnsi="Arial" w:cs="Arial"/>
          <w:b/>
          <w:sz w:val="22"/>
          <w:szCs w:val="22"/>
        </w:rPr>
      </w:pPr>
      <w:r w:rsidRPr="00E619FA">
        <w:rPr>
          <w:rFonts w:ascii="Arial" w:hAnsi="Arial" w:cs="Arial"/>
          <w:sz w:val="22"/>
          <w:szCs w:val="22"/>
        </w:rPr>
        <w:br w:type="page"/>
      </w:r>
    </w:p>
    <w:p w14:paraId="4337BF29" w14:textId="77777777" w:rsidR="00CB5C72" w:rsidRPr="00E619FA" w:rsidRDefault="00CB5C72" w:rsidP="00C47240">
      <w:pPr>
        <w:pStyle w:val="Heading1"/>
        <w:spacing w:line="480" w:lineRule="auto"/>
        <w:rPr>
          <w:rFonts w:ascii="Arial" w:hAnsi="Arial" w:cs="Arial"/>
          <w:sz w:val="22"/>
          <w:szCs w:val="22"/>
        </w:rPr>
        <w:sectPr w:rsidR="00CB5C72" w:rsidRPr="00E619FA" w:rsidSect="00CB5C72">
          <w:headerReference w:type="default" r:id="rId6"/>
          <w:pgSz w:w="12240" w:h="15840"/>
          <w:pgMar w:top="1440" w:right="1440" w:bottom="1440" w:left="1440" w:header="720" w:footer="720" w:gutter="0"/>
          <w:pgNumType w:fmt="lowerRoman" w:start="1"/>
          <w:cols w:space="720"/>
          <w:docGrid w:linePitch="360"/>
        </w:sectPr>
      </w:pPr>
    </w:p>
    <w:p w14:paraId="118D47B7" w14:textId="330F4915" w:rsidR="00A77833" w:rsidRPr="00E619FA" w:rsidRDefault="00A77833" w:rsidP="00C47240">
      <w:pPr>
        <w:pStyle w:val="Heading1"/>
        <w:spacing w:line="480" w:lineRule="auto"/>
        <w:rPr>
          <w:rFonts w:ascii="Arial" w:hAnsi="Arial" w:cs="Arial"/>
          <w:sz w:val="22"/>
          <w:szCs w:val="22"/>
        </w:rPr>
      </w:pPr>
      <w:bookmarkStart w:id="0" w:name="_Toc223521237"/>
      <w:r w:rsidRPr="00E619FA">
        <w:rPr>
          <w:rFonts w:ascii="Arial" w:hAnsi="Arial" w:cs="Arial"/>
          <w:sz w:val="22"/>
          <w:szCs w:val="22"/>
        </w:rPr>
        <w:lastRenderedPageBreak/>
        <w:t>Introduction</w:t>
      </w:r>
      <w:bookmarkEnd w:id="0"/>
      <w:r w:rsidRPr="00E619FA">
        <w:rPr>
          <w:rFonts w:ascii="Arial" w:hAnsi="Arial" w:cs="Arial"/>
          <w:sz w:val="22"/>
          <w:szCs w:val="22"/>
        </w:rPr>
        <w:t xml:space="preserve"> </w:t>
      </w:r>
    </w:p>
    <w:p w14:paraId="3F459D5C" w14:textId="62FBC180" w:rsidR="00CB5C72" w:rsidRPr="00E619FA" w:rsidRDefault="00A10529" w:rsidP="00C47240">
      <w:pPr>
        <w:spacing w:line="480" w:lineRule="auto"/>
        <w:ind w:firstLine="720"/>
        <w:rPr>
          <w:rFonts w:ascii="Arial" w:hAnsi="Arial" w:cs="Arial"/>
          <w:sz w:val="22"/>
          <w:szCs w:val="22"/>
        </w:rPr>
      </w:pPr>
      <w:r w:rsidRPr="00E619FA">
        <w:rPr>
          <w:rFonts w:ascii="Arial" w:hAnsi="Arial" w:cs="Arial"/>
          <w:sz w:val="22"/>
          <w:szCs w:val="22"/>
        </w:rPr>
        <w:t>Tuberculosis (TB) is an infectious disease caused by a bacterium known as Mycobacterium tuberculosis. This disease mainly affects the lungs, but it can also occur in other body parts. This disease is spread through coughing, sneezing</w:t>
      </w:r>
      <w:r w:rsidR="00D67E43" w:rsidRPr="00E619FA">
        <w:rPr>
          <w:rFonts w:ascii="Arial" w:hAnsi="Arial" w:cs="Arial"/>
          <w:sz w:val="22"/>
          <w:szCs w:val="22"/>
        </w:rPr>
        <w:t xml:space="preserve"> </w:t>
      </w:r>
      <w:r w:rsidRPr="00E619FA">
        <w:rPr>
          <w:rFonts w:ascii="Arial" w:hAnsi="Arial" w:cs="Arial"/>
          <w:sz w:val="22"/>
          <w:szCs w:val="22"/>
        </w:rPr>
        <w:t>and</w:t>
      </w:r>
      <w:r w:rsidR="00D67E43" w:rsidRPr="00E619FA">
        <w:rPr>
          <w:rFonts w:ascii="Arial" w:hAnsi="Arial" w:cs="Arial"/>
          <w:sz w:val="22"/>
          <w:szCs w:val="22"/>
        </w:rPr>
        <w:t xml:space="preserve"> talking</w:t>
      </w:r>
      <w:r w:rsidRPr="00E619FA">
        <w:rPr>
          <w:rFonts w:ascii="Arial" w:hAnsi="Arial" w:cs="Arial"/>
          <w:sz w:val="22"/>
          <w:szCs w:val="22"/>
        </w:rPr>
        <w:t xml:space="preserve"> </w:t>
      </w:r>
      <w:r w:rsidR="00ED3CB4" w:rsidRPr="00E619FA">
        <w:rPr>
          <w:rFonts w:ascii="Arial" w:hAnsi="Arial" w:cs="Arial"/>
          <w:sz w:val="22"/>
          <w:szCs w:val="22"/>
        </w:rPr>
        <w:t>to</w:t>
      </w:r>
      <w:r w:rsidRPr="00E619FA">
        <w:rPr>
          <w:rFonts w:ascii="Arial" w:hAnsi="Arial" w:cs="Arial"/>
          <w:sz w:val="22"/>
          <w:szCs w:val="22"/>
        </w:rPr>
        <w:t xml:space="preserve"> an individual who is affected by pulmonary TB. The signs and symptoms of TB include coughing for more than three weeks, with blood in the sputum, pain in the chest, night sweats, fever, tiredness, loss of appetite, and loss of weight. The complications of TB include difficulties in breathing and the spread of TB to other body parts, such as the spine and the brain. TB is one of the deadliest infectious diseases in the world, yet it can be prevented and treated. </w:t>
      </w:r>
    </w:p>
    <w:p w14:paraId="6365EB6E" w14:textId="6547D75B" w:rsidR="00A10529" w:rsidRPr="00E619FA" w:rsidRDefault="00A10529" w:rsidP="00C47240">
      <w:pPr>
        <w:spacing w:line="480" w:lineRule="auto"/>
        <w:ind w:firstLine="720"/>
        <w:rPr>
          <w:rFonts w:ascii="Arial" w:hAnsi="Arial" w:cs="Arial"/>
          <w:sz w:val="22"/>
          <w:szCs w:val="22"/>
        </w:rPr>
      </w:pPr>
      <w:r w:rsidRPr="00E619FA">
        <w:rPr>
          <w:rFonts w:ascii="Arial" w:hAnsi="Arial" w:cs="Arial"/>
          <w:sz w:val="22"/>
          <w:szCs w:val="22"/>
        </w:rPr>
        <w:t xml:space="preserve">In the year 2024, 10.7 million people were affected by TB, which translates to an incidence of 131 cases of TB per 100,000 population. In the same year, 1.23 million people died of TB, a condition that maintains TB as the leading killer of a single infectious agent. This condition has been maintained over the years. In England, in the year 2025, 5,424 cases of TB were notified, a condition that shows a decline in comparison to the year 2024, which recorded 5,487 cases of TB. This decline translates to a fall of 1.1% in comparison to the previous year, 2024. This translates to a notification rate of 9.4 cases of TB per 100,000 population. This is a higher rate in comparison to the pre-pandemic rate of 8.36 cases of TB per 100,000 population in the year 2019. This condition has been maintained over the years, especially in non-UK-born individuals, who make up 81.6% of TB cases. This condition has been maintained over the years, </w:t>
      </w:r>
      <w:r w:rsidR="00FC24C7" w:rsidRPr="00E619FA">
        <w:rPr>
          <w:rFonts w:ascii="Arial" w:hAnsi="Arial" w:cs="Arial"/>
          <w:sz w:val="22"/>
          <w:szCs w:val="22"/>
        </w:rPr>
        <w:t>even though</w:t>
      </w:r>
      <w:r w:rsidRPr="00E619FA">
        <w:rPr>
          <w:rFonts w:ascii="Arial" w:hAnsi="Arial" w:cs="Arial"/>
          <w:sz w:val="22"/>
          <w:szCs w:val="22"/>
        </w:rPr>
        <w:t xml:space="preserve"> TB cases have been declining over the years.</w:t>
      </w:r>
    </w:p>
    <w:p w14:paraId="5805C06A" w14:textId="77777777" w:rsidR="00A10529" w:rsidRPr="00E619FA" w:rsidRDefault="00A10529" w:rsidP="00C47240">
      <w:pPr>
        <w:pStyle w:val="Heading1"/>
        <w:rPr>
          <w:rFonts w:ascii="Arial" w:hAnsi="Arial" w:cs="Arial"/>
          <w:sz w:val="22"/>
          <w:szCs w:val="22"/>
        </w:rPr>
      </w:pPr>
      <w:bookmarkStart w:id="1" w:name="_Toc223521238"/>
      <w:r w:rsidRPr="00E619FA">
        <w:rPr>
          <w:rFonts w:ascii="Arial" w:hAnsi="Arial" w:cs="Arial"/>
          <w:sz w:val="22"/>
          <w:szCs w:val="22"/>
        </w:rPr>
        <w:t>Various methods employed in the measurement and monitoring of TB</w:t>
      </w:r>
      <w:bookmarkEnd w:id="1"/>
    </w:p>
    <w:p w14:paraId="6FB37A19" w14:textId="67B665EF" w:rsidR="00A10529" w:rsidRPr="00E619FA" w:rsidRDefault="00E619FA" w:rsidP="00C47240">
      <w:pPr>
        <w:spacing w:line="480" w:lineRule="auto"/>
        <w:ind w:firstLine="720"/>
        <w:rPr>
          <w:rFonts w:ascii="Arial" w:hAnsi="Arial" w:cs="Arial"/>
          <w:sz w:val="22"/>
          <w:szCs w:val="22"/>
        </w:rPr>
      </w:pPr>
      <w:r w:rsidRPr="00E619FA">
        <w:rPr>
          <w:rFonts w:ascii="Arial" w:hAnsi="Arial" w:cs="Arial"/>
          <w:sz w:val="22"/>
          <w:szCs w:val="22"/>
        </w:rPr>
        <w:t>Measurement</w:t>
      </w:r>
      <w:r w:rsidR="00A10529" w:rsidRPr="00E619FA">
        <w:rPr>
          <w:rFonts w:ascii="Arial" w:hAnsi="Arial" w:cs="Arial"/>
          <w:sz w:val="22"/>
          <w:szCs w:val="22"/>
        </w:rPr>
        <w:t xml:space="preserve"> and monitoring of the incidence of TB in the world </w:t>
      </w:r>
      <w:r w:rsidR="001676E3" w:rsidRPr="00E619FA">
        <w:rPr>
          <w:rFonts w:ascii="Arial" w:hAnsi="Arial" w:cs="Arial"/>
          <w:sz w:val="22"/>
          <w:szCs w:val="22"/>
        </w:rPr>
        <w:t>involves</w:t>
      </w:r>
      <w:r w:rsidR="00A10529" w:rsidRPr="00E619FA">
        <w:rPr>
          <w:rFonts w:ascii="Arial" w:hAnsi="Arial" w:cs="Arial"/>
          <w:sz w:val="22"/>
          <w:szCs w:val="22"/>
        </w:rPr>
        <w:t xml:space="preserve"> the use of a comprehensive surveillance approach. In the world, the WHO coordinates the annual data collection of TB cases from the national ministries of health of 184 countries worldwide, </w:t>
      </w:r>
      <w:r w:rsidR="00A10529" w:rsidRPr="00E619FA">
        <w:rPr>
          <w:rFonts w:ascii="Arial" w:hAnsi="Arial" w:cs="Arial"/>
          <w:sz w:val="22"/>
          <w:szCs w:val="22"/>
        </w:rPr>
        <w:lastRenderedPageBreak/>
        <w:t>representing 99% of the world's population. The data collected involve the notifications of the incidence of TB among patients with relapse cases, the results of laboratory confirmations through culture, molecular methods using Xpert MTB/RIF, or whole genome sequencing, the rates of treatment successes, and mortality rates using vital registration and statistical modeling to estimate cases of underreporting. The incidence of TB is estimated through the use of the capture recapture method and the inventory method. The measurement and monitoring of the incidence of drug-resistant TB cases involve the use of the surveillance approach, which tracks cases of rifampicin resistance and cases of multi-drug resistance through routine testing (World Health Organization, 2025a).</w:t>
      </w:r>
    </w:p>
    <w:p w14:paraId="76913D4E" w14:textId="23B57B09" w:rsidR="00A77833" w:rsidRPr="00E619FA" w:rsidRDefault="00A10529" w:rsidP="00C47240">
      <w:pPr>
        <w:spacing w:line="480" w:lineRule="auto"/>
        <w:ind w:firstLine="720"/>
        <w:rPr>
          <w:rFonts w:ascii="Arial" w:hAnsi="Arial" w:cs="Arial"/>
          <w:sz w:val="22"/>
          <w:szCs w:val="22"/>
        </w:rPr>
      </w:pPr>
      <w:r w:rsidRPr="00E619FA">
        <w:rPr>
          <w:rFonts w:ascii="Arial" w:hAnsi="Arial" w:cs="Arial"/>
          <w:sz w:val="22"/>
          <w:szCs w:val="22"/>
        </w:rPr>
        <w:t>In the UK, measurement and monitoring of the incidence of cases of TB are carried out through the National Tuberculosis Surveillance System (NTBS) method, which includes the use of a compulsory notification system through the use of epidemiological, clinical, and microbiological information, the use of whole genome sequencing to type strains of TB and to identify clusters of transmission, linking to death registrations, and a quarterly provisional and comprehensive method annually (UK Health Security Agency, 2025; UK Health Security Agency, 2026).</w:t>
      </w:r>
    </w:p>
    <w:p w14:paraId="3CE9D56B" w14:textId="30A63697" w:rsidR="00A77833" w:rsidRPr="00E619FA" w:rsidRDefault="00A77833" w:rsidP="00C47240">
      <w:pPr>
        <w:pStyle w:val="Heading1"/>
        <w:rPr>
          <w:rFonts w:ascii="Arial" w:hAnsi="Arial" w:cs="Arial"/>
          <w:sz w:val="22"/>
          <w:szCs w:val="22"/>
        </w:rPr>
      </w:pPr>
      <w:bookmarkStart w:id="2" w:name="_Toc223521239"/>
      <w:r w:rsidRPr="00E619FA">
        <w:rPr>
          <w:rFonts w:ascii="Arial" w:hAnsi="Arial" w:cs="Arial"/>
          <w:sz w:val="22"/>
          <w:szCs w:val="22"/>
        </w:rPr>
        <w:t>How TB is controlled</w:t>
      </w:r>
      <w:bookmarkEnd w:id="2"/>
    </w:p>
    <w:p w14:paraId="27D8001A" w14:textId="77777777" w:rsidR="004C3D99" w:rsidRPr="00E619FA" w:rsidRDefault="004C3D99" w:rsidP="00C47240">
      <w:pPr>
        <w:spacing w:line="480" w:lineRule="auto"/>
        <w:ind w:firstLine="720"/>
        <w:rPr>
          <w:rFonts w:ascii="Arial" w:hAnsi="Arial" w:cs="Arial"/>
          <w:sz w:val="22"/>
          <w:szCs w:val="22"/>
        </w:rPr>
      </w:pPr>
      <w:r w:rsidRPr="00E619FA">
        <w:rPr>
          <w:rFonts w:ascii="Arial" w:hAnsi="Arial" w:cs="Arial"/>
          <w:sz w:val="22"/>
          <w:szCs w:val="22"/>
        </w:rPr>
        <w:t>The management of TB is carried out through a multi-layered mechanism that includes the prevention of TB, the early detection of TB, effective treatment of TB, and prevention of infections. This is carried out through the prevention of TB in high-risk groups such as neonates and contacts through the administration of the BCG vaccine. However, the vaccine does not protect individuals from adult pulmonary TB. Screening and treatment of latent infections using isoniazid and rifapentine for a duration of 3 months are carried out among high-risk groups such as migrants from high-incidence countries, HIV-positive individuals, and contacts. Active case-</w:t>
      </w:r>
      <w:r w:rsidRPr="00E619FA">
        <w:rPr>
          <w:rFonts w:ascii="Arial" w:hAnsi="Arial" w:cs="Arial"/>
          <w:sz w:val="22"/>
          <w:szCs w:val="22"/>
        </w:rPr>
        <w:lastRenderedPageBreak/>
        <w:t xml:space="preserve">finding is carried out through targeted interventions among prison inmates, homeless shelters, and new entrant health checks. This is in accordance with Vasiliu et al. (2024). </w:t>
      </w:r>
    </w:p>
    <w:p w14:paraId="133B0F99" w14:textId="1F947E82" w:rsidR="004C3D99" w:rsidRPr="00E619FA" w:rsidRDefault="001676E3" w:rsidP="00C47240">
      <w:pPr>
        <w:spacing w:line="480" w:lineRule="auto"/>
        <w:ind w:firstLine="720"/>
        <w:rPr>
          <w:rFonts w:ascii="Arial" w:hAnsi="Arial" w:cs="Arial"/>
          <w:sz w:val="22"/>
          <w:szCs w:val="22"/>
        </w:rPr>
      </w:pPr>
      <w:r w:rsidRPr="00E619FA">
        <w:rPr>
          <w:rFonts w:ascii="Arial" w:hAnsi="Arial" w:cs="Arial"/>
          <w:sz w:val="22"/>
          <w:szCs w:val="22"/>
        </w:rPr>
        <w:t>About</w:t>
      </w:r>
      <w:r w:rsidR="004C3D99" w:rsidRPr="00E619FA">
        <w:rPr>
          <w:rFonts w:ascii="Arial" w:hAnsi="Arial" w:cs="Arial"/>
          <w:sz w:val="22"/>
          <w:szCs w:val="22"/>
        </w:rPr>
        <w:t xml:space="preserve"> the treatment of TB, the treatment of drug-susceptible TB is carried out through a standard regimen, which includes a treatment regimen of 6 months, an intensive phase of isoniazid, rifampicin, pyrazinamide, and ethambutol for a duration of 2 months, and a continuation phase of isoniazid and rifampicin for a duration of 4 months. However, the treatment regimen can be adjusted to a shorter treatment regimen to ease compliance. Nevertheless, the treatment of drug-resistant TB is carried out through a longer treatment regimen, which includes the use of new drugs such as bedaquiline and delamanid. Infection control is carried out through natural ventilation, respiratory protection equipment such as FFP3 masks, rapid isolation of infectious TB patients, and cough etiquette. </w:t>
      </w:r>
    </w:p>
    <w:p w14:paraId="5BD20E96" w14:textId="51D2B6B3" w:rsidR="004C3D99" w:rsidRPr="00E619FA" w:rsidRDefault="004C3D99" w:rsidP="00C47240">
      <w:pPr>
        <w:pStyle w:val="Heading1"/>
        <w:rPr>
          <w:rFonts w:ascii="Arial" w:hAnsi="Arial" w:cs="Arial"/>
          <w:sz w:val="22"/>
          <w:szCs w:val="22"/>
        </w:rPr>
      </w:pPr>
      <w:bookmarkStart w:id="3" w:name="_Toc223521240"/>
      <w:r w:rsidRPr="00E619FA">
        <w:rPr>
          <w:rFonts w:ascii="Arial" w:hAnsi="Arial" w:cs="Arial"/>
          <w:sz w:val="22"/>
          <w:szCs w:val="22"/>
        </w:rPr>
        <w:t>Consequences of TB on people in the community</w:t>
      </w:r>
      <w:bookmarkEnd w:id="3"/>
    </w:p>
    <w:p w14:paraId="56B22DA2" w14:textId="14B322E8" w:rsidR="004C3D99" w:rsidRPr="00E619FA" w:rsidRDefault="004C3D99" w:rsidP="00C47240">
      <w:pPr>
        <w:spacing w:line="480" w:lineRule="auto"/>
        <w:ind w:firstLine="720"/>
        <w:rPr>
          <w:rFonts w:ascii="Arial" w:hAnsi="Arial" w:cs="Arial"/>
          <w:sz w:val="22"/>
          <w:szCs w:val="22"/>
        </w:rPr>
      </w:pPr>
      <w:r w:rsidRPr="00E619FA">
        <w:rPr>
          <w:rFonts w:ascii="Arial" w:hAnsi="Arial" w:cs="Arial"/>
          <w:sz w:val="22"/>
          <w:szCs w:val="22"/>
        </w:rPr>
        <w:t xml:space="preserve">TB has </w:t>
      </w:r>
      <w:r w:rsidR="00FC24C7" w:rsidRPr="00E619FA">
        <w:rPr>
          <w:rFonts w:ascii="Arial" w:hAnsi="Arial" w:cs="Arial"/>
          <w:sz w:val="22"/>
          <w:szCs w:val="22"/>
        </w:rPr>
        <w:t>several</w:t>
      </w:r>
      <w:r w:rsidRPr="00E619FA">
        <w:rPr>
          <w:rFonts w:ascii="Arial" w:hAnsi="Arial" w:cs="Arial"/>
          <w:sz w:val="22"/>
          <w:szCs w:val="22"/>
        </w:rPr>
        <w:t xml:space="preserve"> consequences on people in society. For example, TB, if not treated, has a number of consequences such as chronic illness, disability, respiratory failure, and death. Extrapulmonary TB has </w:t>
      </w:r>
      <w:r w:rsidR="00FC24C7" w:rsidRPr="00E619FA">
        <w:rPr>
          <w:rFonts w:ascii="Arial" w:hAnsi="Arial" w:cs="Arial"/>
          <w:sz w:val="22"/>
          <w:szCs w:val="22"/>
        </w:rPr>
        <w:t>several</w:t>
      </w:r>
      <w:r w:rsidRPr="00E619FA">
        <w:rPr>
          <w:rFonts w:ascii="Arial" w:hAnsi="Arial" w:cs="Arial"/>
          <w:sz w:val="22"/>
          <w:szCs w:val="22"/>
        </w:rPr>
        <w:t xml:space="preserve"> consequences on the patient in society. TB has a number of consequences </w:t>
      </w:r>
      <w:r w:rsidR="00FC24C7" w:rsidRPr="00E619FA">
        <w:rPr>
          <w:rFonts w:ascii="Arial" w:hAnsi="Arial" w:cs="Arial"/>
          <w:sz w:val="22"/>
          <w:szCs w:val="22"/>
        </w:rPr>
        <w:t>for</w:t>
      </w:r>
      <w:r w:rsidRPr="00E619FA">
        <w:rPr>
          <w:rFonts w:ascii="Arial" w:hAnsi="Arial" w:cs="Arial"/>
          <w:sz w:val="22"/>
          <w:szCs w:val="22"/>
        </w:rPr>
        <w:t xml:space="preserve"> people in society. For example, TB has been a cause for concern in society. Stigma has been a major cause of hindrance for the care of TB patients and has been a cause for TB in society. Stigma has been a cause for TB in society. Stigma in society has </w:t>
      </w:r>
      <w:r w:rsidR="00FC24C7" w:rsidRPr="00E619FA">
        <w:rPr>
          <w:rFonts w:ascii="Arial" w:hAnsi="Arial" w:cs="Arial"/>
          <w:sz w:val="22"/>
          <w:szCs w:val="22"/>
        </w:rPr>
        <w:t>a few</w:t>
      </w:r>
      <w:r w:rsidRPr="00E619FA">
        <w:rPr>
          <w:rFonts w:ascii="Arial" w:hAnsi="Arial" w:cs="Arial"/>
          <w:sz w:val="22"/>
          <w:szCs w:val="22"/>
        </w:rPr>
        <w:t xml:space="preserve"> consequences such as social rejection and discrimination. Stigma has been a cause for TB in society. TB in society has </w:t>
      </w:r>
      <w:r w:rsidR="00FC24C7" w:rsidRPr="00E619FA">
        <w:rPr>
          <w:rFonts w:ascii="Arial" w:hAnsi="Arial" w:cs="Arial"/>
          <w:sz w:val="22"/>
          <w:szCs w:val="22"/>
        </w:rPr>
        <w:t>several</w:t>
      </w:r>
      <w:r w:rsidRPr="00E619FA">
        <w:rPr>
          <w:rFonts w:ascii="Arial" w:hAnsi="Arial" w:cs="Arial"/>
          <w:sz w:val="22"/>
          <w:szCs w:val="22"/>
        </w:rPr>
        <w:t xml:space="preserve"> consequences on people in society. For example, TB in society has </w:t>
      </w:r>
      <w:r w:rsidR="00FC24C7" w:rsidRPr="00E619FA">
        <w:rPr>
          <w:rFonts w:ascii="Arial" w:hAnsi="Arial" w:cs="Arial"/>
          <w:sz w:val="22"/>
          <w:szCs w:val="22"/>
        </w:rPr>
        <w:t>several</w:t>
      </w:r>
      <w:r w:rsidRPr="00E619FA">
        <w:rPr>
          <w:rFonts w:ascii="Arial" w:hAnsi="Arial" w:cs="Arial"/>
          <w:sz w:val="22"/>
          <w:szCs w:val="22"/>
        </w:rPr>
        <w:t xml:space="preserve"> consequences such as economic consequences. For example, more than 40-50% of TB patients in society experience economic hardship. (World Health Organization, 2025a)</w:t>
      </w:r>
    </w:p>
    <w:p w14:paraId="4E4DB859" w14:textId="2A6B4E02" w:rsidR="00A77833" w:rsidRPr="00E619FA" w:rsidRDefault="004C3D99" w:rsidP="00C47240">
      <w:pPr>
        <w:spacing w:line="480" w:lineRule="auto"/>
        <w:ind w:firstLine="720"/>
        <w:rPr>
          <w:rFonts w:ascii="Arial" w:hAnsi="Arial" w:cs="Arial"/>
          <w:sz w:val="22"/>
          <w:szCs w:val="22"/>
        </w:rPr>
      </w:pPr>
      <w:r w:rsidRPr="00E619FA">
        <w:rPr>
          <w:rFonts w:ascii="Arial" w:hAnsi="Arial" w:cs="Arial"/>
          <w:sz w:val="22"/>
          <w:szCs w:val="22"/>
        </w:rPr>
        <w:t xml:space="preserve">TB in society in the UK has significant implications for individuals in society in the UK. For example, TB in society in the UK has been a major problem for individuals in society in the </w:t>
      </w:r>
      <w:r w:rsidRPr="00E619FA">
        <w:rPr>
          <w:rFonts w:ascii="Arial" w:hAnsi="Arial" w:cs="Arial"/>
          <w:sz w:val="22"/>
          <w:szCs w:val="22"/>
        </w:rPr>
        <w:lastRenderedPageBreak/>
        <w:t>UK who were not born in the UK. TB in society in the UK has been a major problem for individuals in society in the UK who were facing homelessness in the UK. TB in society in the UK has been a major problem for individuals in society in the UK who were facing substance misuse and the criminal justice system in the UK. TB in society in the UK has been a major burden on healthcare for individuals in society in the UK, which has been a major burden on society in the UK, leading to poverty in the UK, no social protection in the UK, and no support for individuals in society in the UK. (UK Health Security Agency, 2026)</w:t>
      </w:r>
    </w:p>
    <w:p w14:paraId="3C851FF7" w14:textId="77777777" w:rsidR="00DC70AB" w:rsidRPr="00E619FA" w:rsidRDefault="00DC70AB" w:rsidP="00C47240">
      <w:pPr>
        <w:pStyle w:val="Heading1"/>
        <w:rPr>
          <w:rFonts w:ascii="Arial" w:hAnsi="Arial" w:cs="Arial"/>
          <w:sz w:val="22"/>
          <w:szCs w:val="22"/>
        </w:rPr>
      </w:pPr>
      <w:bookmarkStart w:id="4" w:name="_Toc223521241"/>
      <w:r w:rsidRPr="00E619FA">
        <w:rPr>
          <w:rFonts w:ascii="Arial" w:hAnsi="Arial" w:cs="Arial"/>
          <w:sz w:val="22"/>
          <w:szCs w:val="22"/>
        </w:rPr>
        <w:t>Health and social care support services which are required to meet the needs of individuals affected by TB in the community</w:t>
      </w:r>
      <w:bookmarkEnd w:id="4"/>
    </w:p>
    <w:p w14:paraId="4EBE867F" w14:textId="1FD7CC1D" w:rsidR="00DC70AB" w:rsidRPr="00E619FA" w:rsidRDefault="00DC70AB" w:rsidP="00C47240">
      <w:pPr>
        <w:spacing w:line="480" w:lineRule="auto"/>
        <w:ind w:firstLine="720"/>
        <w:rPr>
          <w:rFonts w:ascii="Arial" w:hAnsi="Arial" w:cs="Arial"/>
          <w:sz w:val="22"/>
          <w:szCs w:val="22"/>
        </w:rPr>
      </w:pPr>
      <w:r w:rsidRPr="00E619FA">
        <w:rPr>
          <w:rFonts w:ascii="Arial" w:hAnsi="Arial" w:cs="Arial"/>
          <w:sz w:val="22"/>
          <w:szCs w:val="22"/>
        </w:rPr>
        <w:t xml:space="preserve">Health and social care support services play a vital role in addressing the complex effects of TB. In the UK, the National Health Service offers free diagnosis, treatment, and follow-up care for everyone who is diagnosed with TB, irrespective of residency status or immigration. This is done through specialist TB clinics and a team of respiratory physicians, specialist nurses, pharmacists, and social workers. In addition, support is offered to individuals who want to trace contacts and undergo preventive therapy if they are at a higher risk of developing TB. Nutritional support is also offered, and individuals are advised on how to overcome the stigma associated with TB through support from the housing department and mental health support. Support is also offered to individuals who want to access welfare benefits, transportation support, food bank support, and support from the third sector to access support and advocacy. Adherence support is also offered to patients with TB through video-observed therapy and community outreach support. This is vital in increasing the rates of adherence among vulnerable groups of people. In addition, screening is done for new </w:t>
      </w:r>
      <w:r w:rsidR="00E619FA" w:rsidRPr="00E619FA">
        <w:rPr>
          <w:rFonts w:ascii="Arial" w:hAnsi="Arial" w:cs="Arial"/>
          <w:sz w:val="22"/>
          <w:szCs w:val="22"/>
        </w:rPr>
        <w:t>entrants,</w:t>
      </w:r>
      <w:r w:rsidRPr="00E619FA">
        <w:rPr>
          <w:rFonts w:ascii="Arial" w:hAnsi="Arial" w:cs="Arial"/>
          <w:sz w:val="22"/>
          <w:szCs w:val="22"/>
        </w:rPr>
        <w:t xml:space="preserve"> and support is offered to prisons to prevent the progression of latent TB to active TB. This is vital in preventing the spread of TB and addressing the determinants of TB, such as deprivation, through patient-centered and equitable support services.</w:t>
      </w:r>
    </w:p>
    <w:p w14:paraId="2A21FF6E" w14:textId="77777777" w:rsidR="00DC70AB" w:rsidRPr="00E619FA" w:rsidRDefault="00DC70AB" w:rsidP="00CB5C72">
      <w:pPr>
        <w:pStyle w:val="Heading1"/>
        <w:rPr>
          <w:rFonts w:ascii="Arial" w:hAnsi="Arial" w:cs="Arial"/>
          <w:sz w:val="22"/>
          <w:szCs w:val="22"/>
        </w:rPr>
      </w:pPr>
      <w:bookmarkStart w:id="5" w:name="_Toc223521242"/>
      <w:r w:rsidRPr="00E619FA">
        <w:rPr>
          <w:rFonts w:ascii="Arial" w:hAnsi="Arial" w:cs="Arial"/>
          <w:sz w:val="22"/>
          <w:szCs w:val="22"/>
        </w:rPr>
        <w:lastRenderedPageBreak/>
        <w:t>Conclusion</w:t>
      </w:r>
      <w:bookmarkEnd w:id="5"/>
    </w:p>
    <w:p w14:paraId="6ADDCC5A" w14:textId="7550EC82" w:rsidR="00A77833" w:rsidRPr="00E619FA" w:rsidRDefault="00DC70AB" w:rsidP="00C47240">
      <w:pPr>
        <w:spacing w:line="480" w:lineRule="auto"/>
        <w:ind w:firstLine="720"/>
        <w:rPr>
          <w:rFonts w:ascii="Arial" w:hAnsi="Arial" w:cs="Arial"/>
          <w:sz w:val="22"/>
          <w:szCs w:val="22"/>
        </w:rPr>
      </w:pPr>
      <w:r w:rsidRPr="00E619FA">
        <w:rPr>
          <w:rFonts w:ascii="Arial" w:hAnsi="Arial" w:cs="Arial"/>
          <w:sz w:val="22"/>
          <w:szCs w:val="22"/>
        </w:rPr>
        <w:t>Tuberculosis is a major public health problem in the UK and worldwide. It is estimated that 10.7 million new cases and 1.23 million deaths were due to TB in 2024. In England, the number of TB notifications annually is consistent but higher, at 5,424 with a rate of 9.4 per 100,000 in 2025. It is, therefore, imperative that the UK has effective systems of surveillance, approaches to the prevention and control of TB, support, and effective approaches to the treatment and care of people with TB. The impact of TB among disadvantaged groups, such as migrant groups, is considerable in the UK. It is, therefore, imperative that the UK addresses the social determinants of TB and the stigma of TB to move forward with the WHO End TB Strategy and the End TB Targets. This is because, by doing so, the UK is moving forward with the WHO End TB Strategy and the End TB Targets (World Health Organization, 2025a; UK Health Security Agency, 2026).</w:t>
      </w:r>
    </w:p>
    <w:p w14:paraId="25089270" w14:textId="77777777" w:rsidR="00CB5C72" w:rsidRPr="00E619FA" w:rsidRDefault="00CB5C72" w:rsidP="00CB5C72">
      <w:pPr>
        <w:pStyle w:val="Heading1"/>
        <w:rPr>
          <w:rFonts w:ascii="Arial" w:hAnsi="Arial" w:cs="Arial"/>
          <w:sz w:val="22"/>
          <w:szCs w:val="22"/>
        </w:rPr>
      </w:pPr>
    </w:p>
    <w:p w14:paraId="59F585B7" w14:textId="251B57EB" w:rsidR="00A77833" w:rsidRPr="00E619FA" w:rsidRDefault="00A77833" w:rsidP="00CB5C72">
      <w:pPr>
        <w:pStyle w:val="Heading1"/>
        <w:rPr>
          <w:rFonts w:ascii="Arial" w:hAnsi="Arial" w:cs="Arial"/>
          <w:sz w:val="22"/>
          <w:szCs w:val="22"/>
        </w:rPr>
      </w:pPr>
      <w:bookmarkStart w:id="6" w:name="_Toc223521243"/>
      <w:r w:rsidRPr="00E619FA">
        <w:rPr>
          <w:rFonts w:ascii="Arial" w:hAnsi="Arial" w:cs="Arial"/>
          <w:sz w:val="22"/>
          <w:szCs w:val="22"/>
        </w:rPr>
        <w:t>References</w:t>
      </w:r>
      <w:bookmarkEnd w:id="6"/>
    </w:p>
    <w:p w14:paraId="14BE6353" w14:textId="2C7356E3" w:rsidR="00A77833" w:rsidRPr="00E619FA" w:rsidRDefault="00A77833" w:rsidP="00CB5C72">
      <w:pPr>
        <w:spacing w:line="480" w:lineRule="auto"/>
        <w:ind w:left="720" w:hanging="720"/>
        <w:rPr>
          <w:rFonts w:ascii="Arial" w:hAnsi="Arial" w:cs="Arial"/>
          <w:sz w:val="22"/>
          <w:szCs w:val="22"/>
        </w:rPr>
      </w:pPr>
      <w:proofErr w:type="spellStart"/>
      <w:r w:rsidRPr="00E619FA">
        <w:rPr>
          <w:rFonts w:ascii="Arial" w:hAnsi="Arial" w:cs="Arial"/>
          <w:sz w:val="22"/>
          <w:szCs w:val="22"/>
        </w:rPr>
        <w:t>Nidoi</w:t>
      </w:r>
      <w:proofErr w:type="spellEnd"/>
      <w:r w:rsidRPr="00E619FA">
        <w:rPr>
          <w:rFonts w:ascii="Arial" w:hAnsi="Arial" w:cs="Arial"/>
          <w:sz w:val="22"/>
          <w:szCs w:val="22"/>
        </w:rPr>
        <w:t>, J. et al. (2021) 'Impact of socio-economic factors on Tuberculosis treatment outcomes in north-eastern Uganda: a mixed methods study', BMC Public Health, 21, 1097. doi:10.1186/s12889-021-12056-1.</w:t>
      </w:r>
    </w:p>
    <w:p w14:paraId="648F9E36" w14:textId="0A0D1C14" w:rsidR="00A77833" w:rsidRPr="00E619FA" w:rsidRDefault="00A77833" w:rsidP="00CB5C72">
      <w:pPr>
        <w:spacing w:line="480" w:lineRule="auto"/>
        <w:ind w:left="720" w:hanging="720"/>
        <w:rPr>
          <w:rFonts w:ascii="Arial" w:hAnsi="Arial" w:cs="Arial"/>
          <w:sz w:val="22"/>
          <w:szCs w:val="22"/>
        </w:rPr>
      </w:pPr>
      <w:r w:rsidRPr="00E619FA">
        <w:rPr>
          <w:rFonts w:ascii="Arial" w:hAnsi="Arial" w:cs="Arial"/>
          <w:sz w:val="22"/>
          <w:szCs w:val="22"/>
        </w:rPr>
        <w:t>UK Government (2023) Tuberculosis (TB): action plan for England, 2021 to 2026. London: Department of Health and Social Care. Available at: https://www.gov.uk/government/publications/tuberculosis-tb-action-plan-for-england (Accessed: March 2026).</w:t>
      </w:r>
    </w:p>
    <w:p w14:paraId="6C2DF212" w14:textId="3C90160E" w:rsidR="00A77833" w:rsidRPr="00E619FA" w:rsidRDefault="00A77833" w:rsidP="00CB5C72">
      <w:pPr>
        <w:spacing w:line="480" w:lineRule="auto"/>
        <w:ind w:left="720" w:hanging="720"/>
        <w:rPr>
          <w:rFonts w:ascii="Arial" w:hAnsi="Arial" w:cs="Arial"/>
          <w:sz w:val="22"/>
          <w:szCs w:val="22"/>
        </w:rPr>
      </w:pPr>
      <w:r w:rsidRPr="00E619FA">
        <w:rPr>
          <w:rFonts w:ascii="Arial" w:hAnsi="Arial" w:cs="Arial"/>
          <w:sz w:val="22"/>
          <w:szCs w:val="22"/>
        </w:rPr>
        <w:t>UK Health Security Agency (2025) Tuberculosis in England, 2025 report. London: UKHSA. Available at: https://www.gov.uk/government/publications/tuberculosis-in-england-2025-report (Accessed: March 2026).</w:t>
      </w:r>
    </w:p>
    <w:p w14:paraId="2AA79D92" w14:textId="2E8EACDE" w:rsidR="00A77833" w:rsidRPr="00E619FA" w:rsidRDefault="00A77833" w:rsidP="00CB5C72">
      <w:pPr>
        <w:spacing w:line="480" w:lineRule="auto"/>
        <w:ind w:left="720" w:hanging="720"/>
        <w:rPr>
          <w:rFonts w:ascii="Arial" w:hAnsi="Arial" w:cs="Arial"/>
          <w:sz w:val="22"/>
          <w:szCs w:val="22"/>
        </w:rPr>
      </w:pPr>
      <w:r w:rsidRPr="00E619FA">
        <w:rPr>
          <w:rFonts w:ascii="Arial" w:hAnsi="Arial" w:cs="Arial"/>
          <w:sz w:val="22"/>
          <w:szCs w:val="22"/>
        </w:rPr>
        <w:lastRenderedPageBreak/>
        <w:t xml:space="preserve">UK Health Security Agency (2026) 'Tuberculosis notifications in England </w:t>
      </w:r>
      <w:r w:rsidR="00682F5F" w:rsidRPr="00E619FA">
        <w:rPr>
          <w:rFonts w:ascii="Arial" w:hAnsi="Arial" w:cs="Arial"/>
          <w:sz w:val="22"/>
          <w:szCs w:val="22"/>
        </w:rPr>
        <w:t>stabilize</w:t>
      </w:r>
      <w:r w:rsidRPr="00E619FA">
        <w:rPr>
          <w:rFonts w:ascii="Arial" w:hAnsi="Arial" w:cs="Arial"/>
          <w:sz w:val="22"/>
          <w:szCs w:val="22"/>
        </w:rPr>
        <w:t xml:space="preserve"> in 2025', 29 January. Available at: https://www.gov.uk/government/news/tuberculosis-notifications-in-england-stabilise-in-2025 (Accessed: March 2026).</w:t>
      </w:r>
    </w:p>
    <w:p w14:paraId="7A73285E" w14:textId="1DA34973" w:rsidR="00A77833" w:rsidRPr="00E619FA" w:rsidRDefault="00A77833" w:rsidP="00CB5C72">
      <w:pPr>
        <w:spacing w:line="480" w:lineRule="auto"/>
        <w:ind w:left="720" w:hanging="720"/>
        <w:rPr>
          <w:rFonts w:ascii="Arial" w:hAnsi="Arial" w:cs="Arial"/>
          <w:sz w:val="22"/>
          <w:szCs w:val="22"/>
        </w:rPr>
      </w:pPr>
      <w:r w:rsidRPr="00E619FA">
        <w:rPr>
          <w:rFonts w:ascii="Arial" w:hAnsi="Arial" w:cs="Arial"/>
          <w:sz w:val="22"/>
          <w:szCs w:val="22"/>
        </w:rPr>
        <w:t>Vasiliu, A. et al. (2024) 'Tuberculosis prevention: current strategies and future directions', Clinical Microbiology and Infection, 30(3), pp. 312–322. doi:10.1016/j.cmi.2023.10.012.</w:t>
      </w:r>
    </w:p>
    <w:p w14:paraId="7B35E848" w14:textId="30BD4573" w:rsidR="00A77833" w:rsidRPr="00E619FA" w:rsidRDefault="00A77833" w:rsidP="00CB5C72">
      <w:pPr>
        <w:spacing w:line="480" w:lineRule="auto"/>
        <w:ind w:left="720" w:hanging="720"/>
        <w:rPr>
          <w:rFonts w:ascii="Arial" w:hAnsi="Arial" w:cs="Arial"/>
          <w:sz w:val="22"/>
          <w:szCs w:val="22"/>
        </w:rPr>
      </w:pPr>
      <w:r w:rsidRPr="00E619FA">
        <w:rPr>
          <w:rFonts w:ascii="Arial" w:hAnsi="Arial" w:cs="Arial"/>
          <w:sz w:val="22"/>
          <w:szCs w:val="22"/>
        </w:rPr>
        <w:t>World Health Organization (2025a) Global Tuberculosis Report 2025. Geneva: WHO. Available at: https://www.who.int/teams/global-programme-on-tuberculosis-and-lung-health/tb-reports/global-tuberculosis-report-2025 (Accessed: March 2026).</w:t>
      </w:r>
    </w:p>
    <w:p w14:paraId="1CC08050" w14:textId="64D3CE90" w:rsidR="00A77833" w:rsidRPr="00E619FA" w:rsidRDefault="00A77833" w:rsidP="00CB5C72">
      <w:pPr>
        <w:spacing w:line="480" w:lineRule="auto"/>
        <w:ind w:left="720" w:hanging="720"/>
        <w:rPr>
          <w:rFonts w:ascii="Arial" w:hAnsi="Arial" w:cs="Arial"/>
          <w:sz w:val="22"/>
          <w:szCs w:val="22"/>
        </w:rPr>
      </w:pPr>
      <w:r w:rsidRPr="00E619FA">
        <w:rPr>
          <w:rFonts w:ascii="Arial" w:hAnsi="Arial" w:cs="Arial"/>
          <w:sz w:val="22"/>
          <w:szCs w:val="22"/>
        </w:rPr>
        <w:t>World Health Organization (2025b) 'Tuberculosis fact sheet', 13 November. Available at: https://www.who.int/news-room/fact-sheets/detail/tuberculosis (Accessed: March 2026).</w:t>
      </w:r>
    </w:p>
    <w:sectPr w:rsidR="00A77833" w:rsidRPr="00E619FA" w:rsidSect="00CB5C7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02379" w14:textId="77777777" w:rsidR="00E63B4C" w:rsidRDefault="00E63B4C" w:rsidP="00CB5C72">
      <w:pPr>
        <w:spacing w:after="0" w:line="240" w:lineRule="auto"/>
      </w:pPr>
      <w:r>
        <w:separator/>
      </w:r>
    </w:p>
  </w:endnote>
  <w:endnote w:type="continuationSeparator" w:id="0">
    <w:p w14:paraId="2120C12A" w14:textId="77777777" w:rsidR="00E63B4C" w:rsidRDefault="00E63B4C" w:rsidP="00CB5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4CEF2" w14:textId="77777777" w:rsidR="00E63B4C" w:rsidRDefault="00E63B4C" w:rsidP="00CB5C72">
      <w:pPr>
        <w:spacing w:after="0" w:line="240" w:lineRule="auto"/>
      </w:pPr>
      <w:r>
        <w:separator/>
      </w:r>
    </w:p>
  </w:footnote>
  <w:footnote w:type="continuationSeparator" w:id="0">
    <w:p w14:paraId="6009853F" w14:textId="77777777" w:rsidR="00E63B4C" w:rsidRDefault="00E63B4C" w:rsidP="00CB5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3705704"/>
      <w:docPartObj>
        <w:docPartGallery w:val="Page Numbers (Top of Page)"/>
        <w:docPartUnique/>
      </w:docPartObj>
    </w:sdtPr>
    <w:sdtEndPr>
      <w:rPr>
        <w:noProof/>
      </w:rPr>
    </w:sdtEndPr>
    <w:sdtContent>
      <w:p w14:paraId="0557160C" w14:textId="7D4B0803" w:rsidR="00CB5C72" w:rsidRDefault="00CB5C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895AD90" w14:textId="77777777" w:rsidR="00CB5C72" w:rsidRDefault="00CB5C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833"/>
    <w:rsid w:val="00095DC9"/>
    <w:rsid w:val="001676E3"/>
    <w:rsid w:val="00177D46"/>
    <w:rsid w:val="00190D82"/>
    <w:rsid w:val="001C024D"/>
    <w:rsid w:val="002D5542"/>
    <w:rsid w:val="0032742C"/>
    <w:rsid w:val="003F3455"/>
    <w:rsid w:val="00424719"/>
    <w:rsid w:val="004A0A09"/>
    <w:rsid w:val="004C3D99"/>
    <w:rsid w:val="0061146C"/>
    <w:rsid w:val="00682F5F"/>
    <w:rsid w:val="006956FC"/>
    <w:rsid w:val="008B0C94"/>
    <w:rsid w:val="009F49C5"/>
    <w:rsid w:val="00A06B8C"/>
    <w:rsid w:val="00A10529"/>
    <w:rsid w:val="00A77833"/>
    <w:rsid w:val="00AC6298"/>
    <w:rsid w:val="00C47240"/>
    <w:rsid w:val="00CB5C72"/>
    <w:rsid w:val="00D55C53"/>
    <w:rsid w:val="00D67E43"/>
    <w:rsid w:val="00D743FB"/>
    <w:rsid w:val="00D80863"/>
    <w:rsid w:val="00DC70AB"/>
    <w:rsid w:val="00E3381B"/>
    <w:rsid w:val="00E50CCD"/>
    <w:rsid w:val="00E619FA"/>
    <w:rsid w:val="00E63B4C"/>
    <w:rsid w:val="00E716E3"/>
    <w:rsid w:val="00EC4D8F"/>
    <w:rsid w:val="00ED3CB4"/>
    <w:rsid w:val="00F13502"/>
    <w:rsid w:val="00F97650"/>
    <w:rsid w:val="00FC2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720CE"/>
  <w15:chartTrackingRefBased/>
  <w15:docId w15:val="{9C64BD8F-E27A-49F7-8A72-5BA14336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46C"/>
    <w:pPr>
      <w:keepNext/>
      <w:keepLines/>
      <w:spacing w:before="360" w:after="80"/>
      <w:outlineLvl w:val="0"/>
    </w:pPr>
    <w:rPr>
      <w:rFonts w:ascii="Times New Roman" w:eastAsiaTheme="majorEastAsia" w:hAnsi="Times New Roman" w:cstheme="majorBidi"/>
      <w:b/>
      <w:sz w:val="26"/>
      <w:szCs w:val="40"/>
    </w:rPr>
  </w:style>
  <w:style w:type="paragraph" w:styleId="Heading2">
    <w:name w:val="heading 2"/>
    <w:basedOn w:val="Normal"/>
    <w:next w:val="Normal"/>
    <w:link w:val="Heading2Char"/>
    <w:uiPriority w:val="9"/>
    <w:unhideWhenUsed/>
    <w:qFormat/>
    <w:rsid w:val="00A06B8C"/>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A06B8C"/>
    <w:pPr>
      <w:keepNext/>
      <w:keepLines/>
      <w:spacing w:before="160" w:after="80"/>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A778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78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78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78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78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78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46C"/>
    <w:rPr>
      <w:rFonts w:ascii="Times New Roman" w:eastAsiaTheme="majorEastAsia" w:hAnsi="Times New Roman" w:cstheme="majorBidi"/>
      <w:b/>
      <w:sz w:val="26"/>
      <w:szCs w:val="40"/>
    </w:rPr>
  </w:style>
  <w:style w:type="character" w:customStyle="1" w:styleId="Heading2Char">
    <w:name w:val="Heading 2 Char"/>
    <w:basedOn w:val="DefaultParagraphFont"/>
    <w:link w:val="Heading2"/>
    <w:uiPriority w:val="9"/>
    <w:rsid w:val="00A06B8C"/>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A06B8C"/>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A778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78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78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8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8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833"/>
    <w:rPr>
      <w:rFonts w:eastAsiaTheme="majorEastAsia" w:cstheme="majorBidi"/>
      <w:color w:val="272727" w:themeColor="text1" w:themeTint="D8"/>
    </w:rPr>
  </w:style>
  <w:style w:type="paragraph" w:styleId="Title">
    <w:name w:val="Title"/>
    <w:basedOn w:val="Normal"/>
    <w:next w:val="Normal"/>
    <w:link w:val="TitleChar"/>
    <w:uiPriority w:val="10"/>
    <w:qFormat/>
    <w:rsid w:val="00A778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8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8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8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833"/>
    <w:pPr>
      <w:spacing w:before="160"/>
      <w:jc w:val="center"/>
    </w:pPr>
    <w:rPr>
      <w:i/>
      <w:iCs/>
      <w:color w:val="404040" w:themeColor="text1" w:themeTint="BF"/>
    </w:rPr>
  </w:style>
  <w:style w:type="character" w:customStyle="1" w:styleId="QuoteChar">
    <w:name w:val="Quote Char"/>
    <w:basedOn w:val="DefaultParagraphFont"/>
    <w:link w:val="Quote"/>
    <w:uiPriority w:val="29"/>
    <w:rsid w:val="00A77833"/>
    <w:rPr>
      <w:i/>
      <w:iCs/>
      <w:color w:val="404040" w:themeColor="text1" w:themeTint="BF"/>
    </w:rPr>
  </w:style>
  <w:style w:type="paragraph" w:styleId="ListParagraph">
    <w:name w:val="List Paragraph"/>
    <w:basedOn w:val="Normal"/>
    <w:uiPriority w:val="34"/>
    <w:qFormat/>
    <w:rsid w:val="00A77833"/>
    <w:pPr>
      <w:ind w:left="720"/>
      <w:contextualSpacing/>
    </w:pPr>
  </w:style>
  <w:style w:type="character" w:styleId="IntenseEmphasis">
    <w:name w:val="Intense Emphasis"/>
    <w:basedOn w:val="DefaultParagraphFont"/>
    <w:uiPriority w:val="21"/>
    <w:qFormat/>
    <w:rsid w:val="00A77833"/>
    <w:rPr>
      <w:i/>
      <w:iCs/>
      <w:color w:val="2F5496" w:themeColor="accent1" w:themeShade="BF"/>
    </w:rPr>
  </w:style>
  <w:style w:type="paragraph" w:styleId="IntenseQuote">
    <w:name w:val="Intense Quote"/>
    <w:basedOn w:val="Normal"/>
    <w:next w:val="Normal"/>
    <w:link w:val="IntenseQuoteChar"/>
    <w:uiPriority w:val="30"/>
    <w:qFormat/>
    <w:rsid w:val="00A778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7833"/>
    <w:rPr>
      <w:i/>
      <w:iCs/>
      <w:color w:val="2F5496" w:themeColor="accent1" w:themeShade="BF"/>
    </w:rPr>
  </w:style>
  <w:style w:type="character" w:styleId="IntenseReference">
    <w:name w:val="Intense Reference"/>
    <w:basedOn w:val="DefaultParagraphFont"/>
    <w:uiPriority w:val="32"/>
    <w:qFormat/>
    <w:rsid w:val="00A77833"/>
    <w:rPr>
      <w:b/>
      <w:bCs/>
      <w:smallCaps/>
      <w:color w:val="2F5496" w:themeColor="accent1" w:themeShade="BF"/>
      <w:spacing w:val="5"/>
    </w:rPr>
  </w:style>
  <w:style w:type="paragraph" w:styleId="TOCHeading">
    <w:name w:val="TOC Heading"/>
    <w:basedOn w:val="Heading1"/>
    <w:next w:val="Normal"/>
    <w:uiPriority w:val="39"/>
    <w:unhideWhenUsed/>
    <w:qFormat/>
    <w:rsid w:val="00CB5C72"/>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CB5C72"/>
    <w:pPr>
      <w:spacing w:after="100"/>
    </w:pPr>
  </w:style>
  <w:style w:type="character" w:styleId="Hyperlink">
    <w:name w:val="Hyperlink"/>
    <w:basedOn w:val="DefaultParagraphFont"/>
    <w:uiPriority w:val="99"/>
    <w:unhideWhenUsed/>
    <w:rsid w:val="00CB5C72"/>
    <w:rPr>
      <w:color w:val="0563C1" w:themeColor="hyperlink"/>
      <w:u w:val="single"/>
    </w:rPr>
  </w:style>
  <w:style w:type="paragraph" w:styleId="Header">
    <w:name w:val="header"/>
    <w:basedOn w:val="Normal"/>
    <w:link w:val="HeaderChar"/>
    <w:uiPriority w:val="99"/>
    <w:unhideWhenUsed/>
    <w:rsid w:val="00CB5C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C72"/>
  </w:style>
  <w:style w:type="paragraph" w:styleId="Footer">
    <w:name w:val="footer"/>
    <w:basedOn w:val="Normal"/>
    <w:link w:val="FooterChar"/>
    <w:uiPriority w:val="99"/>
    <w:unhideWhenUsed/>
    <w:rsid w:val="00CB5C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1754</Words>
  <Characters>10000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OCHIENG'' - BBTEC202171890</dc:creator>
  <cp:keywords/>
  <dc:description/>
  <cp:lastModifiedBy>Areena Ayaz</cp:lastModifiedBy>
  <cp:revision>3</cp:revision>
  <dcterms:created xsi:type="dcterms:W3CDTF">2026-03-23T21:50:00Z</dcterms:created>
  <dcterms:modified xsi:type="dcterms:W3CDTF">2026-03-23T21:51:00Z</dcterms:modified>
</cp:coreProperties>
</file>