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434F673C" w:rsidR="005836CF" w:rsidRDefault="785E9ADD" w:rsidP="47A1F9F4">
      <w:pPr>
        <w:spacing w:after="20"/>
        <w:rPr>
          <w:rFonts w:ascii="Arial" w:eastAsia="Arial" w:hAnsi="Arial" w:cs="Arial"/>
          <w:b/>
          <w:bCs/>
          <w:sz w:val="28"/>
          <w:szCs w:val="28"/>
        </w:rPr>
      </w:pPr>
      <w:r w:rsidRPr="47A1F9F4">
        <w:rPr>
          <w:rFonts w:ascii="Arial" w:eastAsia="Arial" w:hAnsi="Arial" w:cs="Arial"/>
          <w:b/>
          <w:bCs/>
          <w:sz w:val="24"/>
          <w:szCs w:val="24"/>
        </w:rPr>
        <w:t>Tort Law: Occupiers Liability</w:t>
      </w:r>
      <w:r w:rsidR="0D5EABE2" w:rsidRPr="47A1F9F4">
        <w:rPr>
          <w:rFonts w:ascii="Arial" w:eastAsia="Arial" w:hAnsi="Arial" w:cs="Arial"/>
          <w:b/>
          <w:bCs/>
          <w:sz w:val="24"/>
          <w:szCs w:val="24"/>
        </w:rPr>
        <w:t>: David Jones 1902712</w:t>
      </w:r>
    </w:p>
    <w:p w14:paraId="33F14B6E" w14:textId="36321C85" w:rsidR="47A1F9F4" w:rsidRDefault="47A1F9F4" w:rsidP="47A1F9F4">
      <w:pPr>
        <w:spacing w:after="20"/>
        <w:rPr>
          <w:rFonts w:ascii="Arial" w:eastAsia="Arial" w:hAnsi="Arial" w:cs="Arial"/>
          <w:b/>
          <w:bCs/>
          <w:sz w:val="24"/>
          <w:szCs w:val="24"/>
        </w:rPr>
      </w:pPr>
    </w:p>
    <w:p w14:paraId="752F3C71" w14:textId="57D56566" w:rsidR="0D5EABE2" w:rsidRDefault="0D5EABE2" w:rsidP="47A1F9F4">
      <w:pPr>
        <w:spacing w:after="20"/>
        <w:rPr>
          <w:rFonts w:ascii="Arial" w:eastAsia="Arial" w:hAnsi="Arial" w:cs="Arial"/>
          <w:b/>
          <w:bCs/>
          <w:sz w:val="24"/>
          <w:szCs w:val="24"/>
        </w:rPr>
      </w:pPr>
      <w:r w:rsidRPr="47A1F9F4">
        <w:rPr>
          <w:rFonts w:ascii="Arial" w:eastAsia="Arial" w:hAnsi="Arial" w:cs="Arial"/>
          <w:b/>
          <w:bCs/>
          <w:sz w:val="24"/>
          <w:szCs w:val="24"/>
        </w:rPr>
        <w:t>Critically analyse, with reference to the Occupiers’ Liability legislation, the extent to which people are protected against unfair claims by those who come onto their premises.</w:t>
      </w:r>
    </w:p>
    <w:p w14:paraId="1B6CE45B" w14:textId="4F414875" w:rsidR="47A1F9F4" w:rsidRDefault="47A1F9F4" w:rsidP="47A1F9F4">
      <w:pPr>
        <w:spacing w:after="20"/>
        <w:rPr>
          <w:sz w:val="28"/>
          <w:szCs w:val="28"/>
        </w:rPr>
      </w:pPr>
    </w:p>
    <w:p w14:paraId="3FBBD316" w14:textId="705FEAE1" w:rsidR="0ADEB843" w:rsidRDefault="0ADEB843" w:rsidP="47A1F9F4">
      <w:pPr>
        <w:spacing w:after="20"/>
        <w:rPr>
          <w:rFonts w:eastAsiaTheme="minorEastAsia"/>
          <w:sz w:val="24"/>
          <w:szCs w:val="24"/>
        </w:rPr>
      </w:pPr>
      <w:r w:rsidRPr="47A1F9F4">
        <w:rPr>
          <w:rFonts w:eastAsiaTheme="minorEastAsia"/>
          <w:sz w:val="24"/>
          <w:szCs w:val="24"/>
        </w:rPr>
        <w:t xml:space="preserve">Occupier’s liability is a field of legislation which focuses on the tort law that addresses issues, accidents, and dangerous conditions of premises that occupiers may confront. The contemporary legislation regulating the occupiers’ liability relies on two legal acts: </w:t>
      </w:r>
      <w:r w:rsidR="7B00E73E" w:rsidRPr="47A1F9F4">
        <w:rPr>
          <w:rFonts w:eastAsiaTheme="minorEastAsia"/>
          <w:sz w:val="24"/>
          <w:szCs w:val="24"/>
        </w:rPr>
        <w:t>The</w:t>
      </w:r>
      <w:r w:rsidRPr="47A1F9F4">
        <w:rPr>
          <w:rFonts w:eastAsiaTheme="minorEastAsia"/>
          <w:sz w:val="24"/>
          <w:szCs w:val="24"/>
        </w:rPr>
        <w:t xml:space="preserve"> Occupiers’ Liability Act of 1957 and the Occupiers’ Liability Act of 1984. The Occupiers’ Liability Act of 1957 laid the ground for the concept of occupiers’ liability and regulated the main issues and aimed at the prevention of accidents, whereas the Occupiers’ liability Act of 1984 enhanced the preceding legislation and complemented the Occupiers’ Liability Act of 1957. The Occupiers’ Liability Act of 1984 also closed persisting legislation gaps and decreased the risk of accidents associated with dangerous conditions of the premises</w:t>
      </w:r>
      <w:r w:rsidR="431D0710" w:rsidRPr="47A1F9F4">
        <w:rPr>
          <w:rFonts w:eastAsiaTheme="minorEastAsia"/>
          <w:sz w:val="24"/>
          <w:szCs w:val="24"/>
        </w:rPr>
        <w:t xml:space="preserve"> The Occupiers’ Liability Act of 1984 complemented the Occupiers’ Liability Act of 1957. To put it more precisely, the major change or amendment to the earlier Occupiers’ Liability Act was the introduction of the concept of trespasser and the introduction of the occupier liability in relation to trespassers. In such a way, the Occupiers’ Liability Act of 1984 made trespassers in a way equal to visitors from the occupiers’ liability’s perspective. At the same time, regardless of whether a person is a visitor or trespasser, </w:t>
      </w:r>
      <w:r w:rsidR="28D6100D" w:rsidRPr="47A1F9F4">
        <w:rPr>
          <w:rFonts w:eastAsiaTheme="minorEastAsia"/>
          <w:sz w:val="24"/>
          <w:szCs w:val="24"/>
        </w:rPr>
        <w:t>the legislation</w:t>
      </w:r>
      <w:r w:rsidR="431D0710" w:rsidRPr="47A1F9F4">
        <w:rPr>
          <w:rFonts w:eastAsiaTheme="minorEastAsia"/>
          <w:sz w:val="24"/>
          <w:szCs w:val="24"/>
        </w:rPr>
        <w:t xml:space="preserve"> aims at their protection from accidents and injuries caused by the negligence of </w:t>
      </w:r>
      <w:r w:rsidR="61145EDA" w:rsidRPr="47A1F9F4">
        <w:rPr>
          <w:rFonts w:eastAsiaTheme="minorEastAsia"/>
          <w:sz w:val="24"/>
          <w:szCs w:val="24"/>
        </w:rPr>
        <w:t>the</w:t>
      </w:r>
      <w:r w:rsidR="431D0710" w:rsidRPr="47A1F9F4">
        <w:rPr>
          <w:rFonts w:eastAsiaTheme="minorEastAsia"/>
          <w:sz w:val="24"/>
          <w:szCs w:val="24"/>
        </w:rPr>
        <w:t xml:space="preserve"> occupiers. Both Occupiers Liability Acts of 1957 and 1984 are crucial for the introduction of the occupier’s liability and to decrease risks associated with being in occupiers’ premises for others, either visitors or trespassers. Therefore, the Occupiers’ Liability Act of 1984 expanded the legal ground of the Occupiers’ Liability Act 1957 and complemented that act by introducing and defining the occupier’s duty to trespassers which was essential to make the legislation more adequate and relevant to issues that occupiers confront.</w:t>
      </w:r>
    </w:p>
    <w:p w14:paraId="3FFFF07D" w14:textId="49AE4540" w:rsidR="47A1F9F4" w:rsidRDefault="47A1F9F4" w:rsidP="47A1F9F4">
      <w:pPr>
        <w:spacing w:after="20"/>
        <w:rPr>
          <w:rFonts w:eastAsiaTheme="minorEastAsia"/>
          <w:sz w:val="24"/>
          <w:szCs w:val="24"/>
        </w:rPr>
      </w:pPr>
    </w:p>
    <w:p w14:paraId="5B751C81" w14:textId="51255C8F" w:rsidR="5316627D" w:rsidRDefault="5316627D" w:rsidP="47A1F9F4">
      <w:pPr>
        <w:spacing w:after="20"/>
        <w:rPr>
          <w:rFonts w:eastAsiaTheme="minorEastAsia"/>
          <w:sz w:val="24"/>
          <w:szCs w:val="24"/>
        </w:rPr>
      </w:pPr>
      <w:r w:rsidRPr="47A1F9F4">
        <w:rPr>
          <w:rFonts w:eastAsiaTheme="minorEastAsia"/>
          <w:sz w:val="24"/>
          <w:szCs w:val="24"/>
        </w:rPr>
        <w:t>The Occupiers’ Liability Act of 1957 was introduced to regulate occupier's liability and prevent possible accidents from dangerous conditions</w:t>
      </w:r>
      <w:r w:rsidR="28C7D6F3" w:rsidRPr="47A1F9F4">
        <w:rPr>
          <w:rFonts w:eastAsiaTheme="minorEastAsia"/>
          <w:sz w:val="24"/>
          <w:szCs w:val="24"/>
        </w:rPr>
        <w:t xml:space="preserve">. </w:t>
      </w:r>
      <w:r w:rsidRPr="47A1F9F4">
        <w:rPr>
          <w:rFonts w:eastAsiaTheme="minorEastAsia"/>
          <w:sz w:val="24"/>
          <w:szCs w:val="24"/>
        </w:rPr>
        <w:t>The Occupiers</w:t>
      </w:r>
      <w:r w:rsidR="73FA9CC5" w:rsidRPr="47A1F9F4">
        <w:rPr>
          <w:rFonts w:eastAsiaTheme="minorEastAsia"/>
          <w:sz w:val="24"/>
          <w:szCs w:val="24"/>
        </w:rPr>
        <w:t xml:space="preserve"> </w:t>
      </w:r>
      <w:r w:rsidRPr="47A1F9F4">
        <w:rPr>
          <w:rFonts w:eastAsiaTheme="minorEastAsia"/>
          <w:sz w:val="24"/>
          <w:szCs w:val="24"/>
        </w:rPr>
        <w:t>Act of 1957</w:t>
      </w:r>
      <w:r w:rsidR="22467DF0" w:rsidRPr="47A1F9F4">
        <w:rPr>
          <w:rFonts w:eastAsiaTheme="minorEastAsia"/>
          <w:sz w:val="24"/>
          <w:szCs w:val="24"/>
        </w:rPr>
        <w:t xml:space="preserve"> </w:t>
      </w:r>
      <w:r w:rsidRPr="47A1F9F4">
        <w:rPr>
          <w:rFonts w:eastAsiaTheme="minorEastAsia"/>
          <w:sz w:val="24"/>
          <w:szCs w:val="24"/>
        </w:rPr>
        <w:t xml:space="preserve">defines the occupier as the </w:t>
      </w:r>
      <w:r w:rsidR="3B7767FD" w:rsidRPr="47A1F9F4">
        <w:rPr>
          <w:rFonts w:eastAsiaTheme="minorEastAsia"/>
          <w:i/>
          <w:iCs/>
          <w:sz w:val="24"/>
          <w:szCs w:val="24"/>
        </w:rPr>
        <w:t>‘</w:t>
      </w:r>
      <w:r w:rsidRPr="47A1F9F4">
        <w:rPr>
          <w:rFonts w:eastAsiaTheme="minorEastAsia"/>
          <w:i/>
          <w:iCs/>
          <w:sz w:val="24"/>
          <w:szCs w:val="24"/>
        </w:rPr>
        <w:t>person occupying or the person in control of the premises, not necessarily the owner but most likely the one who could have prevented the harm</w:t>
      </w:r>
      <w:r w:rsidR="748C1178" w:rsidRPr="47A1F9F4">
        <w:rPr>
          <w:rFonts w:eastAsiaTheme="minorEastAsia"/>
          <w:i/>
          <w:iCs/>
          <w:sz w:val="24"/>
          <w:szCs w:val="24"/>
        </w:rPr>
        <w:t>’</w:t>
      </w:r>
      <w:r w:rsidRPr="47A1F9F4">
        <w:rPr>
          <w:rFonts w:eastAsiaTheme="minorEastAsia"/>
          <w:i/>
          <w:iCs/>
          <w:sz w:val="24"/>
          <w:szCs w:val="24"/>
        </w:rPr>
        <w:t xml:space="preserve"> (Bennett, 2011)</w:t>
      </w:r>
      <w:r w:rsidRPr="47A1F9F4">
        <w:rPr>
          <w:rFonts w:eastAsiaTheme="minorEastAsia"/>
          <w:sz w:val="24"/>
          <w:szCs w:val="24"/>
        </w:rPr>
        <w:t xml:space="preserve">. The act defines </w:t>
      </w:r>
      <w:r w:rsidR="1AC9DA96" w:rsidRPr="47A1F9F4">
        <w:rPr>
          <w:rFonts w:eastAsiaTheme="minorEastAsia"/>
          <w:sz w:val="24"/>
          <w:szCs w:val="24"/>
        </w:rPr>
        <w:t>the occupier</w:t>
      </w:r>
      <w:r w:rsidRPr="47A1F9F4">
        <w:rPr>
          <w:rFonts w:eastAsiaTheme="minorEastAsia"/>
          <w:sz w:val="24"/>
          <w:szCs w:val="24"/>
        </w:rPr>
        <w:t xml:space="preserve"> </w:t>
      </w:r>
      <w:r w:rsidR="17E3F02A" w:rsidRPr="47A1F9F4">
        <w:rPr>
          <w:rFonts w:eastAsiaTheme="minorEastAsia"/>
          <w:sz w:val="24"/>
          <w:szCs w:val="24"/>
        </w:rPr>
        <w:t>as someone</w:t>
      </w:r>
      <w:r w:rsidRPr="47A1F9F4">
        <w:rPr>
          <w:rFonts w:eastAsiaTheme="minorEastAsia"/>
          <w:sz w:val="24"/>
          <w:szCs w:val="24"/>
        </w:rPr>
        <w:t xml:space="preserve"> who has legal control of the premises</w:t>
      </w:r>
      <w:r w:rsidR="370EF270" w:rsidRPr="47A1F9F4">
        <w:rPr>
          <w:rFonts w:eastAsiaTheme="minorEastAsia"/>
          <w:sz w:val="24"/>
          <w:szCs w:val="24"/>
        </w:rPr>
        <w:t xml:space="preserve"> or property</w:t>
      </w:r>
      <w:r w:rsidRPr="47A1F9F4">
        <w:rPr>
          <w:rFonts w:eastAsiaTheme="minorEastAsia"/>
          <w:sz w:val="24"/>
          <w:szCs w:val="24"/>
        </w:rPr>
        <w:t>. Th</w:t>
      </w:r>
      <w:r w:rsidR="73B1EA43" w:rsidRPr="47A1F9F4">
        <w:rPr>
          <w:rFonts w:eastAsiaTheme="minorEastAsia"/>
          <w:sz w:val="24"/>
          <w:szCs w:val="24"/>
        </w:rPr>
        <w:t>is act</w:t>
      </w:r>
      <w:r w:rsidRPr="47A1F9F4">
        <w:rPr>
          <w:rFonts w:eastAsiaTheme="minorEastAsia"/>
          <w:sz w:val="24"/>
          <w:szCs w:val="24"/>
        </w:rPr>
        <w:t xml:space="preserve"> imposes the duty of care on occupiers in relation to visitors, who enter their </w:t>
      </w:r>
      <w:r w:rsidR="3EA396A2" w:rsidRPr="47A1F9F4">
        <w:rPr>
          <w:rFonts w:eastAsiaTheme="minorEastAsia"/>
          <w:sz w:val="24"/>
          <w:szCs w:val="24"/>
        </w:rPr>
        <w:t>property</w:t>
      </w:r>
      <w:r w:rsidRPr="47A1F9F4">
        <w:rPr>
          <w:rFonts w:eastAsiaTheme="minorEastAsia"/>
          <w:sz w:val="24"/>
          <w:szCs w:val="24"/>
        </w:rPr>
        <w:t xml:space="preserve">. The concept of 'visitor' </w:t>
      </w:r>
      <w:r w:rsidR="29315011" w:rsidRPr="47A1F9F4">
        <w:rPr>
          <w:rFonts w:eastAsiaTheme="minorEastAsia"/>
          <w:sz w:val="24"/>
          <w:szCs w:val="24"/>
        </w:rPr>
        <w:t xml:space="preserve">is </w:t>
      </w:r>
      <w:r w:rsidRPr="47A1F9F4">
        <w:rPr>
          <w:rFonts w:eastAsiaTheme="minorEastAsia"/>
          <w:sz w:val="24"/>
          <w:szCs w:val="24"/>
        </w:rPr>
        <w:t>defined by the</w:t>
      </w:r>
      <w:r w:rsidR="4E66A3FA" w:rsidRPr="47A1F9F4">
        <w:rPr>
          <w:rFonts w:eastAsiaTheme="minorEastAsia"/>
          <w:sz w:val="24"/>
          <w:szCs w:val="24"/>
        </w:rPr>
        <w:t xml:space="preserve"> 19</w:t>
      </w:r>
      <w:r w:rsidRPr="47A1F9F4">
        <w:rPr>
          <w:rFonts w:eastAsiaTheme="minorEastAsia"/>
          <w:sz w:val="24"/>
          <w:szCs w:val="24"/>
        </w:rPr>
        <w:t>57</w:t>
      </w:r>
      <w:r w:rsidR="2F6078FE" w:rsidRPr="47A1F9F4">
        <w:rPr>
          <w:rFonts w:eastAsiaTheme="minorEastAsia"/>
          <w:sz w:val="24"/>
          <w:szCs w:val="24"/>
        </w:rPr>
        <w:t xml:space="preserve"> act</w:t>
      </w:r>
      <w:r w:rsidRPr="47A1F9F4">
        <w:rPr>
          <w:rFonts w:eastAsiaTheme="minorEastAsia"/>
          <w:sz w:val="24"/>
          <w:szCs w:val="24"/>
        </w:rPr>
        <w:t xml:space="preserve"> as a </w:t>
      </w:r>
      <w:r w:rsidR="3BFDB987" w:rsidRPr="47A1F9F4">
        <w:rPr>
          <w:rFonts w:eastAsiaTheme="minorEastAsia"/>
          <w:sz w:val="24"/>
          <w:szCs w:val="24"/>
        </w:rPr>
        <w:t>‘</w:t>
      </w:r>
      <w:r w:rsidRPr="47A1F9F4">
        <w:rPr>
          <w:rFonts w:eastAsiaTheme="minorEastAsia"/>
          <w:i/>
          <w:iCs/>
          <w:sz w:val="24"/>
          <w:szCs w:val="24"/>
        </w:rPr>
        <w:t>person who has obtained permission and has the legal ground for entering or being on the premises of the occupier</w:t>
      </w:r>
      <w:r w:rsidR="77C1FC9A" w:rsidRPr="47A1F9F4">
        <w:rPr>
          <w:rFonts w:eastAsiaTheme="minorEastAsia"/>
          <w:i/>
          <w:iCs/>
          <w:sz w:val="24"/>
          <w:szCs w:val="24"/>
        </w:rPr>
        <w:t>’</w:t>
      </w:r>
      <w:r w:rsidRPr="47A1F9F4">
        <w:rPr>
          <w:rFonts w:eastAsiaTheme="minorEastAsia"/>
          <w:i/>
          <w:iCs/>
          <w:sz w:val="24"/>
          <w:szCs w:val="24"/>
        </w:rPr>
        <w:t>. (Dimond, 2002)</w:t>
      </w:r>
      <w:r w:rsidRPr="47A1F9F4">
        <w:rPr>
          <w:rFonts w:eastAsiaTheme="minorEastAsia"/>
          <w:sz w:val="24"/>
          <w:szCs w:val="24"/>
        </w:rPr>
        <w:t xml:space="preserve">. The concept of </w:t>
      </w:r>
      <w:r w:rsidR="38C13260" w:rsidRPr="47A1F9F4">
        <w:rPr>
          <w:rFonts w:eastAsiaTheme="minorEastAsia"/>
          <w:sz w:val="24"/>
          <w:szCs w:val="24"/>
        </w:rPr>
        <w:t xml:space="preserve">the </w:t>
      </w:r>
      <w:r w:rsidRPr="47A1F9F4">
        <w:rPr>
          <w:rFonts w:eastAsiaTheme="minorEastAsia"/>
          <w:sz w:val="24"/>
          <w:szCs w:val="24"/>
        </w:rPr>
        <w:t xml:space="preserve">occupier </w:t>
      </w:r>
      <w:r w:rsidR="7E979556" w:rsidRPr="47A1F9F4">
        <w:rPr>
          <w:rFonts w:eastAsiaTheme="minorEastAsia"/>
          <w:sz w:val="24"/>
          <w:szCs w:val="24"/>
        </w:rPr>
        <w:t>is clearer</w:t>
      </w:r>
      <w:r w:rsidRPr="47A1F9F4">
        <w:rPr>
          <w:rFonts w:eastAsiaTheme="minorEastAsia"/>
          <w:sz w:val="24"/>
          <w:szCs w:val="24"/>
        </w:rPr>
        <w:t xml:space="preserve"> in </w:t>
      </w:r>
      <w:r w:rsidRPr="47A1F9F4">
        <w:rPr>
          <w:rFonts w:eastAsiaTheme="minorEastAsia"/>
          <w:i/>
          <w:iCs/>
          <w:sz w:val="24"/>
          <w:szCs w:val="24"/>
        </w:rPr>
        <w:t xml:space="preserve">Wheat v E </w:t>
      </w:r>
      <w:proofErr w:type="spellStart"/>
      <w:r w:rsidRPr="47A1F9F4">
        <w:rPr>
          <w:rFonts w:eastAsiaTheme="minorEastAsia"/>
          <w:i/>
          <w:iCs/>
          <w:sz w:val="24"/>
          <w:szCs w:val="24"/>
        </w:rPr>
        <w:t>Lacon</w:t>
      </w:r>
      <w:proofErr w:type="spellEnd"/>
      <w:r w:rsidRPr="47A1F9F4">
        <w:rPr>
          <w:rFonts w:eastAsiaTheme="minorEastAsia"/>
          <w:i/>
          <w:iCs/>
          <w:sz w:val="24"/>
          <w:szCs w:val="24"/>
        </w:rPr>
        <w:t xml:space="preserve"> &amp; Co Ltd [1966] 1 All ER 582 (Miles, 2002).</w:t>
      </w:r>
      <w:r w:rsidRPr="47A1F9F4">
        <w:rPr>
          <w:rFonts w:eastAsiaTheme="minorEastAsia"/>
          <w:sz w:val="24"/>
          <w:szCs w:val="24"/>
        </w:rPr>
        <w:t xml:space="preserve"> As a rule, the occupier is the owner of the premises, but this is not always the case. Occupiers may rent premises or just perform functions of the owner-occupier but they are not necessarily owners. The number of occupiers may vary but they are all responsible for safety of the building and are accountable for </w:t>
      </w:r>
      <w:r w:rsidR="453FCF2C" w:rsidRPr="47A1F9F4">
        <w:rPr>
          <w:rFonts w:eastAsiaTheme="minorEastAsia"/>
          <w:sz w:val="24"/>
          <w:szCs w:val="24"/>
        </w:rPr>
        <w:t xml:space="preserve">the property. </w:t>
      </w:r>
      <w:r w:rsidRPr="47A1F9F4">
        <w:rPr>
          <w:rFonts w:eastAsiaTheme="minorEastAsia"/>
          <w:sz w:val="24"/>
          <w:szCs w:val="24"/>
        </w:rPr>
        <w:t xml:space="preserve">For example, contractors might be working on hospital premises and both the </w:t>
      </w:r>
      <w:r w:rsidRPr="47A1F9F4">
        <w:rPr>
          <w:rFonts w:eastAsiaTheme="minorEastAsia"/>
          <w:i/>
          <w:iCs/>
          <w:sz w:val="24"/>
          <w:szCs w:val="24"/>
        </w:rPr>
        <w:t xml:space="preserve">NHS trust and the </w:t>
      </w:r>
      <w:r w:rsidRPr="47A1F9F4">
        <w:rPr>
          <w:rFonts w:eastAsiaTheme="minorEastAsia"/>
          <w:i/>
          <w:iCs/>
          <w:sz w:val="24"/>
          <w:szCs w:val="24"/>
        </w:rPr>
        <w:lastRenderedPageBreak/>
        <w:t>contractor could be regarded as occupiers for the purpose of the Act (Dimond, 2002).</w:t>
      </w:r>
      <w:r w:rsidRPr="47A1F9F4">
        <w:rPr>
          <w:rFonts w:eastAsiaTheme="minorEastAsia"/>
          <w:sz w:val="24"/>
          <w:szCs w:val="24"/>
        </w:rPr>
        <w:t xml:space="preserve"> In case of several occupiers, if a visitor gets </w:t>
      </w:r>
      <w:r w:rsidR="30DB3C6B" w:rsidRPr="47A1F9F4">
        <w:rPr>
          <w:rFonts w:eastAsiaTheme="minorEastAsia"/>
          <w:sz w:val="24"/>
          <w:szCs w:val="24"/>
        </w:rPr>
        <w:t>injured</w:t>
      </w:r>
      <w:r w:rsidRPr="47A1F9F4">
        <w:rPr>
          <w:rFonts w:eastAsiaTheme="minorEastAsia"/>
          <w:sz w:val="24"/>
          <w:szCs w:val="24"/>
        </w:rPr>
        <w:t xml:space="preserve"> the occupier is liable for harm to a visitor</w:t>
      </w:r>
      <w:r w:rsidR="7EA8383D" w:rsidRPr="47A1F9F4">
        <w:rPr>
          <w:rFonts w:eastAsiaTheme="minorEastAsia"/>
          <w:sz w:val="24"/>
          <w:szCs w:val="24"/>
        </w:rPr>
        <w:t>, but this</w:t>
      </w:r>
      <w:r w:rsidRPr="47A1F9F4">
        <w:rPr>
          <w:rFonts w:eastAsiaTheme="minorEastAsia"/>
          <w:sz w:val="24"/>
          <w:szCs w:val="24"/>
        </w:rPr>
        <w:t xml:space="preserve"> </w:t>
      </w:r>
      <w:r w:rsidRPr="47A1F9F4">
        <w:rPr>
          <w:rFonts w:eastAsiaTheme="minorEastAsia"/>
          <w:i/>
          <w:iCs/>
          <w:sz w:val="24"/>
          <w:szCs w:val="24"/>
        </w:rPr>
        <w:t>depends on the cause of the injuries and background of the way the visitor has got those injuries (Dimond, 2002)</w:t>
      </w:r>
      <w:r w:rsidRPr="47A1F9F4">
        <w:rPr>
          <w:rFonts w:eastAsiaTheme="minorEastAsia"/>
          <w:sz w:val="24"/>
          <w:szCs w:val="24"/>
        </w:rPr>
        <w:t>.</w:t>
      </w:r>
    </w:p>
    <w:p w14:paraId="60942BE7" w14:textId="5D41536A" w:rsidR="5316627D" w:rsidRDefault="5316627D" w:rsidP="47A1F9F4">
      <w:pPr>
        <w:spacing w:after="20"/>
        <w:rPr>
          <w:rFonts w:eastAsiaTheme="minorEastAsia"/>
          <w:sz w:val="24"/>
          <w:szCs w:val="24"/>
        </w:rPr>
      </w:pPr>
      <w:r w:rsidRPr="47A1F9F4">
        <w:rPr>
          <w:rFonts w:eastAsiaTheme="minorEastAsia"/>
          <w:sz w:val="24"/>
          <w:szCs w:val="24"/>
        </w:rPr>
        <w:t>The Occupiers’ Liability Act of 1957 imposes the liability on occupiers, who have the duty of care in relation to visitors and they have to prevent visitors from any reasonable injuries or damages, which they may suffer on the pr</w:t>
      </w:r>
      <w:r w:rsidR="5A975CB9" w:rsidRPr="47A1F9F4">
        <w:rPr>
          <w:rFonts w:eastAsiaTheme="minorEastAsia"/>
          <w:sz w:val="24"/>
          <w:szCs w:val="24"/>
        </w:rPr>
        <w:t>operty</w:t>
      </w:r>
      <w:r w:rsidRPr="47A1F9F4">
        <w:rPr>
          <w:rFonts w:eastAsiaTheme="minorEastAsia"/>
          <w:sz w:val="24"/>
          <w:szCs w:val="24"/>
        </w:rPr>
        <w:t xml:space="preserve">. According to the section 2(2) of the act the </w:t>
      </w:r>
      <w:r w:rsidRPr="47A1F9F4">
        <w:rPr>
          <w:rFonts w:eastAsiaTheme="minorEastAsia"/>
          <w:i/>
          <w:iCs/>
          <w:sz w:val="24"/>
          <w:szCs w:val="24"/>
        </w:rPr>
        <w:t>occupier owes a ‘common duty of humanity’ to keep all visitors on his/her premises reasonably safe (Miles, 2002).</w:t>
      </w:r>
      <w:r w:rsidRPr="47A1F9F4">
        <w:rPr>
          <w:rFonts w:eastAsiaTheme="minorEastAsia"/>
          <w:sz w:val="24"/>
          <w:szCs w:val="24"/>
        </w:rPr>
        <w:t xml:space="preserve"> The occupier has the right to determine what visitors are allowed to do </w:t>
      </w:r>
      <w:r w:rsidR="2FDA0885" w:rsidRPr="47A1F9F4">
        <w:rPr>
          <w:rFonts w:eastAsiaTheme="minorEastAsia"/>
          <w:sz w:val="24"/>
          <w:szCs w:val="24"/>
        </w:rPr>
        <w:t>on the property</w:t>
      </w:r>
      <w:r w:rsidRPr="47A1F9F4">
        <w:rPr>
          <w:rFonts w:eastAsiaTheme="minorEastAsia"/>
          <w:sz w:val="24"/>
          <w:szCs w:val="24"/>
        </w:rPr>
        <w:t>. At the same time, the act makes the occupiers liability relevant to lawful visitors only</w:t>
      </w:r>
      <w:r w:rsidR="7009CEC0" w:rsidRPr="47A1F9F4">
        <w:rPr>
          <w:rFonts w:eastAsiaTheme="minorEastAsia"/>
          <w:sz w:val="24"/>
          <w:szCs w:val="24"/>
        </w:rPr>
        <w:t xml:space="preserve"> and to those who have been given permission.</w:t>
      </w:r>
    </w:p>
    <w:p w14:paraId="067CFBE0" w14:textId="3BDEAA13" w:rsidR="47A1F9F4" w:rsidRDefault="47A1F9F4" w:rsidP="47A1F9F4">
      <w:pPr>
        <w:spacing w:after="20"/>
        <w:rPr>
          <w:rFonts w:eastAsiaTheme="minorEastAsia"/>
          <w:sz w:val="24"/>
          <w:szCs w:val="24"/>
        </w:rPr>
      </w:pPr>
    </w:p>
    <w:p w14:paraId="345967C3" w14:textId="54B82103" w:rsidR="5316627D" w:rsidRDefault="5316627D" w:rsidP="47A1F9F4">
      <w:pPr>
        <w:spacing w:after="20"/>
        <w:rPr>
          <w:rFonts w:eastAsiaTheme="minorEastAsia"/>
          <w:sz w:val="24"/>
          <w:szCs w:val="24"/>
        </w:rPr>
      </w:pPr>
      <w:r w:rsidRPr="47A1F9F4">
        <w:rPr>
          <w:rFonts w:eastAsiaTheme="minorEastAsia"/>
          <w:sz w:val="24"/>
          <w:szCs w:val="24"/>
        </w:rPr>
        <w:t xml:space="preserve">In addition, the Occupiers’ Liability Act of 1957 makes exceptions for children because occupiers have the duty to </w:t>
      </w:r>
      <w:r w:rsidRPr="47A1F9F4">
        <w:rPr>
          <w:rFonts w:eastAsiaTheme="minorEastAsia"/>
          <w:i/>
          <w:iCs/>
          <w:sz w:val="24"/>
          <w:szCs w:val="24"/>
        </w:rPr>
        <w:t>“be prepared for children to be less careful than adults” (Occupiers’ Liability Act, 1957).</w:t>
      </w:r>
      <w:r w:rsidRPr="47A1F9F4">
        <w:rPr>
          <w:rFonts w:eastAsiaTheme="minorEastAsia"/>
          <w:sz w:val="24"/>
          <w:szCs w:val="24"/>
        </w:rPr>
        <w:t xml:space="preserve"> As children are not fully responsible for their actions, occupiers </w:t>
      </w:r>
      <w:r w:rsidR="2E2506CE" w:rsidRPr="47A1F9F4">
        <w:rPr>
          <w:rFonts w:eastAsiaTheme="minorEastAsia"/>
          <w:sz w:val="24"/>
          <w:szCs w:val="24"/>
        </w:rPr>
        <w:t>have</w:t>
      </w:r>
      <w:r w:rsidRPr="47A1F9F4">
        <w:rPr>
          <w:rFonts w:eastAsiaTheme="minorEastAsia"/>
          <w:sz w:val="24"/>
          <w:szCs w:val="24"/>
        </w:rPr>
        <w:t xml:space="preserve"> special liability for safety of children and they have to prevent them from risks of possible injuries and other accidents. </w:t>
      </w:r>
      <w:r w:rsidR="4DD1604F" w:rsidRPr="47A1F9F4">
        <w:rPr>
          <w:rFonts w:eastAsiaTheme="minorEastAsia"/>
          <w:sz w:val="24"/>
          <w:szCs w:val="24"/>
        </w:rPr>
        <w:t xml:space="preserve">In the case of </w:t>
      </w:r>
      <w:r w:rsidRPr="47A1F9F4">
        <w:rPr>
          <w:rFonts w:eastAsiaTheme="minorEastAsia"/>
          <w:i/>
          <w:iCs/>
          <w:sz w:val="24"/>
          <w:szCs w:val="24"/>
        </w:rPr>
        <w:t>Glasgow Corporation v Taylor [1922],</w:t>
      </w:r>
      <w:r w:rsidRPr="47A1F9F4">
        <w:rPr>
          <w:rFonts w:eastAsiaTheme="minorEastAsia"/>
          <w:sz w:val="24"/>
          <w:szCs w:val="24"/>
        </w:rPr>
        <w:t xml:space="preserve"> where the failure of the occupier to prevent a child from accident became obvious as a </w:t>
      </w:r>
      <w:r w:rsidRPr="47A1F9F4">
        <w:rPr>
          <w:rFonts w:eastAsiaTheme="minorEastAsia"/>
          <w:i/>
          <w:iCs/>
          <w:sz w:val="24"/>
          <w:szCs w:val="24"/>
        </w:rPr>
        <w:t xml:space="preserve">seven year old child </w:t>
      </w:r>
      <w:r w:rsidR="341C919A" w:rsidRPr="47A1F9F4">
        <w:rPr>
          <w:rFonts w:eastAsiaTheme="minorEastAsia"/>
          <w:i/>
          <w:iCs/>
          <w:sz w:val="24"/>
          <w:szCs w:val="24"/>
        </w:rPr>
        <w:t>ate</w:t>
      </w:r>
    </w:p>
    <w:p w14:paraId="1D04988D" w14:textId="61B440A0" w:rsidR="5316627D" w:rsidRDefault="5316627D" w:rsidP="47A1F9F4">
      <w:pPr>
        <w:spacing w:after="20"/>
        <w:rPr>
          <w:rFonts w:eastAsiaTheme="minorEastAsia"/>
          <w:sz w:val="24"/>
          <w:szCs w:val="24"/>
        </w:rPr>
      </w:pPr>
      <w:r w:rsidRPr="47A1F9F4">
        <w:rPr>
          <w:rFonts w:eastAsiaTheme="minorEastAsia"/>
          <w:i/>
          <w:iCs/>
          <w:sz w:val="24"/>
          <w:szCs w:val="24"/>
        </w:rPr>
        <w:t xml:space="preserve"> berries growing on the premises and died (Miles, 2002)</w:t>
      </w:r>
      <w:r w:rsidRPr="47A1F9F4">
        <w:rPr>
          <w:rFonts w:eastAsiaTheme="minorEastAsia"/>
          <w:sz w:val="24"/>
          <w:szCs w:val="24"/>
        </w:rPr>
        <w:t>. This case reveals the failure of the occupier to exercise the duty of care in relation to the visitor and the Occupiers’ Liability Act of 1957 attempted to address</w:t>
      </w:r>
      <w:r w:rsidR="6F71E882" w:rsidRPr="47A1F9F4">
        <w:rPr>
          <w:rFonts w:eastAsiaTheme="minorEastAsia"/>
          <w:sz w:val="24"/>
          <w:szCs w:val="24"/>
        </w:rPr>
        <w:t xml:space="preserve"> and prevent</w:t>
      </w:r>
      <w:r w:rsidRPr="47A1F9F4">
        <w:rPr>
          <w:rFonts w:eastAsiaTheme="minorEastAsia"/>
          <w:sz w:val="24"/>
          <w:szCs w:val="24"/>
        </w:rPr>
        <w:t xml:space="preserve"> such issues. Under the section 2(4)(a) of the act, the occupier has the </w:t>
      </w:r>
      <w:r w:rsidRPr="47A1F9F4">
        <w:rPr>
          <w:rFonts w:eastAsiaTheme="minorEastAsia"/>
          <w:i/>
          <w:iCs/>
          <w:sz w:val="24"/>
          <w:szCs w:val="24"/>
        </w:rPr>
        <w:t>duty of care and has to warn visitors about possible risks and threats and prevent them from suffering injuries or other negative consequences of visitors exposure to those risks (Occupiers’ Liability Act, 1957)</w:t>
      </w:r>
      <w:r w:rsidRPr="47A1F9F4">
        <w:rPr>
          <w:rFonts w:eastAsiaTheme="minorEastAsia"/>
          <w:sz w:val="24"/>
          <w:szCs w:val="24"/>
        </w:rPr>
        <w:t xml:space="preserve">. In this regard, it is also possible to refer to the case of </w:t>
      </w:r>
      <w:r w:rsidRPr="47A1F9F4">
        <w:rPr>
          <w:rFonts w:eastAsiaTheme="minorEastAsia"/>
          <w:i/>
          <w:iCs/>
          <w:sz w:val="24"/>
          <w:szCs w:val="24"/>
        </w:rPr>
        <w:t>Rae v Mars (UK) Ltd [1990]</w:t>
      </w:r>
      <w:r w:rsidRPr="47A1F9F4">
        <w:rPr>
          <w:rFonts w:eastAsiaTheme="minorEastAsia"/>
          <w:sz w:val="24"/>
          <w:szCs w:val="24"/>
        </w:rPr>
        <w:t xml:space="preserve">, which proved that </w:t>
      </w:r>
      <w:r w:rsidR="2B6ED131" w:rsidRPr="47A1F9F4">
        <w:rPr>
          <w:rFonts w:eastAsiaTheme="minorEastAsia"/>
          <w:sz w:val="24"/>
          <w:szCs w:val="24"/>
        </w:rPr>
        <w:t xml:space="preserve">a </w:t>
      </w:r>
      <w:r w:rsidRPr="47A1F9F4">
        <w:rPr>
          <w:rFonts w:eastAsiaTheme="minorEastAsia"/>
          <w:sz w:val="24"/>
          <w:szCs w:val="24"/>
        </w:rPr>
        <w:t xml:space="preserve">warning alone is not always enough and occupiers have to introduce </w:t>
      </w:r>
      <w:r w:rsidR="12BF4000" w:rsidRPr="47A1F9F4">
        <w:rPr>
          <w:rFonts w:eastAsiaTheme="minorEastAsia"/>
          <w:sz w:val="24"/>
          <w:szCs w:val="24"/>
        </w:rPr>
        <w:t xml:space="preserve">other </w:t>
      </w:r>
      <w:r w:rsidRPr="47A1F9F4">
        <w:rPr>
          <w:rFonts w:eastAsiaTheme="minorEastAsia"/>
          <w:sz w:val="24"/>
          <w:szCs w:val="24"/>
        </w:rPr>
        <w:t>measures that are sufficient to prevent damages, injuries or</w:t>
      </w:r>
      <w:r w:rsidR="2BDD99DB" w:rsidRPr="47A1F9F4">
        <w:rPr>
          <w:rFonts w:eastAsiaTheme="minorEastAsia"/>
          <w:sz w:val="24"/>
          <w:szCs w:val="24"/>
        </w:rPr>
        <w:t xml:space="preserve"> even</w:t>
      </w:r>
      <w:r w:rsidRPr="47A1F9F4">
        <w:rPr>
          <w:rFonts w:eastAsiaTheme="minorEastAsia"/>
          <w:sz w:val="24"/>
          <w:szCs w:val="24"/>
        </w:rPr>
        <w:t xml:space="preserve"> death of visitors. </w:t>
      </w:r>
    </w:p>
    <w:p w14:paraId="4D24708A" w14:textId="5DAABB7C" w:rsidR="47A1F9F4" w:rsidRDefault="47A1F9F4" w:rsidP="47A1F9F4">
      <w:pPr>
        <w:spacing w:after="20"/>
        <w:rPr>
          <w:rFonts w:eastAsiaTheme="minorEastAsia"/>
          <w:sz w:val="24"/>
          <w:szCs w:val="24"/>
        </w:rPr>
      </w:pPr>
    </w:p>
    <w:p w14:paraId="79D789F3" w14:textId="48CBF951" w:rsidR="5316627D" w:rsidRDefault="5316627D" w:rsidP="47A1F9F4">
      <w:pPr>
        <w:spacing w:after="20"/>
        <w:rPr>
          <w:rFonts w:eastAsiaTheme="minorEastAsia"/>
          <w:sz w:val="24"/>
          <w:szCs w:val="24"/>
        </w:rPr>
      </w:pPr>
      <w:r w:rsidRPr="47A1F9F4">
        <w:rPr>
          <w:rFonts w:eastAsiaTheme="minorEastAsia"/>
          <w:sz w:val="24"/>
          <w:szCs w:val="24"/>
        </w:rPr>
        <w:t>On the other hand, the Occupiers’ Liability Act of 1957 protects occupiers from the negligence of contractors that means that occupiers are not liable for contractors</w:t>
      </w:r>
      <w:r w:rsidR="5F4A276F" w:rsidRPr="47A1F9F4">
        <w:rPr>
          <w:rFonts w:eastAsiaTheme="minorEastAsia"/>
          <w:sz w:val="24"/>
          <w:szCs w:val="24"/>
        </w:rPr>
        <w:t xml:space="preserve">. </w:t>
      </w:r>
      <w:r w:rsidRPr="47A1F9F4">
        <w:rPr>
          <w:rFonts w:eastAsiaTheme="minorEastAsia"/>
          <w:sz w:val="24"/>
          <w:szCs w:val="24"/>
        </w:rPr>
        <w:t xml:space="preserve">The section 2(4)(b) protects occupiers from the negligence of contractors specifically. </w:t>
      </w:r>
      <w:r w:rsidRPr="47A1F9F4">
        <w:rPr>
          <w:rFonts w:eastAsiaTheme="minorEastAsia"/>
          <w:i/>
          <w:iCs/>
          <w:sz w:val="24"/>
          <w:szCs w:val="24"/>
        </w:rPr>
        <w:t>Bottomley v Todmorden Cricket Club [2003]</w:t>
      </w:r>
      <w:r w:rsidRPr="47A1F9F4">
        <w:rPr>
          <w:rFonts w:eastAsiaTheme="minorEastAsia"/>
          <w:sz w:val="24"/>
          <w:szCs w:val="24"/>
        </w:rPr>
        <w:t xml:space="preserve">, where the contractor was responsible for pyrotechnical works that caused </w:t>
      </w:r>
      <w:r w:rsidR="496628FB" w:rsidRPr="47A1F9F4">
        <w:rPr>
          <w:rFonts w:eastAsiaTheme="minorEastAsia"/>
          <w:sz w:val="24"/>
          <w:szCs w:val="24"/>
        </w:rPr>
        <w:t xml:space="preserve">the </w:t>
      </w:r>
      <w:r w:rsidRPr="47A1F9F4">
        <w:rPr>
          <w:rFonts w:eastAsiaTheme="minorEastAsia"/>
          <w:sz w:val="24"/>
          <w:szCs w:val="24"/>
        </w:rPr>
        <w:t xml:space="preserve">injuries of people in the nearby area, while the occupier was not liable to any legal prosecution in that case (Bennett, 2011). In addition, </w:t>
      </w:r>
      <w:r w:rsidRPr="47A1F9F4">
        <w:rPr>
          <w:rFonts w:eastAsiaTheme="minorEastAsia"/>
          <w:i/>
          <w:iCs/>
          <w:sz w:val="24"/>
          <w:szCs w:val="24"/>
        </w:rPr>
        <w:t>Tomlinson v Congleton Borough Council (2003)</w:t>
      </w:r>
      <w:r w:rsidRPr="47A1F9F4">
        <w:rPr>
          <w:rFonts w:eastAsiaTheme="minorEastAsia"/>
          <w:sz w:val="24"/>
          <w:szCs w:val="24"/>
        </w:rPr>
        <w:t xml:space="preserve"> was one of the major cases related to the occupiers liability which imposed the legal liability on occupiers, who ignored and neglected their duty of care in relation to visitors. The victim</w:t>
      </w:r>
      <w:r w:rsidR="1C6FA0EE" w:rsidRPr="47A1F9F4">
        <w:rPr>
          <w:rFonts w:eastAsiaTheme="minorEastAsia"/>
          <w:sz w:val="24"/>
          <w:szCs w:val="24"/>
        </w:rPr>
        <w:t xml:space="preserve"> </w:t>
      </w:r>
      <w:r w:rsidRPr="47A1F9F4">
        <w:rPr>
          <w:rFonts w:eastAsiaTheme="minorEastAsia"/>
          <w:sz w:val="24"/>
          <w:szCs w:val="24"/>
        </w:rPr>
        <w:t xml:space="preserve">obtained compensations, whereas the occupier had to pay off damages of the visitor. This case was preceded by </w:t>
      </w:r>
      <w:r w:rsidRPr="47A1F9F4">
        <w:rPr>
          <w:rFonts w:eastAsiaTheme="minorEastAsia"/>
          <w:i/>
          <w:iCs/>
          <w:sz w:val="24"/>
          <w:szCs w:val="24"/>
        </w:rPr>
        <w:t>Dobell v. Thanet DC (1999)</w:t>
      </w:r>
      <w:r w:rsidRPr="47A1F9F4">
        <w:rPr>
          <w:rFonts w:eastAsiaTheme="minorEastAsia"/>
          <w:sz w:val="24"/>
          <w:szCs w:val="24"/>
        </w:rPr>
        <w:t>, which, in contrast to the case of T</w:t>
      </w:r>
      <w:r w:rsidRPr="47A1F9F4">
        <w:rPr>
          <w:rFonts w:eastAsiaTheme="minorEastAsia"/>
          <w:i/>
          <w:iCs/>
          <w:sz w:val="24"/>
          <w:szCs w:val="24"/>
        </w:rPr>
        <w:t>omlinson v Congleton Borough Council (2003)</w:t>
      </w:r>
      <w:r w:rsidRPr="47A1F9F4">
        <w:rPr>
          <w:rFonts w:eastAsiaTheme="minorEastAsia"/>
          <w:sz w:val="24"/>
          <w:szCs w:val="24"/>
        </w:rPr>
        <w:t xml:space="preserve">, did not allow the victim to obtain compensations. The court ruled differently on the premise of the visitor’s reasonable care for </w:t>
      </w:r>
      <w:r w:rsidR="47352C27" w:rsidRPr="47A1F9F4">
        <w:rPr>
          <w:rFonts w:eastAsiaTheme="minorEastAsia"/>
          <w:sz w:val="24"/>
          <w:szCs w:val="24"/>
        </w:rPr>
        <w:t>them</w:t>
      </w:r>
      <w:r w:rsidRPr="47A1F9F4">
        <w:rPr>
          <w:rFonts w:eastAsiaTheme="minorEastAsia"/>
          <w:sz w:val="24"/>
          <w:szCs w:val="24"/>
        </w:rPr>
        <w:t xml:space="preserve"> that meant that the visitor was supposed to act responsibly and reasonably without any warning or other preventive actions from the part </w:t>
      </w:r>
      <w:r w:rsidRPr="47A1F9F4">
        <w:rPr>
          <w:rFonts w:eastAsiaTheme="minorEastAsia"/>
          <w:sz w:val="24"/>
          <w:szCs w:val="24"/>
        </w:rPr>
        <w:lastRenderedPageBreak/>
        <w:t xml:space="preserve">of the occupier </w:t>
      </w:r>
      <w:r w:rsidRPr="47A1F9F4">
        <w:rPr>
          <w:rFonts w:eastAsiaTheme="minorEastAsia"/>
          <w:i/>
          <w:iCs/>
          <w:sz w:val="24"/>
          <w:szCs w:val="24"/>
        </w:rPr>
        <w:t>(Dimond, 2002)</w:t>
      </w:r>
      <w:r w:rsidRPr="47A1F9F4">
        <w:rPr>
          <w:rFonts w:eastAsiaTheme="minorEastAsia"/>
          <w:sz w:val="24"/>
          <w:szCs w:val="24"/>
        </w:rPr>
        <w:t>. In this case, the visitor took the risk and acted unreasonably as the stairway was unlit and the premises were locked that should have given her clear indications that she should not go there to avoid injuries and other problems</w:t>
      </w:r>
      <w:r w:rsidRPr="47A1F9F4">
        <w:rPr>
          <w:rFonts w:eastAsiaTheme="minorEastAsia"/>
          <w:i/>
          <w:iCs/>
          <w:sz w:val="24"/>
          <w:szCs w:val="24"/>
        </w:rPr>
        <w:t xml:space="preserve"> (Dimond, 2002)</w:t>
      </w:r>
      <w:r w:rsidRPr="47A1F9F4">
        <w:rPr>
          <w:rFonts w:eastAsiaTheme="minorEastAsia"/>
          <w:sz w:val="24"/>
          <w:szCs w:val="24"/>
        </w:rPr>
        <w:t>. As the victim ignored those facts and acted unreasonably, the court came up with the ruling in favour of the occupier and admitted that the visitor had to take reasonable care for herself.</w:t>
      </w:r>
    </w:p>
    <w:p w14:paraId="2F2D1C07" w14:textId="37485859" w:rsidR="47A1F9F4" w:rsidRDefault="47A1F9F4" w:rsidP="47A1F9F4">
      <w:pPr>
        <w:spacing w:after="20"/>
        <w:rPr>
          <w:rFonts w:eastAsiaTheme="minorEastAsia"/>
          <w:sz w:val="24"/>
          <w:szCs w:val="24"/>
        </w:rPr>
      </w:pPr>
    </w:p>
    <w:p w14:paraId="5D4B9B96" w14:textId="2123FFF4" w:rsidR="5316627D" w:rsidRDefault="5316627D" w:rsidP="47A1F9F4">
      <w:pPr>
        <w:spacing w:after="20"/>
        <w:rPr>
          <w:rFonts w:eastAsiaTheme="minorEastAsia"/>
          <w:i/>
          <w:iCs/>
          <w:sz w:val="24"/>
          <w:szCs w:val="24"/>
        </w:rPr>
      </w:pPr>
      <w:r w:rsidRPr="47A1F9F4">
        <w:rPr>
          <w:rFonts w:eastAsiaTheme="minorEastAsia"/>
          <w:sz w:val="24"/>
          <w:szCs w:val="24"/>
        </w:rPr>
        <w:t xml:space="preserve">At the same time, the occupier can provide warnings or inform visitors otherwise that would restrict the occupier’s liability because visitors get informed of dangers and possible issues. Under the section 2(5) there is no liability for </w:t>
      </w:r>
      <w:r w:rsidRPr="47A1F9F4">
        <w:rPr>
          <w:rFonts w:eastAsiaTheme="minorEastAsia"/>
          <w:i/>
          <w:iCs/>
          <w:sz w:val="24"/>
          <w:szCs w:val="24"/>
        </w:rPr>
        <w:t>“risks willingly accepted as his by the visitor”</w:t>
      </w:r>
      <w:r w:rsidRPr="47A1F9F4">
        <w:rPr>
          <w:rFonts w:eastAsiaTheme="minorEastAsia"/>
          <w:sz w:val="24"/>
          <w:szCs w:val="24"/>
        </w:rPr>
        <w:t xml:space="preserve"> (Occupiers’ Liability Act, 1957). The court applied the section 2(5) in case of </w:t>
      </w:r>
      <w:r w:rsidRPr="47A1F9F4">
        <w:rPr>
          <w:rFonts w:eastAsiaTheme="minorEastAsia"/>
          <w:i/>
          <w:iCs/>
          <w:sz w:val="24"/>
          <w:szCs w:val="24"/>
        </w:rPr>
        <w:t>Ashdown v Samuel Williams &amp; Sons Ltd (1957)</w:t>
      </w:r>
      <w:r w:rsidRPr="47A1F9F4">
        <w:rPr>
          <w:rFonts w:eastAsiaTheme="minorEastAsia"/>
          <w:sz w:val="24"/>
          <w:szCs w:val="24"/>
        </w:rPr>
        <w:t xml:space="preserve">. In this case, the court ruled that the occupier could display a notice which informs about the risk or threat and such notice lifts up the occupier’s liability, even if the visitor did not read the notice </w:t>
      </w:r>
      <w:r w:rsidRPr="47A1F9F4">
        <w:rPr>
          <w:rFonts w:eastAsiaTheme="minorEastAsia"/>
          <w:i/>
          <w:iCs/>
          <w:sz w:val="24"/>
          <w:szCs w:val="24"/>
        </w:rPr>
        <w:t>(Dimond, 2002)</w:t>
      </w:r>
      <w:r w:rsidRPr="47A1F9F4">
        <w:rPr>
          <w:rFonts w:eastAsiaTheme="minorEastAsia"/>
          <w:sz w:val="24"/>
          <w:szCs w:val="24"/>
        </w:rPr>
        <w:t>. The court’s ruling was apparently grounded on the assumption that the occupier fulfilled his duty of care and warned the visitor, whereas it was the visitor’s fault not to read the notice. The Occupiers’ Liability Act also regulates liabilities and duties of the second and third parties as well. Under the section 3, in case the occupier is bound by contract to allow third parties into his/her property and bears liability for the third party on their premises</w:t>
      </w:r>
      <w:r w:rsidR="021A70D1" w:rsidRPr="47A1F9F4">
        <w:rPr>
          <w:rFonts w:eastAsiaTheme="minorEastAsia"/>
          <w:sz w:val="24"/>
          <w:szCs w:val="24"/>
        </w:rPr>
        <w:t xml:space="preserve">. </w:t>
      </w:r>
      <w:r w:rsidRPr="47A1F9F4">
        <w:rPr>
          <w:rFonts w:eastAsiaTheme="minorEastAsia"/>
          <w:sz w:val="24"/>
          <w:szCs w:val="24"/>
        </w:rPr>
        <w:t xml:space="preserve">Therefore, the Occupiers’ Liability Act 1957 granted all lawful visitors with the duty of care from the part of occupiers </w:t>
      </w:r>
      <w:r w:rsidRPr="47A1F9F4">
        <w:rPr>
          <w:rFonts w:eastAsiaTheme="minorEastAsia"/>
          <w:i/>
          <w:iCs/>
          <w:sz w:val="24"/>
          <w:szCs w:val="24"/>
        </w:rPr>
        <w:t>(</w:t>
      </w:r>
      <w:proofErr w:type="spellStart"/>
      <w:r w:rsidRPr="47A1F9F4">
        <w:rPr>
          <w:rFonts w:eastAsiaTheme="minorEastAsia"/>
          <w:i/>
          <w:iCs/>
          <w:sz w:val="24"/>
          <w:szCs w:val="24"/>
        </w:rPr>
        <w:t>Handford</w:t>
      </w:r>
      <w:proofErr w:type="spellEnd"/>
      <w:r w:rsidRPr="47A1F9F4">
        <w:rPr>
          <w:rFonts w:eastAsiaTheme="minorEastAsia"/>
          <w:i/>
          <w:iCs/>
          <w:sz w:val="24"/>
          <w:szCs w:val="24"/>
        </w:rPr>
        <w:t xml:space="preserve">, &amp; McGivern, 2015).  </w:t>
      </w:r>
    </w:p>
    <w:p w14:paraId="448478D9" w14:textId="3C1E0065" w:rsidR="47A1F9F4" w:rsidRDefault="47A1F9F4" w:rsidP="47A1F9F4">
      <w:pPr>
        <w:spacing w:after="20"/>
        <w:rPr>
          <w:rFonts w:eastAsiaTheme="minorEastAsia"/>
          <w:i/>
          <w:iCs/>
          <w:sz w:val="24"/>
          <w:szCs w:val="24"/>
        </w:rPr>
      </w:pPr>
    </w:p>
    <w:p w14:paraId="1034BA8E" w14:textId="49AD87AC" w:rsidR="5316627D" w:rsidRDefault="5316627D" w:rsidP="47A1F9F4">
      <w:pPr>
        <w:spacing w:after="20"/>
        <w:rPr>
          <w:rFonts w:eastAsiaTheme="minorEastAsia"/>
          <w:sz w:val="24"/>
          <w:szCs w:val="24"/>
        </w:rPr>
      </w:pPr>
      <w:r w:rsidRPr="47A1F9F4">
        <w:rPr>
          <w:rFonts w:eastAsiaTheme="minorEastAsia"/>
          <w:sz w:val="24"/>
          <w:szCs w:val="24"/>
        </w:rPr>
        <w:t xml:space="preserve">However, the problem of the Occupiers’ Liability Act of 1957 was the failure of the act to address issues associated with trespassers. In this regard, the Occupiers’ Liability Act 1984 (UK) c 3 extended a duty of care to them also </w:t>
      </w:r>
      <w:r w:rsidRPr="47A1F9F4">
        <w:rPr>
          <w:rFonts w:eastAsiaTheme="minorEastAsia"/>
          <w:i/>
          <w:iCs/>
          <w:sz w:val="24"/>
          <w:szCs w:val="24"/>
        </w:rPr>
        <w:t>(</w:t>
      </w:r>
      <w:proofErr w:type="spellStart"/>
      <w:r w:rsidRPr="47A1F9F4">
        <w:rPr>
          <w:rFonts w:eastAsiaTheme="minorEastAsia"/>
          <w:i/>
          <w:iCs/>
          <w:sz w:val="24"/>
          <w:szCs w:val="24"/>
        </w:rPr>
        <w:t>Handford</w:t>
      </w:r>
      <w:proofErr w:type="spellEnd"/>
      <w:r w:rsidRPr="47A1F9F4">
        <w:rPr>
          <w:rFonts w:eastAsiaTheme="minorEastAsia"/>
          <w:i/>
          <w:iCs/>
          <w:sz w:val="24"/>
          <w:szCs w:val="24"/>
        </w:rPr>
        <w:t xml:space="preserve">, &amp; McGivern, 2015). </w:t>
      </w:r>
      <w:r w:rsidRPr="47A1F9F4">
        <w:rPr>
          <w:rFonts w:eastAsiaTheme="minorEastAsia"/>
          <w:sz w:val="24"/>
          <w:szCs w:val="24"/>
        </w:rPr>
        <w:t xml:space="preserve">The Occupiers Liability Act 1984 was introduced to enhance the Occupiers’ Liability Act of 1957 and close persisting gaps in the legislation, especially concerning trespassers and occupiers’ liability in relation to them. The Occupiers’ Liability Act of 1984 imposed the duty of care on occupiers in relation to trespassers. Section1 of the act imposes the duty of care on occupiers, who have to bear their duty of care in relation to trespassers. </w:t>
      </w:r>
      <w:r w:rsidRPr="47A1F9F4">
        <w:rPr>
          <w:rFonts w:eastAsiaTheme="minorEastAsia"/>
          <w:i/>
          <w:iCs/>
          <w:sz w:val="24"/>
          <w:szCs w:val="24"/>
        </w:rPr>
        <w:t>White v The Council of the City and District of St. Albans [1990],</w:t>
      </w:r>
      <w:r w:rsidRPr="47A1F9F4">
        <w:rPr>
          <w:rFonts w:eastAsiaTheme="minorEastAsia"/>
          <w:sz w:val="24"/>
          <w:szCs w:val="24"/>
        </w:rPr>
        <w:t xml:space="preserve"> where the claimant had taken a shortcut across the defendant’s fenced-off land and fell into a trench</w:t>
      </w:r>
      <w:r w:rsidRPr="47A1F9F4">
        <w:rPr>
          <w:rFonts w:eastAsiaTheme="minorEastAsia"/>
          <w:i/>
          <w:iCs/>
          <w:sz w:val="24"/>
          <w:szCs w:val="24"/>
        </w:rPr>
        <w:t xml:space="preserve"> (Bennett, 2011)</w:t>
      </w:r>
      <w:r w:rsidRPr="47A1F9F4">
        <w:rPr>
          <w:rFonts w:eastAsiaTheme="minorEastAsia"/>
          <w:sz w:val="24"/>
          <w:szCs w:val="24"/>
        </w:rPr>
        <w:t>. The court’s ruling imposed the liability for the trespasser’s injury on the occupier.</w:t>
      </w:r>
    </w:p>
    <w:p w14:paraId="783F2753" w14:textId="40706CD3" w:rsidR="47A1F9F4" w:rsidRDefault="47A1F9F4" w:rsidP="47A1F9F4">
      <w:pPr>
        <w:spacing w:after="20"/>
        <w:rPr>
          <w:rFonts w:eastAsiaTheme="minorEastAsia"/>
          <w:sz w:val="24"/>
          <w:szCs w:val="24"/>
        </w:rPr>
      </w:pPr>
    </w:p>
    <w:p w14:paraId="6C23E5AA" w14:textId="0F3CC1D0" w:rsidR="5316627D" w:rsidRDefault="5316627D" w:rsidP="47A1F9F4">
      <w:pPr>
        <w:spacing w:after="20"/>
        <w:rPr>
          <w:rFonts w:eastAsiaTheme="minorEastAsia"/>
          <w:sz w:val="24"/>
          <w:szCs w:val="24"/>
        </w:rPr>
      </w:pPr>
      <w:r w:rsidRPr="47A1F9F4">
        <w:rPr>
          <w:rFonts w:eastAsiaTheme="minorEastAsia"/>
          <w:sz w:val="24"/>
          <w:szCs w:val="24"/>
        </w:rPr>
        <w:t xml:space="preserve">At the same time, the Occupiers’ Liability Act of 1984 admits that a trespasser accepts the risk, while entering occupiers’ premises. In case of </w:t>
      </w:r>
      <w:r w:rsidRPr="47A1F9F4">
        <w:rPr>
          <w:rFonts w:eastAsiaTheme="minorEastAsia"/>
          <w:i/>
          <w:iCs/>
          <w:sz w:val="24"/>
          <w:szCs w:val="24"/>
        </w:rPr>
        <w:t>Ratcliffe v Mc Connell (1999)</w:t>
      </w:r>
      <w:r w:rsidRPr="47A1F9F4">
        <w:rPr>
          <w:rFonts w:eastAsiaTheme="minorEastAsia"/>
          <w:sz w:val="24"/>
          <w:szCs w:val="24"/>
        </w:rPr>
        <w:t xml:space="preserve">, the Court of Appeal held that the trespasser was supposed to be aware of the risk associated with his actions as he jumped into the swimming pool. </w:t>
      </w:r>
      <w:r w:rsidRPr="47A1F9F4">
        <w:rPr>
          <w:rFonts w:eastAsiaTheme="minorEastAsia"/>
          <w:i/>
          <w:iCs/>
          <w:sz w:val="24"/>
          <w:szCs w:val="24"/>
        </w:rPr>
        <w:t>Keown v Coventry Healthcare NHS Trust (2006), Roles v Nathan (1963</w:t>
      </w:r>
      <w:r w:rsidRPr="47A1F9F4">
        <w:rPr>
          <w:rFonts w:eastAsiaTheme="minorEastAsia"/>
          <w:sz w:val="24"/>
          <w:szCs w:val="24"/>
        </w:rPr>
        <w:t>) and some other cases involved children and court’s rulings revealed the distinct trend toward a different treatment of children in terms of occupier’s liability. Courts recogni</w:t>
      </w:r>
      <w:r w:rsidR="1771FE5E" w:rsidRPr="47A1F9F4">
        <w:rPr>
          <w:rFonts w:eastAsiaTheme="minorEastAsia"/>
          <w:sz w:val="24"/>
          <w:szCs w:val="24"/>
        </w:rPr>
        <w:t>s</w:t>
      </w:r>
      <w:r w:rsidRPr="47A1F9F4">
        <w:rPr>
          <w:rFonts w:eastAsiaTheme="minorEastAsia"/>
          <w:sz w:val="24"/>
          <w:szCs w:val="24"/>
        </w:rPr>
        <w:t>ed that children are at higher risk and imposed the liability on occupiers to be more careful and responsible in relation to children</w:t>
      </w:r>
      <w:r w:rsidR="377ECCF5" w:rsidRPr="47A1F9F4">
        <w:rPr>
          <w:rFonts w:eastAsiaTheme="minorEastAsia"/>
          <w:sz w:val="24"/>
          <w:szCs w:val="24"/>
        </w:rPr>
        <w:t xml:space="preserve">. </w:t>
      </w:r>
      <w:r w:rsidRPr="47A1F9F4">
        <w:rPr>
          <w:rFonts w:eastAsiaTheme="minorEastAsia"/>
          <w:sz w:val="24"/>
          <w:szCs w:val="24"/>
        </w:rPr>
        <w:t xml:space="preserve"> Children need more attention from the part of occupiers and their liability increase</w:t>
      </w:r>
      <w:r w:rsidR="50C6D8F9" w:rsidRPr="47A1F9F4">
        <w:rPr>
          <w:rFonts w:eastAsiaTheme="minorEastAsia"/>
          <w:sz w:val="24"/>
          <w:szCs w:val="24"/>
        </w:rPr>
        <w:t>s.</w:t>
      </w:r>
      <w:r w:rsidR="24EF6D48" w:rsidRPr="47A1F9F4">
        <w:rPr>
          <w:rFonts w:eastAsiaTheme="minorEastAsia"/>
          <w:sz w:val="24"/>
          <w:szCs w:val="24"/>
        </w:rPr>
        <w:t xml:space="preserve"> </w:t>
      </w:r>
      <w:r w:rsidRPr="47A1F9F4">
        <w:rPr>
          <w:rFonts w:eastAsiaTheme="minorEastAsia"/>
          <w:sz w:val="24"/>
          <w:szCs w:val="24"/>
        </w:rPr>
        <w:t xml:space="preserve">In such a way, the </w:t>
      </w:r>
      <w:r w:rsidRPr="47A1F9F4">
        <w:rPr>
          <w:rFonts w:eastAsiaTheme="minorEastAsia"/>
          <w:sz w:val="24"/>
          <w:szCs w:val="24"/>
        </w:rPr>
        <w:lastRenderedPageBreak/>
        <w:t>Occupiers' Liability Act of 1984 and subsequent court cases contributed to the consistent modification of the Occupiers' Liability Act of 1957 which apparently ignored the problem of trespassers and occupiers’ liability and duty of care in relation to</w:t>
      </w:r>
      <w:r w:rsidR="3A26C978" w:rsidRPr="47A1F9F4">
        <w:rPr>
          <w:rFonts w:eastAsiaTheme="minorEastAsia"/>
          <w:sz w:val="24"/>
          <w:szCs w:val="24"/>
        </w:rPr>
        <w:t xml:space="preserve"> </w:t>
      </w:r>
      <w:r w:rsidRPr="47A1F9F4">
        <w:rPr>
          <w:rFonts w:eastAsiaTheme="minorEastAsia"/>
          <w:sz w:val="24"/>
          <w:szCs w:val="24"/>
        </w:rPr>
        <w:t>trespassers.</w:t>
      </w:r>
    </w:p>
    <w:p w14:paraId="722496B5" w14:textId="1381FC16" w:rsidR="47A1F9F4" w:rsidRDefault="47A1F9F4" w:rsidP="47A1F9F4">
      <w:pPr>
        <w:spacing w:after="20"/>
        <w:rPr>
          <w:rFonts w:eastAsiaTheme="minorEastAsia"/>
          <w:sz w:val="24"/>
          <w:szCs w:val="24"/>
        </w:rPr>
      </w:pPr>
    </w:p>
    <w:p w14:paraId="7C638F95" w14:textId="3D4F713C" w:rsidR="5316627D" w:rsidRDefault="5316627D" w:rsidP="47A1F9F4">
      <w:pPr>
        <w:spacing w:after="20"/>
        <w:rPr>
          <w:rFonts w:eastAsiaTheme="minorEastAsia"/>
          <w:sz w:val="24"/>
          <w:szCs w:val="24"/>
        </w:rPr>
      </w:pPr>
      <w:r w:rsidRPr="47A1F9F4">
        <w:rPr>
          <w:rFonts w:eastAsiaTheme="minorEastAsia"/>
          <w:sz w:val="24"/>
          <w:szCs w:val="24"/>
        </w:rPr>
        <w:t>The</w:t>
      </w:r>
      <w:r w:rsidR="37CB45D2" w:rsidRPr="47A1F9F4">
        <w:rPr>
          <w:rFonts w:eastAsiaTheme="minorEastAsia"/>
          <w:sz w:val="24"/>
          <w:szCs w:val="24"/>
        </w:rPr>
        <w:t xml:space="preserve"> </w:t>
      </w:r>
      <w:r w:rsidRPr="47A1F9F4">
        <w:rPr>
          <w:rFonts w:eastAsiaTheme="minorEastAsia"/>
          <w:sz w:val="24"/>
          <w:szCs w:val="24"/>
        </w:rPr>
        <w:t>Occupiers</w:t>
      </w:r>
      <w:r w:rsidR="0509F556" w:rsidRPr="47A1F9F4">
        <w:rPr>
          <w:rFonts w:eastAsiaTheme="minorEastAsia"/>
          <w:sz w:val="24"/>
          <w:szCs w:val="24"/>
        </w:rPr>
        <w:t xml:space="preserve"> </w:t>
      </w:r>
      <w:r w:rsidRPr="47A1F9F4">
        <w:rPr>
          <w:rFonts w:eastAsiaTheme="minorEastAsia"/>
          <w:sz w:val="24"/>
          <w:szCs w:val="24"/>
        </w:rPr>
        <w:t xml:space="preserve">Liability Act of 1984 made occupiers more liable and accountable for the safety of the third parties, although the act still lifted up occupiers’ liability in relation to contractors, who failed to fulfil their contracts safely and caused damages to the third party or themselves. The introduction of the Occupiers' Liability Act of 1984 was an essential step to enhance occupiers’ liability and secure visitors as well as trespassers. </w:t>
      </w:r>
      <w:r w:rsidR="5B588901" w:rsidRPr="47A1F9F4">
        <w:rPr>
          <w:rFonts w:eastAsiaTheme="minorEastAsia"/>
          <w:sz w:val="24"/>
          <w:szCs w:val="24"/>
        </w:rPr>
        <w:t>O</w:t>
      </w:r>
      <w:r w:rsidRPr="47A1F9F4">
        <w:rPr>
          <w:rFonts w:eastAsiaTheme="minorEastAsia"/>
          <w:sz w:val="24"/>
          <w:szCs w:val="24"/>
        </w:rPr>
        <w:t xml:space="preserve">ccupiers’ liability legislation focuses on the definition of the key concepts, such as occupiers, their premises and liabilities, but occupiers’ liability acts of 1957 and 1984 still imply that occupiers have to be reasonably aware of possible risks, especially those which they have been warned about. The existing legislation regulates possible conflicts and damages which occupiers and other stakeholders may suffer. Such legislation is essential for the adequate regulation of issues that naturally emerge and that occupiers inevitably confront. </w:t>
      </w:r>
    </w:p>
    <w:p w14:paraId="3EFD0705" w14:textId="6907A342" w:rsidR="47A1F9F4" w:rsidRDefault="47A1F9F4" w:rsidP="47A1F9F4">
      <w:pPr>
        <w:spacing w:after="20"/>
        <w:rPr>
          <w:rFonts w:ascii="Times New Roman" w:eastAsia="Times New Roman" w:hAnsi="Times New Roman" w:cs="Times New Roman"/>
          <w:sz w:val="28"/>
          <w:szCs w:val="28"/>
        </w:rPr>
      </w:pPr>
    </w:p>
    <w:p w14:paraId="6E5E7ED6" w14:textId="245FB0A4" w:rsidR="47A1F9F4" w:rsidRDefault="47A1F9F4" w:rsidP="47A1F9F4">
      <w:pPr>
        <w:spacing w:after="20"/>
        <w:rPr>
          <w:rFonts w:ascii="Times New Roman" w:eastAsia="Times New Roman" w:hAnsi="Times New Roman" w:cs="Times New Roman"/>
          <w:sz w:val="28"/>
          <w:szCs w:val="28"/>
        </w:rPr>
      </w:pPr>
    </w:p>
    <w:p w14:paraId="607DB7E2" w14:textId="4CF61EED" w:rsidR="47A1F9F4" w:rsidRDefault="47A1F9F4" w:rsidP="47A1F9F4">
      <w:pPr>
        <w:spacing w:after="20"/>
        <w:rPr>
          <w:rFonts w:ascii="Times New Roman" w:eastAsia="Times New Roman" w:hAnsi="Times New Roman" w:cs="Times New Roman"/>
          <w:sz w:val="28"/>
          <w:szCs w:val="28"/>
        </w:rPr>
      </w:pPr>
    </w:p>
    <w:p w14:paraId="72FD3014" w14:textId="3897322C" w:rsidR="47A1F9F4" w:rsidRDefault="47A1F9F4" w:rsidP="47A1F9F4">
      <w:pPr>
        <w:spacing w:after="20"/>
        <w:rPr>
          <w:rFonts w:ascii="Times New Roman" w:eastAsia="Times New Roman" w:hAnsi="Times New Roman" w:cs="Times New Roman"/>
          <w:sz w:val="28"/>
          <w:szCs w:val="28"/>
        </w:rPr>
      </w:pPr>
    </w:p>
    <w:p w14:paraId="03720483" w14:textId="2C9140D0" w:rsidR="47A1F9F4" w:rsidRDefault="47A1F9F4">
      <w:r>
        <w:br w:type="page"/>
      </w:r>
    </w:p>
    <w:p w14:paraId="78512E94" w14:textId="3AF4B8DC" w:rsidR="30620E49" w:rsidRDefault="30620E49" w:rsidP="47A1F9F4">
      <w:pPr>
        <w:rPr>
          <w:rFonts w:ascii="Arial" w:eastAsia="Arial" w:hAnsi="Arial" w:cs="Arial"/>
          <w:b/>
          <w:bCs/>
          <w:i/>
          <w:iCs/>
          <w:sz w:val="32"/>
          <w:szCs w:val="32"/>
        </w:rPr>
      </w:pPr>
      <w:r w:rsidRPr="47A1F9F4">
        <w:rPr>
          <w:rFonts w:ascii="Arial" w:eastAsia="Arial" w:hAnsi="Arial" w:cs="Arial"/>
          <w:b/>
          <w:bCs/>
          <w:i/>
          <w:iCs/>
          <w:sz w:val="28"/>
          <w:szCs w:val="28"/>
        </w:rPr>
        <w:lastRenderedPageBreak/>
        <w:t>References:</w:t>
      </w:r>
    </w:p>
    <w:p w14:paraId="1F37342E" w14:textId="54DB707B" w:rsidR="30620E49" w:rsidRDefault="30620E49" w:rsidP="47A1F9F4">
      <w:pPr>
        <w:spacing w:line="480" w:lineRule="auto"/>
        <w:ind w:left="720" w:hanging="720"/>
      </w:pPr>
      <w:r w:rsidRPr="47A1F9F4">
        <w:rPr>
          <w:rFonts w:ascii="Times New Roman" w:eastAsia="Times New Roman" w:hAnsi="Times New Roman" w:cs="Times New Roman"/>
          <w:sz w:val="24"/>
          <w:szCs w:val="24"/>
        </w:rPr>
        <w:t xml:space="preserve">BENNETT, L., 2011. Judges, child trespassers and occupiers' liability. </w:t>
      </w:r>
      <w:r w:rsidRPr="47A1F9F4">
        <w:rPr>
          <w:rFonts w:ascii="Times New Roman" w:eastAsia="Times New Roman" w:hAnsi="Times New Roman" w:cs="Times New Roman"/>
          <w:i/>
          <w:iCs/>
          <w:sz w:val="24"/>
          <w:szCs w:val="24"/>
        </w:rPr>
        <w:t xml:space="preserve">International Journal of Law in the Built Environment, </w:t>
      </w:r>
      <w:r w:rsidRPr="47A1F9F4">
        <w:rPr>
          <w:rFonts w:ascii="Times New Roman" w:eastAsia="Times New Roman" w:hAnsi="Times New Roman" w:cs="Times New Roman"/>
          <w:b/>
          <w:bCs/>
          <w:sz w:val="24"/>
          <w:szCs w:val="24"/>
        </w:rPr>
        <w:t>3</w:t>
      </w:r>
      <w:r w:rsidRPr="47A1F9F4">
        <w:rPr>
          <w:rFonts w:ascii="Times New Roman" w:eastAsia="Times New Roman" w:hAnsi="Times New Roman" w:cs="Times New Roman"/>
          <w:sz w:val="24"/>
          <w:szCs w:val="24"/>
        </w:rPr>
        <w:t>(2), pp. 126-145.</w:t>
      </w:r>
    </w:p>
    <w:p w14:paraId="286B7231" w14:textId="05C076FB" w:rsidR="30620E49" w:rsidRDefault="30620E49" w:rsidP="47A1F9F4">
      <w:pPr>
        <w:spacing w:line="480" w:lineRule="auto"/>
        <w:ind w:left="720" w:hanging="720"/>
      </w:pPr>
      <w:r w:rsidRPr="47A1F9F4">
        <w:rPr>
          <w:rFonts w:ascii="Times New Roman" w:eastAsia="Times New Roman" w:hAnsi="Times New Roman" w:cs="Times New Roman"/>
          <w:sz w:val="24"/>
          <w:szCs w:val="24"/>
        </w:rPr>
        <w:t xml:space="preserve">DIMOND, B., 2002. Statutory duties under the Occupier's Liability Act 1957. </w:t>
      </w:r>
      <w:r w:rsidRPr="47A1F9F4">
        <w:rPr>
          <w:rFonts w:ascii="Times New Roman" w:eastAsia="Times New Roman" w:hAnsi="Times New Roman" w:cs="Times New Roman"/>
          <w:i/>
          <w:iCs/>
          <w:sz w:val="24"/>
          <w:szCs w:val="24"/>
        </w:rPr>
        <w:t xml:space="preserve">British Journal of Nursing, </w:t>
      </w:r>
      <w:r w:rsidRPr="47A1F9F4">
        <w:rPr>
          <w:rFonts w:ascii="Times New Roman" w:eastAsia="Times New Roman" w:hAnsi="Times New Roman" w:cs="Times New Roman"/>
          <w:b/>
          <w:bCs/>
          <w:sz w:val="24"/>
          <w:szCs w:val="24"/>
        </w:rPr>
        <w:t>11</w:t>
      </w:r>
      <w:r w:rsidRPr="47A1F9F4">
        <w:rPr>
          <w:rFonts w:ascii="Times New Roman" w:eastAsia="Times New Roman" w:hAnsi="Times New Roman" w:cs="Times New Roman"/>
          <w:sz w:val="24"/>
          <w:szCs w:val="24"/>
        </w:rPr>
        <w:t>(17), pp. 1125.</w:t>
      </w:r>
    </w:p>
    <w:p w14:paraId="6F25118B" w14:textId="3C100440" w:rsidR="2C1EBD3C" w:rsidRDefault="2C1EBD3C" w:rsidP="47A1F9F4">
      <w:pPr>
        <w:spacing w:line="480" w:lineRule="auto"/>
        <w:ind w:left="720" w:hanging="720"/>
        <w:rPr>
          <w:rFonts w:ascii="Times New Roman" w:eastAsia="Times New Roman" w:hAnsi="Times New Roman" w:cs="Times New Roman"/>
          <w:sz w:val="24"/>
          <w:szCs w:val="24"/>
        </w:rPr>
      </w:pPr>
      <w:r w:rsidRPr="47A1F9F4">
        <w:rPr>
          <w:rFonts w:ascii="Times New Roman" w:eastAsia="Times New Roman" w:hAnsi="Times New Roman" w:cs="Times New Roman"/>
          <w:sz w:val="24"/>
          <w:szCs w:val="24"/>
        </w:rPr>
        <w:t>Arnold, B., 2015. Occupiers' Liability. [online] Barnoldlaw.blogspot.com. Available at: http://barnoldlaw.blogspot.com/2015/10/liability.html [Accessed 3 January 2021].</w:t>
      </w:r>
    </w:p>
    <w:p w14:paraId="5230178C" w14:textId="41FFC87C" w:rsidR="30620E49" w:rsidRDefault="30620E49" w:rsidP="47A1F9F4">
      <w:pPr>
        <w:spacing w:line="480" w:lineRule="auto"/>
        <w:ind w:left="720" w:hanging="720"/>
      </w:pPr>
      <w:r w:rsidRPr="47A1F9F4">
        <w:rPr>
          <w:rFonts w:ascii="Times New Roman" w:eastAsia="Times New Roman" w:hAnsi="Times New Roman" w:cs="Times New Roman"/>
          <w:sz w:val="24"/>
          <w:szCs w:val="24"/>
        </w:rPr>
        <w:t xml:space="preserve">DIMOND, B., 2002. Occupiers' Liability Acts 1957 and 1984: Children and trespassers. </w:t>
      </w:r>
      <w:r w:rsidRPr="47A1F9F4">
        <w:rPr>
          <w:rFonts w:ascii="Times New Roman" w:eastAsia="Times New Roman" w:hAnsi="Times New Roman" w:cs="Times New Roman"/>
          <w:i/>
          <w:iCs/>
          <w:sz w:val="24"/>
          <w:szCs w:val="24"/>
        </w:rPr>
        <w:t xml:space="preserve">British Journal of Nursing, </w:t>
      </w:r>
      <w:r w:rsidRPr="47A1F9F4">
        <w:rPr>
          <w:rFonts w:ascii="Times New Roman" w:eastAsia="Times New Roman" w:hAnsi="Times New Roman" w:cs="Times New Roman"/>
          <w:b/>
          <w:bCs/>
          <w:sz w:val="24"/>
          <w:szCs w:val="24"/>
        </w:rPr>
        <w:t>11</w:t>
      </w:r>
      <w:r w:rsidRPr="47A1F9F4">
        <w:rPr>
          <w:rFonts w:ascii="Times New Roman" w:eastAsia="Times New Roman" w:hAnsi="Times New Roman" w:cs="Times New Roman"/>
          <w:sz w:val="24"/>
          <w:szCs w:val="24"/>
        </w:rPr>
        <w:t>(18), pp. 1186.</w:t>
      </w:r>
    </w:p>
    <w:p w14:paraId="5A64CC0E" w14:textId="04D379C0" w:rsidR="30620E49" w:rsidRDefault="30620E49" w:rsidP="47A1F9F4">
      <w:pPr>
        <w:spacing w:line="480" w:lineRule="auto"/>
        <w:ind w:left="720" w:hanging="720"/>
      </w:pPr>
      <w:r w:rsidRPr="47A1F9F4">
        <w:rPr>
          <w:rFonts w:ascii="Times New Roman" w:eastAsia="Times New Roman" w:hAnsi="Times New Roman" w:cs="Times New Roman"/>
          <w:sz w:val="24"/>
          <w:szCs w:val="24"/>
        </w:rPr>
        <w:t xml:space="preserve">HANDFORD, P. and MCGIVERN, B., 2015. Two problems of occupiers’ liability: part one – the occupiers liability acts and the common law. </w:t>
      </w:r>
      <w:r w:rsidRPr="47A1F9F4">
        <w:rPr>
          <w:rFonts w:ascii="Times New Roman" w:eastAsia="Times New Roman" w:hAnsi="Times New Roman" w:cs="Times New Roman"/>
          <w:i/>
          <w:iCs/>
          <w:sz w:val="24"/>
          <w:szCs w:val="24"/>
        </w:rPr>
        <w:t>Melbourne University Law Review</w:t>
      </w:r>
      <w:r w:rsidRPr="47A1F9F4">
        <w:rPr>
          <w:rFonts w:ascii="Times New Roman" w:eastAsia="Times New Roman" w:hAnsi="Times New Roman" w:cs="Times New Roman"/>
          <w:sz w:val="24"/>
          <w:szCs w:val="24"/>
        </w:rPr>
        <w:t xml:space="preserve">, </w:t>
      </w:r>
      <w:r w:rsidRPr="47A1F9F4">
        <w:rPr>
          <w:rFonts w:ascii="Times New Roman" w:eastAsia="Times New Roman" w:hAnsi="Times New Roman" w:cs="Times New Roman"/>
          <w:b/>
          <w:bCs/>
          <w:sz w:val="24"/>
          <w:szCs w:val="24"/>
        </w:rPr>
        <w:t>39</w:t>
      </w:r>
      <w:r w:rsidRPr="47A1F9F4">
        <w:rPr>
          <w:rFonts w:ascii="Times New Roman" w:eastAsia="Times New Roman" w:hAnsi="Times New Roman" w:cs="Times New Roman"/>
          <w:sz w:val="24"/>
          <w:szCs w:val="24"/>
        </w:rPr>
        <w:t>(1), pp. 128-174.</w:t>
      </w:r>
    </w:p>
    <w:p w14:paraId="12AE3235" w14:textId="45229062" w:rsidR="0071466C" w:rsidRDefault="0071466C" w:rsidP="47A1F9F4">
      <w:pPr>
        <w:spacing w:line="480" w:lineRule="auto"/>
        <w:ind w:left="720" w:hanging="720"/>
        <w:rPr>
          <w:rFonts w:ascii="Times New Roman" w:eastAsia="Times New Roman" w:hAnsi="Times New Roman" w:cs="Times New Roman"/>
          <w:sz w:val="24"/>
          <w:szCs w:val="24"/>
        </w:rPr>
      </w:pPr>
      <w:r w:rsidRPr="47A1F9F4">
        <w:rPr>
          <w:rFonts w:ascii="Times New Roman" w:eastAsia="Times New Roman" w:hAnsi="Times New Roman" w:cs="Times New Roman"/>
          <w:sz w:val="24"/>
          <w:szCs w:val="24"/>
        </w:rPr>
        <w:t xml:space="preserve">Millar, A., 2017. Occupiers’ Liability – </w:t>
      </w:r>
      <w:proofErr w:type="spellStart"/>
      <w:r w:rsidRPr="47A1F9F4">
        <w:rPr>
          <w:rFonts w:ascii="Times New Roman" w:eastAsia="Times New Roman" w:hAnsi="Times New Roman" w:cs="Times New Roman"/>
          <w:sz w:val="24"/>
          <w:szCs w:val="24"/>
        </w:rPr>
        <w:t>Who’S</w:t>
      </w:r>
      <w:proofErr w:type="spellEnd"/>
      <w:r w:rsidRPr="47A1F9F4">
        <w:rPr>
          <w:rFonts w:ascii="Times New Roman" w:eastAsia="Times New Roman" w:hAnsi="Times New Roman" w:cs="Times New Roman"/>
          <w:sz w:val="24"/>
          <w:szCs w:val="24"/>
        </w:rPr>
        <w:t xml:space="preserve"> Responsible For Stating The Obvious?. [online] </w:t>
      </w:r>
      <w:proofErr w:type="spellStart"/>
      <w:r w:rsidRPr="47A1F9F4">
        <w:rPr>
          <w:rFonts w:ascii="Times New Roman" w:eastAsia="Times New Roman" w:hAnsi="Times New Roman" w:cs="Times New Roman"/>
          <w:sz w:val="24"/>
          <w:szCs w:val="24"/>
        </w:rPr>
        <w:t>Tallents</w:t>
      </w:r>
      <w:proofErr w:type="spellEnd"/>
      <w:r w:rsidRPr="47A1F9F4">
        <w:rPr>
          <w:rFonts w:ascii="Times New Roman" w:eastAsia="Times New Roman" w:hAnsi="Times New Roman" w:cs="Times New Roman"/>
          <w:sz w:val="24"/>
          <w:szCs w:val="24"/>
        </w:rPr>
        <w:t xml:space="preserve"> Solicitors. Available at: https://www.tallents.co.uk/occupiers-liability/ [Accessed 1 January 2021].</w:t>
      </w:r>
    </w:p>
    <w:p w14:paraId="1CA3C65D" w14:textId="54FC7713" w:rsidR="30620E49" w:rsidRDefault="30620E49" w:rsidP="47A1F9F4">
      <w:pPr>
        <w:spacing w:line="480" w:lineRule="auto"/>
        <w:ind w:left="720" w:hanging="720"/>
      </w:pPr>
      <w:r w:rsidRPr="47A1F9F4">
        <w:rPr>
          <w:rFonts w:ascii="Times New Roman" w:eastAsia="Times New Roman" w:hAnsi="Times New Roman" w:cs="Times New Roman"/>
          <w:sz w:val="24"/>
          <w:szCs w:val="24"/>
        </w:rPr>
        <w:t xml:space="preserve">MILES\, J., 2002. Mind the gap...child protection, statutory interpretation and the Human Rights Act. </w:t>
      </w:r>
      <w:r w:rsidRPr="47A1F9F4">
        <w:rPr>
          <w:rFonts w:ascii="Times New Roman" w:eastAsia="Times New Roman" w:hAnsi="Times New Roman" w:cs="Times New Roman"/>
          <w:i/>
          <w:iCs/>
          <w:sz w:val="24"/>
          <w:szCs w:val="24"/>
        </w:rPr>
        <w:t>The Cambridge Law Journal</w:t>
      </w:r>
      <w:r w:rsidRPr="47A1F9F4">
        <w:rPr>
          <w:rFonts w:ascii="Times New Roman" w:eastAsia="Times New Roman" w:hAnsi="Times New Roman" w:cs="Times New Roman"/>
          <w:sz w:val="24"/>
          <w:szCs w:val="24"/>
        </w:rPr>
        <w:t xml:space="preserve">, </w:t>
      </w:r>
      <w:r w:rsidRPr="47A1F9F4">
        <w:rPr>
          <w:rFonts w:ascii="Times New Roman" w:eastAsia="Times New Roman" w:hAnsi="Times New Roman" w:cs="Times New Roman"/>
          <w:b/>
          <w:bCs/>
          <w:sz w:val="24"/>
          <w:szCs w:val="24"/>
        </w:rPr>
        <w:t>61</w:t>
      </w:r>
      <w:r w:rsidRPr="47A1F9F4">
        <w:rPr>
          <w:rFonts w:ascii="Times New Roman" w:eastAsia="Times New Roman" w:hAnsi="Times New Roman" w:cs="Times New Roman"/>
          <w:sz w:val="24"/>
          <w:szCs w:val="24"/>
        </w:rPr>
        <w:t>, pp. 533-537.</w:t>
      </w:r>
    </w:p>
    <w:p w14:paraId="6E2515C3" w14:textId="3B1CB243" w:rsidR="2DB5FB36" w:rsidRDefault="2DB5FB36" w:rsidP="47A1F9F4">
      <w:pPr>
        <w:spacing w:line="480" w:lineRule="auto"/>
        <w:ind w:left="720" w:hanging="720"/>
        <w:rPr>
          <w:rFonts w:ascii="Times New Roman" w:eastAsia="Times New Roman" w:hAnsi="Times New Roman" w:cs="Times New Roman"/>
          <w:sz w:val="24"/>
          <w:szCs w:val="24"/>
        </w:rPr>
      </w:pPr>
      <w:r w:rsidRPr="47A1F9F4">
        <w:rPr>
          <w:rFonts w:ascii="Times New Roman" w:eastAsia="Times New Roman" w:hAnsi="Times New Roman" w:cs="Times New Roman"/>
          <w:sz w:val="24"/>
          <w:szCs w:val="24"/>
        </w:rPr>
        <w:t>All Answers Ltd. November 2018. Occupiers Liability Acts 1957 and 1984. [online]. Available from: https://www.lawteacher.net/free-law-essays/contract-law/occupiers-liability-acts-1957-and-1984-contract-law-essay.php?vref=1 [Accessed 1 January 2021].</w:t>
      </w:r>
    </w:p>
    <w:p w14:paraId="71609672" w14:textId="26342D6A" w:rsidR="57CE52E6" w:rsidRDefault="57CE52E6" w:rsidP="47A1F9F4">
      <w:pPr>
        <w:spacing w:line="480" w:lineRule="auto"/>
        <w:ind w:left="720" w:hanging="720"/>
        <w:rPr>
          <w:rFonts w:ascii="Times New Roman" w:eastAsia="Times New Roman" w:hAnsi="Times New Roman" w:cs="Times New Roman"/>
          <w:sz w:val="24"/>
          <w:szCs w:val="24"/>
        </w:rPr>
      </w:pPr>
      <w:r w:rsidRPr="47A1F9F4">
        <w:rPr>
          <w:rFonts w:ascii="Times New Roman" w:eastAsia="Times New Roman" w:hAnsi="Times New Roman" w:cs="Times New Roman"/>
          <w:sz w:val="24"/>
          <w:szCs w:val="24"/>
        </w:rPr>
        <w:lastRenderedPageBreak/>
        <w:t>Localsolicitors.com. 2018. Occupiers Liability And The Duty Of Care Owed To Visitors - Localsolicitors.Com. [online] Available at https://www.localsolicitors.com/company-and-commercial-guides/guide-to-occupiers-liability [Accessed 3 January 2021].</w:t>
      </w:r>
    </w:p>
    <w:sectPr w:rsidR="57CE52E6">
      <w:headerReference w:type="default" r:id="rId6"/>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9BD62D" w14:textId="77777777" w:rsidR="00000000" w:rsidRDefault="00204EF3">
      <w:pPr>
        <w:spacing w:after="0" w:line="240" w:lineRule="auto"/>
      </w:pPr>
      <w:r>
        <w:separator/>
      </w:r>
    </w:p>
  </w:endnote>
  <w:endnote w:type="continuationSeparator" w:id="0">
    <w:p w14:paraId="2FB70875" w14:textId="77777777" w:rsidR="00000000" w:rsidRDefault="00204E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47A1F9F4" w14:paraId="7E4D5420" w14:textId="77777777" w:rsidTr="47A1F9F4">
      <w:tc>
        <w:tcPr>
          <w:tcW w:w="3005" w:type="dxa"/>
        </w:tcPr>
        <w:p w14:paraId="5EC6FA82" w14:textId="46BD1F3D" w:rsidR="47A1F9F4" w:rsidRDefault="47A1F9F4" w:rsidP="47A1F9F4">
          <w:pPr>
            <w:pStyle w:val="Header"/>
            <w:ind w:left="-115"/>
          </w:pPr>
        </w:p>
      </w:tc>
      <w:tc>
        <w:tcPr>
          <w:tcW w:w="3005" w:type="dxa"/>
        </w:tcPr>
        <w:p w14:paraId="23C4E5E6" w14:textId="0D526C73" w:rsidR="47A1F9F4" w:rsidRDefault="47A1F9F4" w:rsidP="47A1F9F4">
          <w:pPr>
            <w:pStyle w:val="Header"/>
            <w:jc w:val="center"/>
          </w:pPr>
        </w:p>
      </w:tc>
      <w:tc>
        <w:tcPr>
          <w:tcW w:w="3005" w:type="dxa"/>
        </w:tcPr>
        <w:p w14:paraId="5546C7B2" w14:textId="1DD71294" w:rsidR="47A1F9F4" w:rsidRDefault="47A1F9F4" w:rsidP="47A1F9F4">
          <w:pPr>
            <w:pStyle w:val="Header"/>
            <w:ind w:right="-115"/>
            <w:jc w:val="right"/>
          </w:pPr>
        </w:p>
      </w:tc>
    </w:tr>
  </w:tbl>
  <w:p w14:paraId="173099E8" w14:textId="284D618D" w:rsidR="47A1F9F4" w:rsidRDefault="47A1F9F4" w:rsidP="47A1F9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6891B4" w14:textId="77777777" w:rsidR="00000000" w:rsidRDefault="00204EF3">
      <w:pPr>
        <w:spacing w:after="0" w:line="240" w:lineRule="auto"/>
      </w:pPr>
      <w:r>
        <w:separator/>
      </w:r>
    </w:p>
  </w:footnote>
  <w:footnote w:type="continuationSeparator" w:id="0">
    <w:p w14:paraId="68DD2184" w14:textId="77777777" w:rsidR="00000000" w:rsidRDefault="00204E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47A1F9F4" w14:paraId="2DE22C41" w14:textId="77777777" w:rsidTr="47A1F9F4">
      <w:tc>
        <w:tcPr>
          <w:tcW w:w="3005" w:type="dxa"/>
        </w:tcPr>
        <w:p w14:paraId="68B57FC9" w14:textId="5255A42E" w:rsidR="47A1F9F4" w:rsidRDefault="47A1F9F4" w:rsidP="47A1F9F4">
          <w:pPr>
            <w:pStyle w:val="Header"/>
            <w:ind w:left="-115"/>
          </w:pPr>
        </w:p>
      </w:tc>
      <w:tc>
        <w:tcPr>
          <w:tcW w:w="3005" w:type="dxa"/>
        </w:tcPr>
        <w:p w14:paraId="3BEBDC6C" w14:textId="12ED43EE" w:rsidR="47A1F9F4" w:rsidRDefault="47A1F9F4" w:rsidP="47A1F9F4">
          <w:pPr>
            <w:pStyle w:val="Header"/>
            <w:jc w:val="center"/>
          </w:pPr>
        </w:p>
      </w:tc>
      <w:tc>
        <w:tcPr>
          <w:tcW w:w="3005" w:type="dxa"/>
        </w:tcPr>
        <w:p w14:paraId="3FDACDD6" w14:textId="200E36B0" w:rsidR="47A1F9F4" w:rsidRDefault="47A1F9F4" w:rsidP="47A1F9F4">
          <w:pPr>
            <w:pStyle w:val="Header"/>
            <w:ind w:right="-115"/>
            <w:jc w:val="right"/>
          </w:pPr>
        </w:p>
      </w:tc>
    </w:tr>
  </w:tbl>
  <w:p w14:paraId="17BAA536" w14:textId="0FD6E86A" w:rsidR="47A1F9F4" w:rsidRDefault="47A1F9F4" w:rsidP="47A1F9F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55FA90"/>
    <w:rsid w:val="00204EF3"/>
    <w:rsid w:val="005836CF"/>
    <w:rsid w:val="0071466C"/>
    <w:rsid w:val="00BD4DD8"/>
    <w:rsid w:val="021A70D1"/>
    <w:rsid w:val="0509F556"/>
    <w:rsid w:val="051A69D4"/>
    <w:rsid w:val="063BDE67"/>
    <w:rsid w:val="072C8F5C"/>
    <w:rsid w:val="074DDD29"/>
    <w:rsid w:val="077F681E"/>
    <w:rsid w:val="0821DB4E"/>
    <w:rsid w:val="09BC22B0"/>
    <w:rsid w:val="0ADEB843"/>
    <w:rsid w:val="0B537C30"/>
    <w:rsid w:val="0C00007F"/>
    <w:rsid w:val="0C268EE2"/>
    <w:rsid w:val="0C52D941"/>
    <w:rsid w:val="0D3EAEAE"/>
    <w:rsid w:val="0D5EABE2"/>
    <w:rsid w:val="0D687FA6"/>
    <w:rsid w:val="0DB4F93D"/>
    <w:rsid w:val="0DEEA9A2"/>
    <w:rsid w:val="0EDA7F0F"/>
    <w:rsid w:val="0F37A141"/>
    <w:rsid w:val="12BF4000"/>
    <w:rsid w:val="13ADF032"/>
    <w:rsid w:val="1412FFEA"/>
    <w:rsid w:val="1742B326"/>
    <w:rsid w:val="1771FE5E"/>
    <w:rsid w:val="17E3F02A"/>
    <w:rsid w:val="18A2DAE4"/>
    <w:rsid w:val="1A3DC515"/>
    <w:rsid w:val="1AC9DA96"/>
    <w:rsid w:val="1B55FA90"/>
    <w:rsid w:val="1B84FDFE"/>
    <w:rsid w:val="1C6FA0EE"/>
    <w:rsid w:val="1D345508"/>
    <w:rsid w:val="209460C0"/>
    <w:rsid w:val="22467DF0"/>
    <w:rsid w:val="24EF6D48"/>
    <w:rsid w:val="25C4F415"/>
    <w:rsid w:val="28C7D6F3"/>
    <w:rsid w:val="28D6100D"/>
    <w:rsid w:val="29315011"/>
    <w:rsid w:val="2B6ED131"/>
    <w:rsid w:val="2BDD99DB"/>
    <w:rsid w:val="2C1EBD3C"/>
    <w:rsid w:val="2DB5FB36"/>
    <w:rsid w:val="2E2506CE"/>
    <w:rsid w:val="2F6078FE"/>
    <w:rsid w:val="2FDA0885"/>
    <w:rsid w:val="30620E49"/>
    <w:rsid w:val="30DB3C6B"/>
    <w:rsid w:val="341C919A"/>
    <w:rsid w:val="35330A71"/>
    <w:rsid w:val="370EF270"/>
    <w:rsid w:val="377ECCF5"/>
    <w:rsid w:val="37BAB03F"/>
    <w:rsid w:val="37CB45D2"/>
    <w:rsid w:val="38781139"/>
    <w:rsid w:val="38C13260"/>
    <w:rsid w:val="3A26C978"/>
    <w:rsid w:val="3B7767FD"/>
    <w:rsid w:val="3BFDB987"/>
    <w:rsid w:val="3C48AFA1"/>
    <w:rsid w:val="3D68BBF8"/>
    <w:rsid w:val="3EA396A2"/>
    <w:rsid w:val="40F287D9"/>
    <w:rsid w:val="415057AE"/>
    <w:rsid w:val="431D0710"/>
    <w:rsid w:val="431DEAEE"/>
    <w:rsid w:val="4394357D"/>
    <w:rsid w:val="453FCF2C"/>
    <w:rsid w:val="47352C27"/>
    <w:rsid w:val="47A1F9F4"/>
    <w:rsid w:val="47A91D31"/>
    <w:rsid w:val="496628FB"/>
    <w:rsid w:val="49EDC549"/>
    <w:rsid w:val="4C0D1886"/>
    <w:rsid w:val="4DD1604F"/>
    <w:rsid w:val="4E66A3FA"/>
    <w:rsid w:val="4F5359D1"/>
    <w:rsid w:val="50C6D8F9"/>
    <w:rsid w:val="5316627D"/>
    <w:rsid w:val="55FE43F8"/>
    <w:rsid w:val="57CE52E6"/>
    <w:rsid w:val="57F64504"/>
    <w:rsid w:val="58FB42CE"/>
    <w:rsid w:val="5A975CB9"/>
    <w:rsid w:val="5AF43561"/>
    <w:rsid w:val="5B588901"/>
    <w:rsid w:val="5CC9B627"/>
    <w:rsid w:val="5E7EAEE5"/>
    <w:rsid w:val="5F4A276F"/>
    <w:rsid w:val="5FB66BAD"/>
    <w:rsid w:val="61145EDA"/>
    <w:rsid w:val="616376E5"/>
    <w:rsid w:val="618A57E2"/>
    <w:rsid w:val="62C39EA3"/>
    <w:rsid w:val="663ED58E"/>
    <w:rsid w:val="6D393935"/>
    <w:rsid w:val="6F71E882"/>
    <w:rsid w:val="7009CEC0"/>
    <w:rsid w:val="73B1EA43"/>
    <w:rsid w:val="73FA9CC5"/>
    <w:rsid w:val="748C1178"/>
    <w:rsid w:val="74A0009A"/>
    <w:rsid w:val="77C1FC9A"/>
    <w:rsid w:val="785E9ADD"/>
    <w:rsid w:val="7950F177"/>
    <w:rsid w:val="797B5F43"/>
    <w:rsid w:val="7A4E0C53"/>
    <w:rsid w:val="7A98F78F"/>
    <w:rsid w:val="7AE3DDE2"/>
    <w:rsid w:val="7B00E73E"/>
    <w:rsid w:val="7B12B8C3"/>
    <w:rsid w:val="7BA5353C"/>
    <w:rsid w:val="7E4ED066"/>
    <w:rsid w:val="7E979556"/>
    <w:rsid w:val="7EA8383D"/>
    <w:rsid w:val="7FEAA0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5FA90"/>
  <w15:chartTrackingRefBased/>
  <w15:docId w15:val="{2ACDCC3F-F1DF-4B2B-A090-F7B1ECBBF7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1999</Words>
  <Characters>11396</Characters>
  <Application>Microsoft Office Word</Application>
  <DocSecurity>0</DocSecurity>
  <Lines>94</Lines>
  <Paragraphs>26</Paragraphs>
  <ScaleCrop>false</ScaleCrop>
  <Company/>
  <LinksUpToDate>false</LinksUpToDate>
  <CharactersWithSpaces>13369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Jones (1902712)</dc:creator>
  <cp:keywords/>
  <dc:description/>
  <cp:lastModifiedBy>Louise Holmes</cp:lastModifiedBy>
  <cp:revision>2</cp:revision>
  <dcterms:created xsi:type="dcterms:W3CDTF">2021-01-09T12:20:00Z</dcterms:created>
  <dcterms:modified xsi:type="dcterms:W3CDTF">2021-01-09T12:20:00Z</dcterms:modified>
</cp:coreProperties>
</file>