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242A6" w14:textId="20D0649F" w:rsidR="00C820C7" w:rsidRDefault="00182F1B">
      <w:pPr>
        <w:spacing w:line="360" w:lineRule="auto"/>
        <w:ind w:left="360"/>
        <w:jc w:val="both"/>
        <w:rPr>
          <w:rFonts w:ascii="Arial" w:hAnsi="Arial" w:cs="Arial"/>
          <w:b/>
          <w:bCs/>
          <w:sz w:val="22"/>
          <w:szCs w:val="22"/>
        </w:rPr>
      </w:pPr>
      <w:r>
        <w:rPr>
          <w:noProof/>
        </w:rPr>
        <w:drawing>
          <wp:anchor distT="0" distB="0" distL="114300" distR="114300" simplePos="0" relativeHeight="251659264" behindDoc="0" locked="0" layoutInCell="1" allowOverlap="1" wp14:anchorId="75B0E75F" wp14:editId="311A3150">
            <wp:simplePos x="0" y="0"/>
            <wp:positionH relativeFrom="margin">
              <wp:align>left</wp:align>
            </wp:positionH>
            <wp:positionV relativeFrom="paragraph">
              <wp:posOffset>0</wp:posOffset>
            </wp:positionV>
            <wp:extent cx="2762250" cy="1104900"/>
            <wp:effectExtent l="0" t="0" r="0" b="0"/>
            <wp:wrapSquare wrapText="bothSides"/>
            <wp:docPr id="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0" cy="1104900"/>
                    </a:xfrm>
                    <a:prstGeom prst="rect">
                      <a:avLst/>
                    </a:prstGeom>
                    <a:noFill/>
                  </pic:spPr>
                </pic:pic>
              </a:graphicData>
            </a:graphic>
            <wp14:sizeRelH relativeFrom="page">
              <wp14:pctWidth>0</wp14:pctWidth>
            </wp14:sizeRelH>
            <wp14:sizeRelV relativeFrom="page">
              <wp14:pctHeight>0</wp14:pctHeight>
            </wp14:sizeRelV>
          </wp:anchor>
        </w:drawing>
      </w:r>
    </w:p>
    <w:p w14:paraId="1F9242A7" w14:textId="77777777" w:rsidR="00C820C7" w:rsidRDefault="00C820C7">
      <w:pPr>
        <w:spacing w:line="360" w:lineRule="auto"/>
        <w:ind w:left="360"/>
        <w:jc w:val="both"/>
        <w:rPr>
          <w:rFonts w:ascii="Arial" w:hAnsi="Arial" w:cs="Arial"/>
          <w:b/>
          <w:bCs/>
          <w:sz w:val="22"/>
          <w:szCs w:val="22"/>
        </w:rPr>
      </w:pPr>
    </w:p>
    <w:p w14:paraId="1F9242A8" w14:textId="77777777" w:rsidR="00C820C7" w:rsidRDefault="00C820C7">
      <w:pPr>
        <w:spacing w:line="360" w:lineRule="auto"/>
        <w:ind w:left="360"/>
        <w:jc w:val="both"/>
        <w:rPr>
          <w:rFonts w:ascii="Arial" w:hAnsi="Arial" w:cs="Arial"/>
          <w:b/>
          <w:bCs/>
          <w:sz w:val="22"/>
          <w:szCs w:val="22"/>
        </w:rPr>
      </w:pPr>
    </w:p>
    <w:p w14:paraId="1F9242A9" w14:textId="77777777" w:rsidR="00C820C7" w:rsidRDefault="00C820C7">
      <w:pPr>
        <w:spacing w:line="360" w:lineRule="auto"/>
        <w:ind w:left="360"/>
        <w:jc w:val="both"/>
        <w:rPr>
          <w:rFonts w:ascii="Arial" w:hAnsi="Arial" w:cs="Arial"/>
          <w:b/>
          <w:bCs/>
          <w:sz w:val="22"/>
          <w:szCs w:val="22"/>
        </w:rPr>
      </w:pPr>
    </w:p>
    <w:p w14:paraId="1F9242AA" w14:textId="3030749A" w:rsidR="00C820C7" w:rsidRPr="00C67447" w:rsidRDefault="00CE0A52" w:rsidP="00287342">
      <w:pPr>
        <w:spacing w:line="360" w:lineRule="auto"/>
        <w:ind w:left="360"/>
        <w:jc w:val="center"/>
        <w:rPr>
          <w:rFonts w:ascii="Arial" w:hAnsi="Arial" w:cs="Arial"/>
          <w:sz w:val="28"/>
          <w:szCs w:val="28"/>
        </w:rPr>
      </w:pPr>
      <w:r w:rsidRPr="00C67447">
        <w:rPr>
          <w:rFonts w:ascii="Arial" w:hAnsi="Arial" w:cs="Arial"/>
          <w:b/>
          <w:bCs/>
          <w:sz w:val="28"/>
          <w:szCs w:val="28"/>
        </w:rPr>
        <w:t>Student Name</w:t>
      </w:r>
      <w:r w:rsidR="00960CA1">
        <w:rPr>
          <w:rFonts w:ascii="Arial" w:hAnsi="Arial" w:cs="Arial"/>
          <w:b/>
          <w:bCs/>
          <w:sz w:val="28"/>
          <w:szCs w:val="28"/>
        </w:rPr>
        <w:t>:</w:t>
      </w:r>
      <w:r w:rsidR="00FA7D67">
        <w:rPr>
          <w:rFonts w:ascii="Arial" w:hAnsi="Arial" w:cs="Arial"/>
          <w:b/>
          <w:bCs/>
          <w:sz w:val="28"/>
          <w:szCs w:val="28"/>
        </w:rPr>
        <w:t xml:space="preserve"> </w:t>
      </w:r>
      <w:r w:rsidR="00FA7D67" w:rsidRPr="008F243E">
        <w:rPr>
          <w:rFonts w:ascii="Arial" w:hAnsi="Arial" w:cs="Arial"/>
          <w:sz w:val="28"/>
          <w:szCs w:val="28"/>
        </w:rPr>
        <w:t>Irene Baaba Quagraine</w:t>
      </w:r>
    </w:p>
    <w:p w14:paraId="1F9242AB" w14:textId="770812EF" w:rsidR="00C820C7" w:rsidRPr="00C67447" w:rsidRDefault="00D86393" w:rsidP="00287342">
      <w:pPr>
        <w:spacing w:line="360" w:lineRule="auto"/>
        <w:rPr>
          <w:rFonts w:ascii="Arial" w:hAnsi="Arial" w:cs="Arial"/>
          <w:sz w:val="28"/>
          <w:szCs w:val="28"/>
        </w:rPr>
      </w:pPr>
      <w:r>
        <w:rPr>
          <w:rFonts w:ascii="Arial" w:hAnsi="Arial" w:cs="Arial"/>
          <w:b/>
          <w:bCs/>
          <w:sz w:val="28"/>
          <w:szCs w:val="28"/>
        </w:rPr>
        <w:t xml:space="preserve">                               </w:t>
      </w:r>
      <w:r w:rsidRPr="00C67447">
        <w:rPr>
          <w:rFonts w:ascii="Arial" w:hAnsi="Arial" w:cs="Arial"/>
          <w:b/>
          <w:bCs/>
          <w:sz w:val="28"/>
          <w:szCs w:val="28"/>
        </w:rPr>
        <w:t>Student Number:</w:t>
      </w:r>
      <w:r w:rsidR="00DF67A8">
        <w:rPr>
          <w:rFonts w:ascii="Arial" w:hAnsi="Arial" w:cs="Arial"/>
          <w:b/>
          <w:bCs/>
          <w:sz w:val="28"/>
          <w:szCs w:val="28"/>
        </w:rPr>
        <w:t xml:space="preserve"> </w:t>
      </w:r>
      <w:r w:rsidR="003F15A7" w:rsidRPr="008F243E">
        <w:rPr>
          <w:rFonts w:ascii="Arial" w:hAnsi="Arial" w:cs="Arial"/>
          <w:sz w:val="28"/>
          <w:szCs w:val="28"/>
        </w:rPr>
        <w:t>2434408</w:t>
      </w:r>
    </w:p>
    <w:p w14:paraId="1F9242AC" w14:textId="77777777" w:rsidR="00C820C7" w:rsidRPr="00C67447" w:rsidRDefault="00CE0A52" w:rsidP="00287342">
      <w:pPr>
        <w:spacing w:line="360" w:lineRule="auto"/>
        <w:ind w:left="360"/>
        <w:jc w:val="center"/>
        <w:rPr>
          <w:rFonts w:ascii="Arial" w:hAnsi="Arial" w:cs="Arial"/>
          <w:sz w:val="28"/>
          <w:szCs w:val="28"/>
        </w:rPr>
      </w:pPr>
      <w:r w:rsidRPr="00C67447">
        <w:rPr>
          <w:rFonts w:ascii="Arial" w:hAnsi="Arial" w:cs="Arial"/>
          <w:b/>
          <w:bCs/>
          <w:sz w:val="28"/>
          <w:szCs w:val="28"/>
        </w:rPr>
        <w:t>Module Code and Title:</w:t>
      </w:r>
      <w:r w:rsidRPr="00C67447">
        <w:rPr>
          <w:rFonts w:ascii="Arial" w:hAnsi="Arial" w:cs="Arial"/>
          <w:sz w:val="28"/>
          <w:szCs w:val="28"/>
        </w:rPr>
        <w:t xml:space="preserve"> BMHP5016 -Principles of Health and Social Care Practice</w:t>
      </w:r>
    </w:p>
    <w:p w14:paraId="1F9242AD" w14:textId="00C54EA6" w:rsidR="00C820C7" w:rsidRPr="008F243E" w:rsidRDefault="00CE0A52" w:rsidP="00287342">
      <w:pPr>
        <w:spacing w:line="360" w:lineRule="auto"/>
        <w:ind w:left="360"/>
        <w:jc w:val="center"/>
        <w:rPr>
          <w:rFonts w:ascii="Arial" w:hAnsi="Arial" w:cs="Arial"/>
          <w:sz w:val="28"/>
          <w:szCs w:val="28"/>
        </w:rPr>
      </w:pPr>
      <w:r w:rsidRPr="00C67447">
        <w:rPr>
          <w:rFonts w:ascii="Arial" w:hAnsi="Arial" w:cs="Arial"/>
          <w:b/>
          <w:bCs/>
          <w:sz w:val="28"/>
          <w:szCs w:val="28"/>
        </w:rPr>
        <w:t>Lecturer Name:</w:t>
      </w:r>
      <w:r w:rsidR="00052633">
        <w:rPr>
          <w:rFonts w:ascii="Arial" w:hAnsi="Arial" w:cs="Arial"/>
          <w:b/>
          <w:bCs/>
          <w:sz w:val="28"/>
          <w:szCs w:val="28"/>
        </w:rPr>
        <w:t xml:space="preserve"> </w:t>
      </w:r>
      <w:r w:rsidR="00052633" w:rsidRPr="008F243E">
        <w:rPr>
          <w:rFonts w:ascii="Arial" w:hAnsi="Arial" w:cs="Arial"/>
          <w:sz w:val="28"/>
          <w:szCs w:val="28"/>
        </w:rPr>
        <w:t xml:space="preserve">Azida Zonal </w:t>
      </w:r>
    </w:p>
    <w:p w14:paraId="1F9242AE" w14:textId="77777777" w:rsidR="00C820C7" w:rsidRPr="00C67447" w:rsidRDefault="00CE0A52" w:rsidP="00287342">
      <w:pPr>
        <w:spacing w:line="360" w:lineRule="auto"/>
        <w:ind w:left="360"/>
        <w:jc w:val="center"/>
        <w:rPr>
          <w:rFonts w:ascii="Arial" w:hAnsi="Arial" w:cs="Arial"/>
          <w:sz w:val="28"/>
          <w:szCs w:val="28"/>
        </w:rPr>
      </w:pPr>
      <w:r w:rsidRPr="00C67447">
        <w:rPr>
          <w:rFonts w:ascii="Arial" w:hAnsi="Arial" w:cs="Arial"/>
          <w:b/>
          <w:bCs/>
          <w:sz w:val="28"/>
          <w:szCs w:val="28"/>
        </w:rPr>
        <w:t>Assignment Title:</w:t>
      </w:r>
      <w:r w:rsidRPr="00C67447">
        <w:rPr>
          <w:rFonts w:ascii="Arial" w:hAnsi="Arial" w:cs="Arial"/>
          <w:sz w:val="28"/>
          <w:szCs w:val="28"/>
        </w:rPr>
        <w:t xml:space="preserve"> Component 2: Written Assignment (Report): An Evaluation of Person-Centred Care and Partnership Working in Health and Social Care Practice</w:t>
      </w:r>
    </w:p>
    <w:p w14:paraId="1F9242AF" w14:textId="77777777" w:rsidR="00C820C7" w:rsidRPr="00C67447" w:rsidRDefault="00CE0A52" w:rsidP="00287342">
      <w:pPr>
        <w:spacing w:line="360" w:lineRule="auto"/>
        <w:ind w:left="360"/>
        <w:jc w:val="center"/>
        <w:rPr>
          <w:rFonts w:ascii="Arial" w:hAnsi="Arial" w:cs="Arial"/>
          <w:sz w:val="28"/>
          <w:szCs w:val="28"/>
        </w:rPr>
      </w:pPr>
      <w:r w:rsidRPr="00C67447">
        <w:rPr>
          <w:rFonts w:ascii="Arial" w:hAnsi="Arial" w:cs="Arial"/>
          <w:b/>
          <w:bCs/>
          <w:sz w:val="28"/>
          <w:szCs w:val="28"/>
        </w:rPr>
        <w:t>Submission Date:</w:t>
      </w:r>
      <w:r w:rsidRPr="00C67447">
        <w:rPr>
          <w:rFonts w:ascii="Arial" w:hAnsi="Arial" w:cs="Arial"/>
          <w:sz w:val="28"/>
          <w:szCs w:val="28"/>
        </w:rPr>
        <w:t xml:space="preserve"> Sunday 26th July 2026</w:t>
      </w:r>
    </w:p>
    <w:p w14:paraId="1F9242B0" w14:textId="77777777" w:rsidR="00C820C7" w:rsidRPr="00C67447" w:rsidRDefault="00CE0A52" w:rsidP="00287342">
      <w:pPr>
        <w:spacing w:line="360" w:lineRule="auto"/>
        <w:ind w:left="360"/>
        <w:jc w:val="center"/>
        <w:rPr>
          <w:rFonts w:ascii="Arial" w:hAnsi="Arial" w:cs="Arial"/>
          <w:sz w:val="28"/>
          <w:szCs w:val="28"/>
        </w:rPr>
      </w:pPr>
      <w:r w:rsidRPr="00C67447">
        <w:rPr>
          <w:rFonts w:ascii="Arial" w:hAnsi="Arial" w:cs="Arial"/>
          <w:b/>
          <w:bCs/>
          <w:sz w:val="28"/>
          <w:szCs w:val="28"/>
        </w:rPr>
        <w:t>Word Count:</w:t>
      </w:r>
      <w:r w:rsidRPr="00C67447">
        <w:rPr>
          <w:rFonts w:ascii="Arial" w:hAnsi="Arial" w:cs="Arial"/>
          <w:sz w:val="28"/>
          <w:szCs w:val="28"/>
        </w:rPr>
        <w:t xml:space="preserve"> 2,015 words</w:t>
      </w:r>
    </w:p>
    <w:p w14:paraId="1F9242B1" w14:textId="77777777" w:rsidR="00C820C7" w:rsidRDefault="00C820C7" w:rsidP="00287342">
      <w:pPr>
        <w:spacing w:line="360" w:lineRule="auto"/>
        <w:jc w:val="both"/>
        <w:rPr>
          <w:rFonts w:ascii="Arial" w:hAnsi="Arial" w:cs="Arial"/>
          <w:b/>
          <w:bCs/>
          <w:sz w:val="22"/>
          <w:szCs w:val="22"/>
        </w:rPr>
      </w:pPr>
    </w:p>
    <w:p w14:paraId="1F9242B2" w14:textId="77777777" w:rsidR="00C820C7" w:rsidRDefault="00C820C7" w:rsidP="00287342">
      <w:pPr>
        <w:spacing w:line="360" w:lineRule="auto"/>
        <w:jc w:val="both"/>
        <w:rPr>
          <w:rFonts w:ascii="Arial" w:hAnsi="Arial" w:cs="Arial"/>
          <w:b/>
          <w:bCs/>
          <w:sz w:val="22"/>
          <w:szCs w:val="22"/>
        </w:rPr>
      </w:pPr>
    </w:p>
    <w:p w14:paraId="1F9242B3" w14:textId="77777777" w:rsidR="00C820C7" w:rsidRDefault="00C820C7" w:rsidP="00287342">
      <w:pPr>
        <w:spacing w:line="360" w:lineRule="auto"/>
        <w:jc w:val="both"/>
        <w:rPr>
          <w:rFonts w:ascii="Arial" w:hAnsi="Arial" w:cs="Arial"/>
          <w:b/>
          <w:bCs/>
          <w:sz w:val="22"/>
          <w:szCs w:val="22"/>
        </w:rPr>
      </w:pPr>
    </w:p>
    <w:p w14:paraId="1F9242B4" w14:textId="77777777" w:rsidR="00C820C7" w:rsidRDefault="00C820C7" w:rsidP="00287342">
      <w:pPr>
        <w:spacing w:line="360" w:lineRule="auto"/>
        <w:jc w:val="both"/>
        <w:rPr>
          <w:rFonts w:ascii="Arial" w:hAnsi="Arial" w:cs="Arial"/>
          <w:b/>
          <w:bCs/>
          <w:sz w:val="22"/>
          <w:szCs w:val="22"/>
        </w:rPr>
      </w:pPr>
    </w:p>
    <w:p w14:paraId="1F9242B5" w14:textId="77777777" w:rsidR="00C820C7" w:rsidRDefault="00C820C7" w:rsidP="00287342">
      <w:pPr>
        <w:spacing w:line="360" w:lineRule="auto"/>
        <w:jc w:val="both"/>
        <w:rPr>
          <w:rFonts w:ascii="Arial" w:hAnsi="Arial" w:cs="Arial"/>
          <w:b/>
          <w:bCs/>
          <w:sz w:val="22"/>
          <w:szCs w:val="22"/>
        </w:rPr>
      </w:pPr>
    </w:p>
    <w:p w14:paraId="1F9242B6" w14:textId="77777777" w:rsidR="00C820C7" w:rsidRDefault="00C820C7" w:rsidP="00287342">
      <w:pPr>
        <w:spacing w:line="360" w:lineRule="auto"/>
        <w:jc w:val="both"/>
        <w:rPr>
          <w:rFonts w:ascii="Arial" w:hAnsi="Arial" w:cs="Arial"/>
          <w:b/>
          <w:bCs/>
          <w:sz w:val="22"/>
          <w:szCs w:val="22"/>
        </w:rPr>
      </w:pPr>
    </w:p>
    <w:p w14:paraId="1F9242B7" w14:textId="77777777" w:rsidR="00C820C7" w:rsidRDefault="00C820C7" w:rsidP="00287342">
      <w:pPr>
        <w:spacing w:line="360" w:lineRule="auto"/>
        <w:jc w:val="both"/>
        <w:rPr>
          <w:rFonts w:ascii="Arial" w:hAnsi="Arial" w:cs="Arial"/>
          <w:b/>
          <w:bCs/>
          <w:sz w:val="22"/>
          <w:szCs w:val="22"/>
        </w:rPr>
      </w:pPr>
    </w:p>
    <w:p w14:paraId="1F9242B8" w14:textId="77777777" w:rsidR="00C820C7" w:rsidRDefault="00C820C7" w:rsidP="00287342">
      <w:pPr>
        <w:spacing w:line="360" w:lineRule="auto"/>
        <w:jc w:val="both"/>
        <w:rPr>
          <w:rFonts w:ascii="Arial" w:hAnsi="Arial" w:cs="Arial"/>
          <w:b/>
          <w:bCs/>
          <w:sz w:val="22"/>
          <w:szCs w:val="22"/>
        </w:rPr>
      </w:pPr>
    </w:p>
    <w:p w14:paraId="1F9242B9" w14:textId="77777777" w:rsidR="00C820C7" w:rsidRDefault="00C820C7" w:rsidP="00287342">
      <w:pPr>
        <w:spacing w:line="360" w:lineRule="auto"/>
        <w:jc w:val="both"/>
        <w:rPr>
          <w:rFonts w:ascii="Arial" w:hAnsi="Arial" w:cs="Arial"/>
          <w:b/>
          <w:bCs/>
          <w:sz w:val="22"/>
          <w:szCs w:val="22"/>
        </w:rPr>
      </w:pPr>
    </w:p>
    <w:p w14:paraId="1F9242BA" w14:textId="77777777" w:rsidR="00C820C7" w:rsidRDefault="00C820C7" w:rsidP="00287342">
      <w:pPr>
        <w:spacing w:line="360" w:lineRule="auto"/>
        <w:jc w:val="both"/>
        <w:rPr>
          <w:rFonts w:ascii="Arial" w:hAnsi="Arial" w:cs="Arial"/>
          <w:b/>
          <w:bCs/>
          <w:sz w:val="22"/>
          <w:szCs w:val="22"/>
        </w:rPr>
      </w:pPr>
    </w:p>
    <w:p w14:paraId="1F9242BB" w14:textId="77777777" w:rsidR="00C820C7" w:rsidRDefault="00C820C7" w:rsidP="00287342">
      <w:pPr>
        <w:spacing w:line="360" w:lineRule="auto"/>
        <w:jc w:val="both"/>
        <w:rPr>
          <w:rFonts w:ascii="Arial" w:hAnsi="Arial" w:cs="Arial"/>
          <w:b/>
          <w:bCs/>
          <w:sz w:val="22"/>
          <w:szCs w:val="22"/>
        </w:rPr>
      </w:pPr>
    </w:p>
    <w:p w14:paraId="1F9242BC" w14:textId="77777777" w:rsidR="00C820C7" w:rsidRPr="00CA28DE" w:rsidRDefault="00C820C7" w:rsidP="00287342">
      <w:pPr>
        <w:spacing w:line="360" w:lineRule="auto"/>
        <w:jc w:val="both"/>
        <w:rPr>
          <w:rFonts w:ascii="Arial" w:hAnsi="Arial" w:cs="Arial"/>
          <w:b/>
          <w:bCs/>
          <w:sz w:val="22"/>
          <w:szCs w:val="22"/>
        </w:rPr>
      </w:pPr>
    </w:p>
    <w:p w14:paraId="1F9242BD" w14:textId="77777777" w:rsidR="00C820C7" w:rsidRPr="00CA28DE" w:rsidRDefault="00CE0A52" w:rsidP="00287342">
      <w:pPr>
        <w:pStyle w:val="TOCHeading"/>
        <w:spacing w:line="360" w:lineRule="auto"/>
        <w:rPr>
          <w:rFonts w:ascii="Arial" w:hAnsi="Arial" w:cs="Arial"/>
        </w:rPr>
      </w:pPr>
      <w:r w:rsidRPr="00CA28DE">
        <w:rPr>
          <w:rFonts w:ascii="Arial" w:hAnsi="Arial" w:cs="Arial"/>
        </w:rPr>
        <w:t>Contents</w:t>
      </w:r>
    </w:p>
    <w:p w14:paraId="1F9242BE" w14:textId="77777777" w:rsidR="00C820C7" w:rsidRPr="00CA28DE" w:rsidRDefault="00CE0A52" w:rsidP="00287342">
      <w:pPr>
        <w:pStyle w:val="TOC1"/>
        <w:tabs>
          <w:tab w:val="right" w:leader="dot" w:pos="9350"/>
        </w:tabs>
        <w:spacing w:line="360" w:lineRule="auto"/>
        <w:rPr>
          <w:rFonts w:ascii="Arial" w:eastAsia="SimSun" w:hAnsi="Arial" w:cs="Arial"/>
          <w:noProof/>
        </w:rPr>
      </w:pPr>
      <w:r w:rsidRPr="00CA28DE">
        <w:rPr>
          <w:rFonts w:ascii="Arial" w:hAnsi="Arial" w:cs="Arial"/>
        </w:rPr>
        <w:fldChar w:fldCharType="begin"/>
      </w:r>
      <w:r w:rsidRPr="00CA28DE">
        <w:rPr>
          <w:rFonts w:ascii="Arial" w:hAnsi="Arial" w:cs="Arial"/>
        </w:rPr>
        <w:instrText xml:space="preserve"> TOC \o "1-3" \h \z \u </w:instrText>
      </w:r>
      <w:r w:rsidRPr="00CA28DE">
        <w:rPr>
          <w:rFonts w:ascii="Arial" w:hAnsi="Arial" w:cs="Arial"/>
        </w:rPr>
        <w:fldChar w:fldCharType="separate"/>
      </w:r>
      <w:hyperlink w:anchor="_Toc235705556" w:history="1">
        <w:r w:rsidR="00C820C7" w:rsidRPr="00CA28DE">
          <w:rPr>
            <w:rStyle w:val="Hyperlink"/>
            <w:rFonts w:ascii="Arial" w:hAnsi="Arial" w:cs="Arial"/>
            <w:noProof/>
          </w:rPr>
          <w:t>Abstract</w:t>
        </w:r>
        <w:r w:rsidR="00C820C7" w:rsidRPr="00CA28DE">
          <w:rPr>
            <w:rFonts w:ascii="Arial" w:hAnsi="Arial" w:cs="Arial"/>
            <w:noProof/>
            <w:webHidden/>
          </w:rPr>
          <w:tab/>
        </w:r>
        <w:r w:rsidR="00C820C7" w:rsidRPr="00CA28DE">
          <w:rPr>
            <w:rFonts w:ascii="Arial" w:hAnsi="Arial" w:cs="Arial"/>
            <w:noProof/>
            <w:webHidden/>
          </w:rPr>
          <w:fldChar w:fldCharType="begin"/>
        </w:r>
        <w:r w:rsidR="00C820C7" w:rsidRPr="00CA28DE">
          <w:rPr>
            <w:rFonts w:ascii="Arial" w:hAnsi="Arial" w:cs="Arial"/>
            <w:noProof/>
            <w:webHidden/>
          </w:rPr>
          <w:instrText xml:space="preserve"> PAGEREF _Toc235705556 \h </w:instrText>
        </w:r>
        <w:r w:rsidR="00C820C7" w:rsidRPr="00CA28DE">
          <w:rPr>
            <w:rFonts w:ascii="Arial" w:hAnsi="Arial" w:cs="Arial"/>
            <w:noProof/>
            <w:webHidden/>
          </w:rPr>
        </w:r>
        <w:r w:rsidR="00C820C7" w:rsidRPr="00CA28DE">
          <w:rPr>
            <w:rFonts w:ascii="Arial" w:hAnsi="Arial" w:cs="Arial"/>
            <w:noProof/>
            <w:webHidden/>
          </w:rPr>
          <w:fldChar w:fldCharType="separate"/>
        </w:r>
        <w:r w:rsidR="00C820C7" w:rsidRPr="00CA28DE">
          <w:rPr>
            <w:rFonts w:ascii="Arial" w:hAnsi="Arial" w:cs="Arial"/>
            <w:noProof/>
            <w:webHidden/>
          </w:rPr>
          <w:t>2</w:t>
        </w:r>
        <w:r w:rsidR="00C820C7" w:rsidRPr="00CA28DE">
          <w:rPr>
            <w:rFonts w:ascii="Arial" w:hAnsi="Arial" w:cs="Arial"/>
            <w:noProof/>
            <w:webHidden/>
          </w:rPr>
          <w:fldChar w:fldCharType="end"/>
        </w:r>
      </w:hyperlink>
    </w:p>
    <w:p w14:paraId="1F9242BF" w14:textId="77777777" w:rsidR="00C820C7" w:rsidRPr="00CA28DE" w:rsidRDefault="00C820C7" w:rsidP="00287342">
      <w:pPr>
        <w:pStyle w:val="TOC1"/>
        <w:tabs>
          <w:tab w:val="right" w:leader="dot" w:pos="9350"/>
        </w:tabs>
        <w:spacing w:line="360" w:lineRule="auto"/>
        <w:rPr>
          <w:rFonts w:ascii="Arial" w:eastAsia="SimSun" w:hAnsi="Arial" w:cs="Arial"/>
          <w:noProof/>
        </w:rPr>
      </w:pPr>
      <w:hyperlink w:anchor="_Toc235705557" w:history="1">
        <w:r w:rsidRPr="00CA28DE">
          <w:rPr>
            <w:rStyle w:val="Hyperlink"/>
            <w:rFonts w:ascii="Arial" w:hAnsi="Arial" w:cs="Arial"/>
            <w:noProof/>
          </w:rPr>
          <w:t>1. Introduction</w:t>
        </w:r>
        <w:r w:rsidRPr="00CA28DE">
          <w:rPr>
            <w:rFonts w:ascii="Arial" w:hAnsi="Arial" w:cs="Arial"/>
            <w:noProof/>
            <w:webHidden/>
          </w:rPr>
          <w:tab/>
        </w:r>
        <w:r w:rsidRPr="00CA28DE">
          <w:rPr>
            <w:rFonts w:ascii="Arial" w:hAnsi="Arial" w:cs="Arial"/>
            <w:noProof/>
            <w:webHidden/>
          </w:rPr>
          <w:fldChar w:fldCharType="begin"/>
        </w:r>
        <w:r w:rsidRPr="00CA28DE">
          <w:rPr>
            <w:rFonts w:ascii="Arial" w:hAnsi="Arial" w:cs="Arial"/>
            <w:noProof/>
            <w:webHidden/>
          </w:rPr>
          <w:instrText xml:space="preserve"> PAGEREF _Toc235705557 \h </w:instrText>
        </w:r>
        <w:r w:rsidRPr="00CA28DE">
          <w:rPr>
            <w:rFonts w:ascii="Arial" w:hAnsi="Arial" w:cs="Arial"/>
            <w:noProof/>
            <w:webHidden/>
          </w:rPr>
        </w:r>
        <w:r w:rsidRPr="00CA28DE">
          <w:rPr>
            <w:rFonts w:ascii="Arial" w:hAnsi="Arial" w:cs="Arial"/>
            <w:noProof/>
            <w:webHidden/>
          </w:rPr>
          <w:fldChar w:fldCharType="separate"/>
        </w:r>
        <w:r w:rsidRPr="00CA28DE">
          <w:rPr>
            <w:rFonts w:ascii="Arial" w:hAnsi="Arial" w:cs="Arial"/>
            <w:noProof/>
            <w:webHidden/>
          </w:rPr>
          <w:t>2</w:t>
        </w:r>
        <w:r w:rsidRPr="00CA28DE">
          <w:rPr>
            <w:rFonts w:ascii="Arial" w:hAnsi="Arial" w:cs="Arial"/>
            <w:noProof/>
            <w:webHidden/>
          </w:rPr>
          <w:fldChar w:fldCharType="end"/>
        </w:r>
      </w:hyperlink>
    </w:p>
    <w:p w14:paraId="1F9242C0" w14:textId="77777777" w:rsidR="00C820C7" w:rsidRPr="00CA28DE" w:rsidRDefault="00C820C7" w:rsidP="00287342">
      <w:pPr>
        <w:pStyle w:val="TOC1"/>
        <w:tabs>
          <w:tab w:val="right" w:leader="dot" w:pos="9350"/>
        </w:tabs>
        <w:spacing w:line="360" w:lineRule="auto"/>
        <w:rPr>
          <w:rFonts w:ascii="Arial" w:eastAsia="SimSun" w:hAnsi="Arial" w:cs="Arial"/>
          <w:noProof/>
        </w:rPr>
      </w:pPr>
      <w:hyperlink w:anchor="_Toc235705558" w:history="1">
        <w:r w:rsidRPr="00CA28DE">
          <w:rPr>
            <w:rStyle w:val="Hyperlink"/>
            <w:rFonts w:ascii="Arial" w:hAnsi="Arial" w:cs="Arial"/>
            <w:noProof/>
          </w:rPr>
          <w:t>2. Definition, Benefits, and Limitations of Person-Centred Care (PCC)</w:t>
        </w:r>
        <w:r w:rsidRPr="00CA28DE">
          <w:rPr>
            <w:rFonts w:ascii="Arial" w:hAnsi="Arial" w:cs="Arial"/>
            <w:noProof/>
            <w:webHidden/>
          </w:rPr>
          <w:tab/>
        </w:r>
        <w:r w:rsidRPr="00CA28DE">
          <w:rPr>
            <w:rFonts w:ascii="Arial" w:hAnsi="Arial" w:cs="Arial"/>
            <w:noProof/>
            <w:webHidden/>
          </w:rPr>
          <w:fldChar w:fldCharType="begin"/>
        </w:r>
        <w:r w:rsidRPr="00CA28DE">
          <w:rPr>
            <w:rFonts w:ascii="Arial" w:hAnsi="Arial" w:cs="Arial"/>
            <w:noProof/>
            <w:webHidden/>
          </w:rPr>
          <w:instrText xml:space="preserve"> PAGEREF _Toc235705558 \h </w:instrText>
        </w:r>
        <w:r w:rsidRPr="00CA28DE">
          <w:rPr>
            <w:rFonts w:ascii="Arial" w:hAnsi="Arial" w:cs="Arial"/>
            <w:noProof/>
            <w:webHidden/>
          </w:rPr>
        </w:r>
        <w:r w:rsidRPr="00CA28DE">
          <w:rPr>
            <w:rFonts w:ascii="Arial" w:hAnsi="Arial" w:cs="Arial"/>
            <w:noProof/>
            <w:webHidden/>
          </w:rPr>
          <w:fldChar w:fldCharType="separate"/>
        </w:r>
        <w:r w:rsidRPr="00CA28DE">
          <w:rPr>
            <w:rFonts w:ascii="Arial" w:hAnsi="Arial" w:cs="Arial"/>
            <w:noProof/>
            <w:webHidden/>
          </w:rPr>
          <w:t>3</w:t>
        </w:r>
        <w:r w:rsidRPr="00CA28DE">
          <w:rPr>
            <w:rFonts w:ascii="Arial" w:hAnsi="Arial" w:cs="Arial"/>
            <w:noProof/>
            <w:webHidden/>
          </w:rPr>
          <w:fldChar w:fldCharType="end"/>
        </w:r>
      </w:hyperlink>
    </w:p>
    <w:p w14:paraId="1F9242C1" w14:textId="77777777" w:rsidR="00C820C7" w:rsidRPr="00CA28DE" w:rsidRDefault="00C820C7" w:rsidP="00287342">
      <w:pPr>
        <w:pStyle w:val="TOC1"/>
        <w:tabs>
          <w:tab w:val="right" w:leader="dot" w:pos="9350"/>
        </w:tabs>
        <w:spacing w:line="360" w:lineRule="auto"/>
        <w:rPr>
          <w:rFonts w:ascii="Arial" w:eastAsia="SimSun" w:hAnsi="Arial" w:cs="Arial"/>
          <w:noProof/>
        </w:rPr>
      </w:pPr>
      <w:hyperlink w:anchor="_Toc235705559" w:history="1">
        <w:r w:rsidRPr="00CA28DE">
          <w:rPr>
            <w:rStyle w:val="Hyperlink"/>
            <w:rFonts w:ascii="Arial" w:hAnsi="Arial" w:cs="Arial"/>
            <w:noProof/>
          </w:rPr>
          <w:t>3. Relevant Theoretical Frameworks Underpinning PCC</w:t>
        </w:r>
        <w:r w:rsidRPr="00CA28DE">
          <w:rPr>
            <w:rFonts w:ascii="Arial" w:hAnsi="Arial" w:cs="Arial"/>
            <w:noProof/>
            <w:webHidden/>
          </w:rPr>
          <w:tab/>
        </w:r>
        <w:r w:rsidRPr="00CA28DE">
          <w:rPr>
            <w:rFonts w:ascii="Arial" w:hAnsi="Arial" w:cs="Arial"/>
            <w:noProof/>
            <w:webHidden/>
          </w:rPr>
          <w:fldChar w:fldCharType="begin"/>
        </w:r>
        <w:r w:rsidRPr="00CA28DE">
          <w:rPr>
            <w:rFonts w:ascii="Arial" w:hAnsi="Arial" w:cs="Arial"/>
            <w:noProof/>
            <w:webHidden/>
          </w:rPr>
          <w:instrText xml:space="preserve"> PAGEREF _Toc235705559 \h </w:instrText>
        </w:r>
        <w:r w:rsidRPr="00CA28DE">
          <w:rPr>
            <w:rFonts w:ascii="Arial" w:hAnsi="Arial" w:cs="Arial"/>
            <w:noProof/>
            <w:webHidden/>
          </w:rPr>
        </w:r>
        <w:r w:rsidRPr="00CA28DE">
          <w:rPr>
            <w:rFonts w:ascii="Arial" w:hAnsi="Arial" w:cs="Arial"/>
            <w:noProof/>
            <w:webHidden/>
          </w:rPr>
          <w:fldChar w:fldCharType="separate"/>
        </w:r>
        <w:r w:rsidRPr="00CA28DE">
          <w:rPr>
            <w:rFonts w:ascii="Arial" w:hAnsi="Arial" w:cs="Arial"/>
            <w:noProof/>
            <w:webHidden/>
          </w:rPr>
          <w:t>4</w:t>
        </w:r>
        <w:r w:rsidRPr="00CA28DE">
          <w:rPr>
            <w:rFonts w:ascii="Arial" w:hAnsi="Arial" w:cs="Arial"/>
            <w:noProof/>
            <w:webHidden/>
          </w:rPr>
          <w:fldChar w:fldCharType="end"/>
        </w:r>
      </w:hyperlink>
    </w:p>
    <w:p w14:paraId="1F9242C2" w14:textId="77777777" w:rsidR="00C820C7" w:rsidRPr="00CA28DE" w:rsidRDefault="00C820C7" w:rsidP="00287342">
      <w:pPr>
        <w:pStyle w:val="TOC1"/>
        <w:tabs>
          <w:tab w:val="right" w:leader="dot" w:pos="9350"/>
        </w:tabs>
        <w:spacing w:line="360" w:lineRule="auto"/>
        <w:rPr>
          <w:rFonts w:ascii="Arial" w:eastAsia="SimSun" w:hAnsi="Arial" w:cs="Arial"/>
          <w:noProof/>
        </w:rPr>
      </w:pPr>
      <w:hyperlink w:anchor="_Toc235705560" w:history="1">
        <w:r w:rsidRPr="00CA28DE">
          <w:rPr>
            <w:rStyle w:val="Hyperlink"/>
            <w:rFonts w:ascii="Arial" w:hAnsi="Arial" w:cs="Arial"/>
            <w:noProof/>
          </w:rPr>
          <w:t>4. Ethical Considerations and Decision-Making in PCC</w:t>
        </w:r>
        <w:r w:rsidRPr="00CA28DE">
          <w:rPr>
            <w:rFonts w:ascii="Arial" w:hAnsi="Arial" w:cs="Arial"/>
            <w:noProof/>
            <w:webHidden/>
          </w:rPr>
          <w:tab/>
        </w:r>
        <w:r w:rsidRPr="00CA28DE">
          <w:rPr>
            <w:rFonts w:ascii="Arial" w:hAnsi="Arial" w:cs="Arial"/>
            <w:noProof/>
            <w:webHidden/>
          </w:rPr>
          <w:fldChar w:fldCharType="begin"/>
        </w:r>
        <w:r w:rsidRPr="00CA28DE">
          <w:rPr>
            <w:rFonts w:ascii="Arial" w:hAnsi="Arial" w:cs="Arial"/>
            <w:noProof/>
            <w:webHidden/>
          </w:rPr>
          <w:instrText xml:space="preserve"> PAGEREF _Toc235705560 \h </w:instrText>
        </w:r>
        <w:r w:rsidRPr="00CA28DE">
          <w:rPr>
            <w:rFonts w:ascii="Arial" w:hAnsi="Arial" w:cs="Arial"/>
            <w:noProof/>
            <w:webHidden/>
          </w:rPr>
        </w:r>
        <w:r w:rsidRPr="00CA28DE">
          <w:rPr>
            <w:rFonts w:ascii="Arial" w:hAnsi="Arial" w:cs="Arial"/>
            <w:noProof/>
            <w:webHidden/>
          </w:rPr>
          <w:fldChar w:fldCharType="separate"/>
        </w:r>
        <w:r w:rsidRPr="00CA28DE">
          <w:rPr>
            <w:rFonts w:ascii="Arial" w:hAnsi="Arial" w:cs="Arial"/>
            <w:noProof/>
            <w:webHidden/>
          </w:rPr>
          <w:t>5</w:t>
        </w:r>
        <w:r w:rsidRPr="00CA28DE">
          <w:rPr>
            <w:rFonts w:ascii="Arial" w:hAnsi="Arial" w:cs="Arial"/>
            <w:noProof/>
            <w:webHidden/>
          </w:rPr>
          <w:fldChar w:fldCharType="end"/>
        </w:r>
      </w:hyperlink>
    </w:p>
    <w:p w14:paraId="1F9242C3" w14:textId="77777777" w:rsidR="00C820C7" w:rsidRPr="00CA28DE" w:rsidRDefault="00C820C7" w:rsidP="00287342">
      <w:pPr>
        <w:pStyle w:val="TOC1"/>
        <w:tabs>
          <w:tab w:val="right" w:leader="dot" w:pos="9350"/>
        </w:tabs>
        <w:spacing w:line="360" w:lineRule="auto"/>
        <w:rPr>
          <w:rFonts w:ascii="Arial" w:eastAsia="SimSun" w:hAnsi="Arial" w:cs="Arial"/>
          <w:noProof/>
        </w:rPr>
      </w:pPr>
      <w:hyperlink w:anchor="_Toc235705561" w:history="1">
        <w:r w:rsidRPr="00CA28DE">
          <w:rPr>
            <w:rStyle w:val="Hyperlink"/>
            <w:rFonts w:ascii="Arial" w:hAnsi="Arial" w:cs="Arial"/>
            <w:noProof/>
          </w:rPr>
          <w:t>5. Evaluation of Partnership Working (PW)</w:t>
        </w:r>
        <w:r w:rsidRPr="00CA28DE">
          <w:rPr>
            <w:rFonts w:ascii="Arial" w:hAnsi="Arial" w:cs="Arial"/>
            <w:noProof/>
            <w:webHidden/>
          </w:rPr>
          <w:tab/>
        </w:r>
        <w:r w:rsidRPr="00CA28DE">
          <w:rPr>
            <w:rFonts w:ascii="Arial" w:hAnsi="Arial" w:cs="Arial"/>
            <w:noProof/>
            <w:webHidden/>
          </w:rPr>
          <w:fldChar w:fldCharType="begin"/>
        </w:r>
        <w:r w:rsidRPr="00CA28DE">
          <w:rPr>
            <w:rFonts w:ascii="Arial" w:hAnsi="Arial" w:cs="Arial"/>
            <w:noProof/>
            <w:webHidden/>
          </w:rPr>
          <w:instrText xml:space="preserve"> PAGEREF _Toc235705561 \h </w:instrText>
        </w:r>
        <w:r w:rsidRPr="00CA28DE">
          <w:rPr>
            <w:rFonts w:ascii="Arial" w:hAnsi="Arial" w:cs="Arial"/>
            <w:noProof/>
            <w:webHidden/>
          </w:rPr>
        </w:r>
        <w:r w:rsidRPr="00CA28DE">
          <w:rPr>
            <w:rFonts w:ascii="Arial" w:hAnsi="Arial" w:cs="Arial"/>
            <w:noProof/>
            <w:webHidden/>
          </w:rPr>
          <w:fldChar w:fldCharType="separate"/>
        </w:r>
        <w:r w:rsidRPr="00CA28DE">
          <w:rPr>
            <w:rFonts w:ascii="Arial" w:hAnsi="Arial" w:cs="Arial"/>
            <w:noProof/>
            <w:webHidden/>
          </w:rPr>
          <w:t>6</w:t>
        </w:r>
        <w:r w:rsidRPr="00CA28DE">
          <w:rPr>
            <w:rFonts w:ascii="Arial" w:hAnsi="Arial" w:cs="Arial"/>
            <w:noProof/>
            <w:webHidden/>
          </w:rPr>
          <w:fldChar w:fldCharType="end"/>
        </w:r>
      </w:hyperlink>
    </w:p>
    <w:p w14:paraId="1F9242C4" w14:textId="77777777" w:rsidR="00C820C7" w:rsidRPr="00CA28DE" w:rsidRDefault="00C820C7" w:rsidP="00287342">
      <w:pPr>
        <w:pStyle w:val="TOC1"/>
        <w:tabs>
          <w:tab w:val="right" w:leader="dot" w:pos="9350"/>
        </w:tabs>
        <w:spacing w:line="360" w:lineRule="auto"/>
        <w:rPr>
          <w:rFonts w:ascii="Arial" w:eastAsia="SimSun" w:hAnsi="Arial" w:cs="Arial"/>
          <w:noProof/>
        </w:rPr>
      </w:pPr>
      <w:hyperlink w:anchor="_Toc235705562" w:history="1">
        <w:r w:rsidRPr="00CA28DE">
          <w:rPr>
            <w:rStyle w:val="Hyperlink"/>
            <w:rFonts w:ascii="Arial" w:hAnsi="Arial" w:cs="Arial"/>
            <w:noProof/>
          </w:rPr>
          <w:t>6. Impact of Current Policy and Legislation</w:t>
        </w:r>
        <w:r w:rsidRPr="00CA28DE">
          <w:rPr>
            <w:rFonts w:ascii="Arial" w:hAnsi="Arial" w:cs="Arial"/>
            <w:noProof/>
            <w:webHidden/>
          </w:rPr>
          <w:tab/>
        </w:r>
        <w:r w:rsidRPr="00CA28DE">
          <w:rPr>
            <w:rFonts w:ascii="Arial" w:hAnsi="Arial" w:cs="Arial"/>
            <w:noProof/>
            <w:webHidden/>
          </w:rPr>
          <w:fldChar w:fldCharType="begin"/>
        </w:r>
        <w:r w:rsidRPr="00CA28DE">
          <w:rPr>
            <w:rFonts w:ascii="Arial" w:hAnsi="Arial" w:cs="Arial"/>
            <w:noProof/>
            <w:webHidden/>
          </w:rPr>
          <w:instrText xml:space="preserve"> PAGEREF _Toc235705562 \h </w:instrText>
        </w:r>
        <w:r w:rsidRPr="00CA28DE">
          <w:rPr>
            <w:rFonts w:ascii="Arial" w:hAnsi="Arial" w:cs="Arial"/>
            <w:noProof/>
            <w:webHidden/>
          </w:rPr>
        </w:r>
        <w:r w:rsidRPr="00CA28DE">
          <w:rPr>
            <w:rFonts w:ascii="Arial" w:hAnsi="Arial" w:cs="Arial"/>
            <w:noProof/>
            <w:webHidden/>
          </w:rPr>
          <w:fldChar w:fldCharType="separate"/>
        </w:r>
        <w:r w:rsidRPr="00CA28DE">
          <w:rPr>
            <w:rFonts w:ascii="Arial" w:hAnsi="Arial" w:cs="Arial"/>
            <w:noProof/>
            <w:webHidden/>
          </w:rPr>
          <w:t>7</w:t>
        </w:r>
        <w:r w:rsidRPr="00CA28DE">
          <w:rPr>
            <w:rFonts w:ascii="Arial" w:hAnsi="Arial" w:cs="Arial"/>
            <w:noProof/>
            <w:webHidden/>
          </w:rPr>
          <w:fldChar w:fldCharType="end"/>
        </w:r>
      </w:hyperlink>
    </w:p>
    <w:p w14:paraId="1F9242C5" w14:textId="77777777" w:rsidR="00C820C7" w:rsidRPr="00CA28DE" w:rsidRDefault="00C820C7" w:rsidP="00287342">
      <w:pPr>
        <w:pStyle w:val="TOC1"/>
        <w:tabs>
          <w:tab w:val="right" w:leader="dot" w:pos="9350"/>
        </w:tabs>
        <w:spacing w:line="360" w:lineRule="auto"/>
        <w:rPr>
          <w:rFonts w:ascii="Arial" w:eastAsia="SimSun" w:hAnsi="Arial" w:cs="Arial"/>
          <w:noProof/>
        </w:rPr>
      </w:pPr>
      <w:hyperlink w:anchor="_Toc235705563" w:history="1">
        <w:r w:rsidRPr="00CA28DE">
          <w:rPr>
            <w:rStyle w:val="Hyperlink"/>
            <w:rFonts w:ascii="Arial" w:hAnsi="Arial" w:cs="Arial"/>
            <w:noProof/>
          </w:rPr>
          <w:t>7. Recommendations for Future Development</w:t>
        </w:r>
        <w:r w:rsidRPr="00CA28DE">
          <w:rPr>
            <w:rFonts w:ascii="Arial" w:hAnsi="Arial" w:cs="Arial"/>
            <w:noProof/>
            <w:webHidden/>
          </w:rPr>
          <w:tab/>
        </w:r>
        <w:r w:rsidRPr="00CA28DE">
          <w:rPr>
            <w:rFonts w:ascii="Arial" w:hAnsi="Arial" w:cs="Arial"/>
            <w:noProof/>
            <w:webHidden/>
          </w:rPr>
          <w:fldChar w:fldCharType="begin"/>
        </w:r>
        <w:r w:rsidRPr="00CA28DE">
          <w:rPr>
            <w:rFonts w:ascii="Arial" w:hAnsi="Arial" w:cs="Arial"/>
            <w:noProof/>
            <w:webHidden/>
          </w:rPr>
          <w:instrText xml:space="preserve"> PAGEREF _Toc235705563 \h </w:instrText>
        </w:r>
        <w:r w:rsidRPr="00CA28DE">
          <w:rPr>
            <w:rFonts w:ascii="Arial" w:hAnsi="Arial" w:cs="Arial"/>
            <w:noProof/>
            <w:webHidden/>
          </w:rPr>
        </w:r>
        <w:r w:rsidRPr="00CA28DE">
          <w:rPr>
            <w:rFonts w:ascii="Arial" w:hAnsi="Arial" w:cs="Arial"/>
            <w:noProof/>
            <w:webHidden/>
          </w:rPr>
          <w:fldChar w:fldCharType="separate"/>
        </w:r>
        <w:r w:rsidRPr="00CA28DE">
          <w:rPr>
            <w:rFonts w:ascii="Arial" w:hAnsi="Arial" w:cs="Arial"/>
            <w:noProof/>
            <w:webHidden/>
          </w:rPr>
          <w:t>8</w:t>
        </w:r>
        <w:r w:rsidRPr="00CA28DE">
          <w:rPr>
            <w:rFonts w:ascii="Arial" w:hAnsi="Arial" w:cs="Arial"/>
            <w:noProof/>
            <w:webHidden/>
          </w:rPr>
          <w:fldChar w:fldCharType="end"/>
        </w:r>
      </w:hyperlink>
    </w:p>
    <w:p w14:paraId="1F9242C6" w14:textId="77777777" w:rsidR="00C820C7" w:rsidRPr="00CA28DE" w:rsidRDefault="00C820C7" w:rsidP="00287342">
      <w:pPr>
        <w:pStyle w:val="TOC1"/>
        <w:tabs>
          <w:tab w:val="right" w:leader="dot" w:pos="9350"/>
        </w:tabs>
        <w:spacing w:line="360" w:lineRule="auto"/>
        <w:rPr>
          <w:rFonts w:ascii="Arial" w:eastAsia="SimSun" w:hAnsi="Arial" w:cs="Arial"/>
          <w:noProof/>
        </w:rPr>
      </w:pPr>
      <w:hyperlink w:anchor="_Toc235705564" w:history="1">
        <w:r w:rsidRPr="00CA28DE">
          <w:rPr>
            <w:rStyle w:val="Hyperlink"/>
            <w:rFonts w:ascii="Arial" w:hAnsi="Arial" w:cs="Arial"/>
            <w:noProof/>
          </w:rPr>
          <w:t>8. Conclusion</w:t>
        </w:r>
        <w:r w:rsidRPr="00CA28DE">
          <w:rPr>
            <w:rFonts w:ascii="Arial" w:hAnsi="Arial" w:cs="Arial"/>
            <w:noProof/>
            <w:webHidden/>
          </w:rPr>
          <w:tab/>
        </w:r>
        <w:r w:rsidRPr="00CA28DE">
          <w:rPr>
            <w:rFonts w:ascii="Arial" w:hAnsi="Arial" w:cs="Arial"/>
            <w:noProof/>
            <w:webHidden/>
          </w:rPr>
          <w:fldChar w:fldCharType="begin"/>
        </w:r>
        <w:r w:rsidRPr="00CA28DE">
          <w:rPr>
            <w:rFonts w:ascii="Arial" w:hAnsi="Arial" w:cs="Arial"/>
            <w:noProof/>
            <w:webHidden/>
          </w:rPr>
          <w:instrText xml:space="preserve"> PAGEREF _Toc235705564 \h </w:instrText>
        </w:r>
        <w:r w:rsidRPr="00CA28DE">
          <w:rPr>
            <w:rFonts w:ascii="Arial" w:hAnsi="Arial" w:cs="Arial"/>
            <w:noProof/>
            <w:webHidden/>
          </w:rPr>
        </w:r>
        <w:r w:rsidRPr="00CA28DE">
          <w:rPr>
            <w:rFonts w:ascii="Arial" w:hAnsi="Arial" w:cs="Arial"/>
            <w:noProof/>
            <w:webHidden/>
          </w:rPr>
          <w:fldChar w:fldCharType="separate"/>
        </w:r>
        <w:r w:rsidRPr="00CA28DE">
          <w:rPr>
            <w:rFonts w:ascii="Arial" w:hAnsi="Arial" w:cs="Arial"/>
            <w:noProof/>
            <w:webHidden/>
          </w:rPr>
          <w:t>9</w:t>
        </w:r>
        <w:r w:rsidRPr="00CA28DE">
          <w:rPr>
            <w:rFonts w:ascii="Arial" w:hAnsi="Arial" w:cs="Arial"/>
            <w:noProof/>
            <w:webHidden/>
          </w:rPr>
          <w:fldChar w:fldCharType="end"/>
        </w:r>
      </w:hyperlink>
    </w:p>
    <w:p w14:paraId="1F9242C7" w14:textId="77777777" w:rsidR="00C820C7" w:rsidRPr="00CA28DE" w:rsidRDefault="00CE0A52" w:rsidP="00287342">
      <w:pPr>
        <w:spacing w:line="360" w:lineRule="auto"/>
        <w:rPr>
          <w:rFonts w:ascii="Arial" w:hAnsi="Arial" w:cs="Arial"/>
        </w:rPr>
      </w:pPr>
      <w:r w:rsidRPr="00CA28DE">
        <w:rPr>
          <w:rFonts w:ascii="Arial" w:hAnsi="Arial" w:cs="Arial"/>
          <w:b/>
          <w:bCs/>
          <w:noProof/>
        </w:rPr>
        <w:fldChar w:fldCharType="end"/>
      </w:r>
    </w:p>
    <w:p w14:paraId="1F9242C8" w14:textId="77777777" w:rsidR="00C820C7" w:rsidRPr="00CA28DE" w:rsidRDefault="00C820C7" w:rsidP="00287342">
      <w:pPr>
        <w:spacing w:line="360" w:lineRule="auto"/>
        <w:rPr>
          <w:rFonts w:ascii="Arial" w:hAnsi="Arial" w:cs="Arial"/>
        </w:rPr>
      </w:pPr>
    </w:p>
    <w:p w14:paraId="1F9242C9" w14:textId="77777777" w:rsidR="00C820C7" w:rsidRPr="00CA28DE" w:rsidRDefault="00C820C7" w:rsidP="00287342">
      <w:pPr>
        <w:spacing w:line="360" w:lineRule="auto"/>
        <w:rPr>
          <w:rFonts w:ascii="Arial" w:hAnsi="Arial" w:cs="Arial"/>
        </w:rPr>
      </w:pPr>
    </w:p>
    <w:p w14:paraId="1F9242CA" w14:textId="77777777" w:rsidR="00C820C7" w:rsidRPr="00CA28DE" w:rsidRDefault="00C820C7" w:rsidP="00287342">
      <w:pPr>
        <w:spacing w:line="360" w:lineRule="auto"/>
        <w:rPr>
          <w:rFonts w:ascii="Arial" w:hAnsi="Arial" w:cs="Arial"/>
        </w:rPr>
      </w:pPr>
    </w:p>
    <w:p w14:paraId="1F9242CB" w14:textId="77777777" w:rsidR="00C820C7" w:rsidRPr="00CA28DE" w:rsidRDefault="00C820C7" w:rsidP="00287342">
      <w:pPr>
        <w:spacing w:line="360" w:lineRule="auto"/>
        <w:rPr>
          <w:rFonts w:ascii="Arial" w:hAnsi="Arial" w:cs="Arial"/>
        </w:rPr>
      </w:pPr>
    </w:p>
    <w:p w14:paraId="1F9242CC" w14:textId="77777777" w:rsidR="00C820C7" w:rsidRPr="00CA28DE" w:rsidRDefault="00C820C7" w:rsidP="00287342">
      <w:pPr>
        <w:spacing w:line="360" w:lineRule="auto"/>
        <w:rPr>
          <w:rFonts w:ascii="Arial" w:hAnsi="Arial" w:cs="Arial"/>
        </w:rPr>
      </w:pPr>
    </w:p>
    <w:p w14:paraId="1F9242CD" w14:textId="77777777" w:rsidR="00C820C7" w:rsidRPr="00CA28DE" w:rsidRDefault="00C820C7" w:rsidP="00287342">
      <w:pPr>
        <w:spacing w:line="360" w:lineRule="auto"/>
        <w:rPr>
          <w:rFonts w:ascii="Arial" w:hAnsi="Arial" w:cs="Arial"/>
        </w:rPr>
      </w:pPr>
    </w:p>
    <w:p w14:paraId="1F9242CE" w14:textId="77777777" w:rsidR="00C820C7" w:rsidRPr="00CA28DE" w:rsidRDefault="00C820C7" w:rsidP="00287342">
      <w:pPr>
        <w:spacing w:line="360" w:lineRule="auto"/>
        <w:rPr>
          <w:rFonts w:ascii="Arial" w:hAnsi="Arial" w:cs="Arial"/>
        </w:rPr>
      </w:pPr>
    </w:p>
    <w:p w14:paraId="1F9242CF" w14:textId="77777777" w:rsidR="00C820C7" w:rsidRPr="00CA28DE" w:rsidRDefault="00C820C7" w:rsidP="00287342">
      <w:pPr>
        <w:spacing w:line="360" w:lineRule="auto"/>
        <w:rPr>
          <w:rFonts w:ascii="Arial" w:hAnsi="Arial" w:cs="Arial"/>
        </w:rPr>
      </w:pPr>
    </w:p>
    <w:p w14:paraId="1F9242D0" w14:textId="77777777" w:rsidR="00C820C7" w:rsidRPr="00CA28DE" w:rsidRDefault="00C820C7" w:rsidP="00287342">
      <w:pPr>
        <w:spacing w:line="360" w:lineRule="auto"/>
        <w:rPr>
          <w:rFonts w:ascii="Arial" w:hAnsi="Arial" w:cs="Arial"/>
        </w:rPr>
      </w:pPr>
    </w:p>
    <w:p w14:paraId="1F9242D1" w14:textId="77777777" w:rsidR="00C820C7" w:rsidRPr="00CA28DE" w:rsidRDefault="00C820C7" w:rsidP="00287342">
      <w:pPr>
        <w:spacing w:line="360" w:lineRule="auto"/>
        <w:rPr>
          <w:rFonts w:ascii="Arial" w:hAnsi="Arial" w:cs="Arial"/>
        </w:rPr>
      </w:pPr>
    </w:p>
    <w:p w14:paraId="1F9242D2" w14:textId="77777777" w:rsidR="00C820C7" w:rsidRPr="00CA28DE" w:rsidRDefault="00C820C7" w:rsidP="00287342">
      <w:pPr>
        <w:spacing w:line="360" w:lineRule="auto"/>
        <w:rPr>
          <w:rFonts w:ascii="Arial" w:hAnsi="Arial" w:cs="Arial"/>
        </w:rPr>
      </w:pPr>
    </w:p>
    <w:p w14:paraId="1F9242D3" w14:textId="77777777" w:rsidR="00C820C7" w:rsidRPr="00CA28DE" w:rsidRDefault="00C820C7" w:rsidP="00287342">
      <w:pPr>
        <w:spacing w:line="360" w:lineRule="auto"/>
        <w:rPr>
          <w:rFonts w:ascii="Arial" w:hAnsi="Arial" w:cs="Arial"/>
        </w:rPr>
      </w:pPr>
    </w:p>
    <w:p w14:paraId="1F9242D4" w14:textId="77777777" w:rsidR="00C820C7" w:rsidRPr="00CA28DE" w:rsidRDefault="00C820C7" w:rsidP="00287342">
      <w:pPr>
        <w:spacing w:line="360" w:lineRule="auto"/>
        <w:rPr>
          <w:rFonts w:ascii="Arial" w:hAnsi="Arial" w:cs="Arial"/>
        </w:rPr>
      </w:pPr>
    </w:p>
    <w:p w14:paraId="1F9242D5" w14:textId="77777777" w:rsidR="00C820C7" w:rsidRPr="00CA28DE" w:rsidRDefault="00C820C7" w:rsidP="00287342">
      <w:pPr>
        <w:spacing w:line="360" w:lineRule="auto"/>
        <w:rPr>
          <w:rFonts w:ascii="Arial" w:hAnsi="Arial" w:cs="Arial"/>
        </w:rPr>
      </w:pPr>
    </w:p>
    <w:p w14:paraId="1F9242D6" w14:textId="77777777" w:rsidR="00C820C7" w:rsidRPr="00CA28DE" w:rsidRDefault="00C820C7" w:rsidP="00287342">
      <w:pPr>
        <w:spacing w:line="360" w:lineRule="auto"/>
        <w:rPr>
          <w:rFonts w:ascii="Arial" w:hAnsi="Arial" w:cs="Arial"/>
        </w:rPr>
      </w:pPr>
    </w:p>
    <w:p w14:paraId="1F9242D7" w14:textId="77777777" w:rsidR="00C820C7" w:rsidRPr="00CA28DE" w:rsidRDefault="00C820C7" w:rsidP="00287342">
      <w:pPr>
        <w:spacing w:line="360" w:lineRule="auto"/>
        <w:rPr>
          <w:rFonts w:ascii="Arial" w:hAnsi="Arial" w:cs="Arial"/>
        </w:rPr>
      </w:pPr>
    </w:p>
    <w:p w14:paraId="1F9242D8" w14:textId="77777777" w:rsidR="00C820C7" w:rsidRPr="00CA28DE" w:rsidRDefault="00C820C7" w:rsidP="00287342">
      <w:pPr>
        <w:spacing w:line="360" w:lineRule="auto"/>
        <w:rPr>
          <w:rFonts w:ascii="Arial" w:hAnsi="Arial" w:cs="Arial"/>
        </w:rPr>
      </w:pPr>
    </w:p>
    <w:p w14:paraId="1F9242D9" w14:textId="77777777" w:rsidR="00C820C7" w:rsidRPr="00E462FE" w:rsidRDefault="00CE0A52" w:rsidP="00287342">
      <w:pPr>
        <w:pStyle w:val="Heading1"/>
        <w:rPr>
          <w:rFonts w:cs="Arial"/>
        </w:rPr>
      </w:pPr>
      <w:bookmarkStart w:id="0" w:name="_Toc235705556"/>
      <w:r w:rsidRPr="00E462FE">
        <w:rPr>
          <w:rFonts w:cs="Arial"/>
        </w:rPr>
        <w:t>Abstract</w:t>
      </w:r>
      <w:bookmarkEnd w:id="0"/>
    </w:p>
    <w:p w14:paraId="1F9242DA" w14:textId="077459C8"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This report critically evaluates the concepts, theoretical frameworks, ethical dimensions, and legislative directs supporting Person-Centred Care (PCC) and Partnership Working (PW) within modern UK health and social care. In this vein focus is directed toward Community Adult Social Care and Integrated Older Adult Services as the chosen practical setting and as well the analysis demonstrates that PCC enhances service user dignity, autonomy, and satisfaction by aligning care delivery with individual needs and</w:t>
      </w:r>
      <w:r w:rsidRPr="00E462FE">
        <w:rPr>
          <w:rFonts w:ascii="Arial" w:hAnsi="Arial" w:cs="Arial"/>
          <w:sz w:val="22"/>
          <w:szCs w:val="22"/>
        </w:rPr>
        <w:t xml:space="preserve"> values. But systemic obstacles such as extreme resource constraints, staff shortages, and entrenched hierarchies within biomedicine often stand in the way of this. Based on McCormack and McCance’s Person-Centred Practice Framework, it explores the balance that needs to be achieved between the prerequisites of the practitioner, the care environment and the relational process.  In addition, the research discusses </w:t>
      </w:r>
      <w:r w:rsidR="005C0746" w:rsidRPr="00E462FE">
        <w:rPr>
          <w:rFonts w:ascii="Arial" w:hAnsi="Arial" w:cs="Arial"/>
          <w:sz w:val="22"/>
          <w:szCs w:val="22"/>
        </w:rPr>
        <w:t>conflicts</w:t>
      </w:r>
      <w:r w:rsidRPr="00E462FE">
        <w:rPr>
          <w:rFonts w:ascii="Arial" w:hAnsi="Arial" w:cs="Arial"/>
          <w:sz w:val="22"/>
          <w:szCs w:val="22"/>
        </w:rPr>
        <w:t xml:space="preserve"> of ethics relating autonomy of the patient versus duty of care of the professional through Beauchamp and Childress’s four principles. The review of the PW demonstrates a range of collaborative benefits of the statutory Integrated Care Systems (ICSs) under the Health and Care Act 2022 and Care Act 2014, as well as obstacles such as interprofessional communication tensions, siloed IT infrastructures, and cultural barriers. In order to close current gaps in implementation, evidence-based guidelines are develo</w:t>
      </w:r>
      <w:r w:rsidRPr="00E462FE">
        <w:rPr>
          <w:rFonts w:ascii="Arial" w:hAnsi="Arial" w:cs="Arial"/>
          <w:sz w:val="22"/>
          <w:szCs w:val="22"/>
        </w:rPr>
        <w:t xml:space="preserve">ped with respect to shared digital record systems, mandatory interprofessional co-production training and the institutionalization of values-based reflective practice. </w:t>
      </w:r>
    </w:p>
    <w:p w14:paraId="1F9242DB" w14:textId="77777777" w:rsidR="00C820C7" w:rsidRPr="00E462FE" w:rsidRDefault="00CE0A52" w:rsidP="00287342">
      <w:pPr>
        <w:pStyle w:val="Heading1"/>
        <w:rPr>
          <w:rFonts w:cs="Arial"/>
          <w:sz w:val="28"/>
          <w:szCs w:val="48"/>
        </w:rPr>
      </w:pPr>
      <w:bookmarkStart w:id="1" w:name="_Toc235705557"/>
      <w:r w:rsidRPr="00E462FE">
        <w:rPr>
          <w:rFonts w:cs="Arial"/>
          <w:sz w:val="28"/>
          <w:szCs w:val="48"/>
        </w:rPr>
        <w:t>1. Introduction</w:t>
      </w:r>
      <w:bookmarkEnd w:id="1"/>
    </w:p>
    <w:p w14:paraId="1F9242DC"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To provide high-quality care in the UK today, health and social care services must work together and keep the person receiving care at the heart of everything they do. The purpose of this report </w:t>
      </w:r>
      <w:r w:rsidRPr="00E462FE">
        <w:rPr>
          <w:rFonts w:ascii="Arial" w:hAnsi="Arial" w:cs="Arial"/>
          <w:sz w:val="22"/>
          <w:szCs w:val="22"/>
        </w:rPr>
        <w:lastRenderedPageBreak/>
        <w:t>is to critically examine the theoretical, practical, ethical, in addition to legislative dimensions of Person-Centred Care (PCC) and Partnership Working (PW).</w:t>
      </w:r>
    </w:p>
    <w:p w14:paraId="1F9242DD"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This report is structured into distinct, rational sections as listed below:</w:t>
      </w:r>
    </w:p>
    <w:p w14:paraId="1F9242DE" w14:textId="77777777" w:rsidR="00C820C7" w:rsidRPr="00E462FE" w:rsidRDefault="00CE0A52" w:rsidP="00BE46BD">
      <w:pPr>
        <w:numPr>
          <w:ilvl w:val="0"/>
          <w:numId w:val="1"/>
        </w:numPr>
        <w:spacing w:line="360" w:lineRule="auto"/>
        <w:jc w:val="both"/>
        <w:rPr>
          <w:rFonts w:ascii="Arial" w:hAnsi="Arial" w:cs="Arial"/>
          <w:sz w:val="22"/>
          <w:szCs w:val="22"/>
        </w:rPr>
      </w:pPr>
      <w:r w:rsidRPr="00E462FE">
        <w:rPr>
          <w:rFonts w:ascii="Arial" w:hAnsi="Arial" w:cs="Arial"/>
          <w:sz w:val="22"/>
          <w:szCs w:val="22"/>
        </w:rPr>
        <w:t>Conceptual definition, benefits, and limitations of PCC.</w:t>
      </w:r>
    </w:p>
    <w:p w14:paraId="1F9242DF" w14:textId="77777777" w:rsidR="00C820C7" w:rsidRPr="00E462FE" w:rsidRDefault="00CE0A52" w:rsidP="00287342">
      <w:pPr>
        <w:numPr>
          <w:ilvl w:val="0"/>
          <w:numId w:val="1"/>
        </w:numPr>
        <w:spacing w:line="360" w:lineRule="auto"/>
        <w:jc w:val="both"/>
        <w:rPr>
          <w:rFonts w:ascii="Arial" w:hAnsi="Arial" w:cs="Arial"/>
          <w:sz w:val="22"/>
          <w:szCs w:val="22"/>
        </w:rPr>
      </w:pPr>
      <w:r w:rsidRPr="00E462FE">
        <w:rPr>
          <w:rFonts w:ascii="Arial" w:hAnsi="Arial" w:cs="Arial"/>
          <w:sz w:val="22"/>
          <w:szCs w:val="22"/>
        </w:rPr>
        <w:t>Critical analysis of theoretical frameworks underpinning PCC.</w:t>
      </w:r>
    </w:p>
    <w:p w14:paraId="1F9242E0" w14:textId="77777777" w:rsidR="00C820C7" w:rsidRPr="00E462FE" w:rsidRDefault="00CE0A52" w:rsidP="00287342">
      <w:pPr>
        <w:numPr>
          <w:ilvl w:val="0"/>
          <w:numId w:val="1"/>
        </w:numPr>
        <w:spacing w:line="360" w:lineRule="auto"/>
        <w:jc w:val="both"/>
        <w:rPr>
          <w:rFonts w:ascii="Arial" w:hAnsi="Arial" w:cs="Arial"/>
          <w:sz w:val="22"/>
          <w:szCs w:val="22"/>
        </w:rPr>
      </w:pPr>
      <w:r w:rsidRPr="00E462FE">
        <w:rPr>
          <w:rFonts w:ascii="Arial" w:hAnsi="Arial" w:cs="Arial"/>
          <w:sz w:val="22"/>
          <w:szCs w:val="22"/>
        </w:rPr>
        <w:t>Ethical considerations and decision-making dilemmas in practice.</w:t>
      </w:r>
    </w:p>
    <w:p w14:paraId="1F9242E1" w14:textId="77777777" w:rsidR="00C820C7" w:rsidRPr="00E462FE" w:rsidRDefault="00CE0A52" w:rsidP="00287342">
      <w:pPr>
        <w:numPr>
          <w:ilvl w:val="0"/>
          <w:numId w:val="1"/>
        </w:numPr>
        <w:spacing w:line="360" w:lineRule="auto"/>
        <w:jc w:val="both"/>
        <w:rPr>
          <w:rFonts w:ascii="Arial" w:hAnsi="Arial" w:cs="Arial"/>
          <w:sz w:val="22"/>
          <w:szCs w:val="22"/>
        </w:rPr>
      </w:pPr>
      <w:r w:rsidRPr="00E462FE">
        <w:rPr>
          <w:rFonts w:ascii="Arial" w:hAnsi="Arial" w:cs="Arial"/>
          <w:sz w:val="22"/>
          <w:szCs w:val="22"/>
        </w:rPr>
        <w:t>Evaluation of PW, its benefits, and systemic challenges.</w:t>
      </w:r>
    </w:p>
    <w:p w14:paraId="1F9242E2" w14:textId="77777777" w:rsidR="00C820C7" w:rsidRPr="00E462FE" w:rsidRDefault="00CE0A52" w:rsidP="00287342">
      <w:pPr>
        <w:numPr>
          <w:ilvl w:val="0"/>
          <w:numId w:val="1"/>
        </w:numPr>
        <w:spacing w:line="360" w:lineRule="auto"/>
        <w:jc w:val="both"/>
        <w:rPr>
          <w:rFonts w:ascii="Arial" w:hAnsi="Arial" w:cs="Arial"/>
          <w:sz w:val="22"/>
          <w:szCs w:val="22"/>
        </w:rPr>
      </w:pPr>
      <w:r w:rsidRPr="00E462FE">
        <w:rPr>
          <w:rFonts w:ascii="Arial" w:hAnsi="Arial" w:cs="Arial"/>
          <w:sz w:val="22"/>
          <w:szCs w:val="22"/>
        </w:rPr>
        <w:t xml:space="preserve">Impact </w:t>
      </w:r>
      <w:proofErr w:type="gramStart"/>
      <w:r w:rsidRPr="00E462FE">
        <w:rPr>
          <w:rFonts w:ascii="Arial" w:hAnsi="Arial" w:cs="Arial"/>
          <w:sz w:val="22"/>
          <w:szCs w:val="22"/>
        </w:rPr>
        <w:t>of</w:t>
      </w:r>
      <w:proofErr w:type="gramEnd"/>
      <w:r w:rsidRPr="00E462FE">
        <w:rPr>
          <w:rFonts w:ascii="Arial" w:hAnsi="Arial" w:cs="Arial"/>
          <w:sz w:val="22"/>
          <w:szCs w:val="22"/>
        </w:rPr>
        <w:t xml:space="preserve"> current UK policy and legislation.</w:t>
      </w:r>
    </w:p>
    <w:p w14:paraId="1F9242E3" w14:textId="77777777" w:rsidR="00C820C7" w:rsidRPr="00E462FE" w:rsidRDefault="00CE0A52" w:rsidP="00287342">
      <w:pPr>
        <w:numPr>
          <w:ilvl w:val="0"/>
          <w:numId w:val="1"/>
        </w:numPr>
        <w:spacing w:line="360" w:lineRule="auto"/>
        <w:jc w:val="both"/>
        <w:rPr>
          <w:rFonts w:ascii="Arial" w:hAnsi="Arial" w:cs="Arial"/>
          <w:sz w:val="22"/>
          <w:szCs w:val="22"/>
        </w:rPr>
      </w:pPr>
      <w:r w:rsidRPr="00E462FE">
        <w:rPr>
          <w:rFonts w:ascii="Arial" w:hAnsi="Arial" w:cs="Arial"/>
          <w:sz w:val="22"/>
          <w:szCs w:val="22"/>
        </w:rPr>
        <w:t>Strategic recommendations for future development.</w:t>
      </w:r>
    </w:p>
    <w:p w14:paraId="1F9242E4" w14:textId="77777777" w:rsidR="00C820C7" w:rsidRPr="00E462FE" w:rsidRDefault="00CE0A52" w:rsidP="00287342">
      <w:pPr>
        <w:numPr>
          <w:ilvl w:val="0"/>
          <w:numId w:val="1"/>
        </w:numPr>
        <w:spacing w:line="360" w:lineRule="auto"/>
        <w:jc w:val="both"/>
        <w:rPr>
          <w:rFonts w:ascii="Arial" w:hAnsi="Arial" w:cs="Arial"/>
          <w:sz w:val="22"/>
          <w:szCs w:val="22"/>
        </w:rPr>
      </w:pPr>
      <w:r w:rsidRPr="00E462FE">
        <w:rPr>
          <w:rFonts w:ascii="Arial" w:hAnsi="Arial" w:cs="Arial"/>
          <w:sz w:val="22"/>
          <w:szCs w:val="22"/>
        </w:rPr>
        <w:t>Concluding synthesis of key findings.</w:t>
      </w:r>
    </w:p>
    <w:p w14:paraId="1F9242E5" w14:textId="2DA9BEA4"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To what extent theoretical and legislative ideas about Wales are applied in practice, this report concentrates on the Community Adult Social Care and the Integrated Older Adult Services. This is the context-a setting a vital point of interface among health care providers, social care professionals, local governments, and family caregivers for meeting </w:t>
      </w:r>
      <w:r w:rsidR="00A2047E" w:rsidRPr="00E462FE">
        <w:rPr>
          <w:rFonts w:ascii="Arial" w:hAnsi="Arial" w:cs="Arial"/>
          <w:sz w:val="22"/>
          <w:szCs w:val="22"/>
        </w:rPr>
        <w:t>complex,</w:t>
      </w:r>
      <w:r w:rsidRPr="00E462FE">
        <w:rPr>
          <w:rFonts w:ascii="Arial" w:hAnsi="Arial" w:cs="Arial"/>
          <w:sz w:val="22"/>
          <w:szCs w:val="22"/>
        </w:rPr>
        <w:t xml:space="preserve"> long - term health and social needs.</w:t>
      </w:r>
    </w:p>
    <w:p w14:paraId="1F9242E6" w14:textId="77777777" w:rsidR="00C820C7" w:rsidRPr="00E462FE" w:rsidRDefault="00CE0A52" w:rsidP="00287342">
      <w:pPr>
        <w:pStyle w:val="Heading1"/>
        <w:rPr>
          <w:rFonts w:cs="Arial"/>
          <w:sz w:val="28"/>
          <w:szCs w:val="48"/>
        </w:rPr>
      </w:pPr>
      <w:bookmarkStart w:id="2" w:name="_Toc235705558"/>
      <w:r w:rsidRPr="00E462FE">
        <w:rPr>
          <w:rFonts w:cs="Arial"/>
          <w:sz w:val="28"/>
          <w:szCs w:val="48"/>
        </w:rPr>
        <w:t>2. Definition, Benefits, and Limitations of Person-Centred Care (PCC)</w:t>
      </w:r>
      <w:bookmarkEnd w:id="2"/>
    </w:p>
    <w:p w14:paraId="1F9242E7"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Person-Centred Care (PCC) is an approach to healthcare and social support that treats individuals as equal partners in planning, developing, and monitoring their care to ensure it meets their specific needs, values, and preferences (Coulter and Oldham, 2016). Stepping away from traditional biomedical paradigms which rendered service users as passive recipients of clinical interventions or diagnostics, PCC accounts for the personhood, personal life history, emotional state and social situation of service use</w:t>
      </w:r>
      <w:r w:rsidRPr="00E462FE">
        <w:rPr>
          <w:rFonts w:ascii="Arial" w:hAnsi="Arial" w:cs="Arial"/>
          <w:sz w:val="22"/>
          <w:szCs w:val="22"/>
        </w:rPr>
        <w:t xml:space="preserve">rs (Ahmed, van den Muijsenbergh and Vrijhoef, 2022). </w:t>
      </w:r>
    </w:p>
    <w:p w14:paraId="1F9242E8"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In the context of Community Adult Social Care, the implementation of PCC offers profound benefits which are as follows:</w:t>
      </w:r>
    </w:p>
    <w:p w14:paraId="1F9242E9" w14:textId="77777777" w:rsidR="00C820C7" w:rsidRPr="00E462FE" w:rsidRDefault="00CE0A52" w:rsidP="00287342">
      <w:pPr>
        <w:numPr>
          <w:ilvl w:val="0"/>
          <w:numId w:val="16"/>
        </w:numPr>
        <w:spacing w:line="360" w:lineRule="auto"/>
        <w:jc w:val="both"/>
        <w:rPr>
          <w:rFonts w:ascii="Arial" w:hAnsi="Arial" w:cs="Arial"/>
          <w:sz w:val="22"/>
          <w:szCs w:val="22"/>
        </w:rPr>
      </w:pPr>
      <w:r w:rsidRPr="00E462FE">
        <w:rPr>
          <w:rFonts w:ascii="Arial" w:hAnsi="Arial" w:cs="Arial"/>
          <w:b/>
          <w:bCs/>
          <w:sz w:val="22"/>
          <w:szCs w:val="22"/>
        </w:rPr>
        <w:t>Improved Patient Satisfaction and Well-being:</w:t>
      </w:r>
      <w:r w:rsidRPr="00E462FE">
        <w:rPr>
          <w:rFonts w:ascii="Arial" w:hAnsi="Arial" w:cs="Arial"/>
          <w:sz w:val="22"/>
          <w:szCs w:val="22"/>
        </w:rPr>
        <w:t xml:space="preserve"> Aligning care plans with what matters most to service users such as maintaining independent living or preserving personal routines significantly boosts service user satisfaction and psychological well-being (Ahmed, van den Muijsenbergh and Vrijhoef, 2022).</w:t>
      </w:r>
    </w:p>
    <w:p w14:paraId="1F9242EA" w14:textId="77777777" w:rsidR="00C820C7" w:rsidRPr="00E462FE" w:rsidRDefault="00CE0A52" w:rsidP="00287342">
      <w:pPr>
        <w:numPr>
          <w:ilvl w:val="0"/>
          <w:numId w:val="16"/>
        </w:numPr>
        <w:spacing w:line="360" w:lineRule="auto"/>
        <w:jc w:val="both"/>
        <w:rPr>
          <w:rFonts w:ascii="Arial" w:hAnsi="Arial" w:cs="Arial"/>
          <w:sz w:val="22"/>
          <w:szCs w:val="22"/>
        </w:rPr>
      </w:pPr>
      <w:r w:rsidRPr="00E462FE">
        <w:rPr>
          <w:rFonts w:ascii="Arial" w:hAnsi="Arial" w:cs="Arial"/>
          <w:b/>
          <w:bCs/>
          <w:sz w:val="22"/>
          <w:szCs w:val="22"/>
        </w:rPr>
        <w:lastRenderedPageBreak/>
        <w:t>Enhanced Clinical and Social Outcomes:</w:t>
      </w:r>
      <w:r w:rsidRPr="00E462FE">
        <w:rPr>
          <w:rFonts w:ascii="Arial" w:hAnsi="Arial" w:cs="Arial"/>
          <w:sz w:val="22"/>
          <w:szCs w:val="22"/>
        </w:rPr>
        <w:t xml:space="preserve"> Active participation in health management fosters better adherence to care plans and self-management strategies, reducing avoidable hospital admissions (Ahmed, van den Muijsenbergh and Vrijhoef, 2022).</w:t>
      </w:r>
    </w:p>
    <w:p w14:paraId="1F9242EB" w14:textId="77777777" w:rsidR="00C820C7" w:rsidRPr="00E462FE" w:rsidRDefault="00CE0A52" w:rsidP="00287342">
      <w:pPr>
        <w:numPr>
          <w:ilvl w:val="0"/>
          <w:numId w:val="16"/>
        </w:numPr>
        <w:spacing w:line="360" w:lineRule="auto"/>
        <w:jc w:val="both"/>
        <w:rPr>
          <w:rFonts w:ascii="Arial" w:hAnsi="Arial" w:cs="Arial"/>
          <w:sz w:val="22"/>
          <w:szCs w:val="22"/>
        </w:rPr>
      </w:pPr>
      <w:r w:rsidRPr="00E462FE">
        <w:rPr>
          <w:rFonts w:ascii="Arial" w:hAnsi="Arial" w:cs="Arial"/>
          <w:b/>
          <w:bCs/>
          <w:sz w:val="22"/>
          <w:szCs w:val="22"/>
        </w:rPr>
        <w:t>Empowerment and Rights-Based Practice:</w:t>
      </w:r>
      <w:r w:rsidRPr="00E462FE">
        <w:rPr>
          <w:rFonts w:ascii="Arial" w:hAnsi="Arial" w:cs="Arial"/>
          <w:sz w:val="22"/>
          <w:szCs w:val="22"/>
        </w:rPr>
        <w:t xml:space="preserve"> PCC upholds individual dignity and choice, restoring autonomy to vulnerable older adults who might otherwise feel disempowered within institutional systems (McCormack and McCance, 2006).</w:t>
      </w:r>
    </w:p>
    <w:p w14:paraId="1F9242EC"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Despite these clear advantages, practical implementation faces severe limitations:</w:t>
      </w:r>
    </w:p>
    <w:p w14:paraId="1F9242ED" w14:textId="77777777" w:rsidR="00C820C7" w:rsidRPr="00E462FE" w:rsidRDefault="00CE0A52" w:rsidP="00287342">
      <w:pPr>
        <w:numPr>
          <w:ilvl w:val="0"/>
          <w:numId w:val="17"/>
        </w:numPr>
        <w:spacing w:line="360" w:lineRule="auto"/>
        <w:jc w:val="both"/>
        <w:rPr>
          <w:rFonts w:ascii="Arial" w:hAnsi="Arial" w:cs="Arial"/>
          <w:sz w:val="22"/>
          <w:szCs w:val="22"/>
        </w:rPr>
      </w:pPr>
      <w:r w:rsidRPr="00E462FE">
        <w:rPr>
          <w:rFonts w:ascii="Arial" w:hAnsi="Arial" w:cs="Arial"/>
          <w:b/>
          <w:bCs/>
          <w:sz w:val="22"/>
          <w:szCs w:val="22"/>
        </w:rPr>
        <w:t>Resource and Time Constraints:</w:t>
      </w:r>
      <w:r w:rsidRPr="00E462FE">
        <w:rPr>
          <w:rFonts w:ascii="Arial" w:hAnsi="Arial" w:cs="Arial"/>
          <w:sz w:val="22"/>
          <w:szCs w:val="22"/>
        </w:rPr>
        <w:t xml:space="preserve"> Community care staff frequently experience heavy caseloads and strict time allocations per visit, restricting their ability to build meaningful, therapeutic relationships (Ahmed, van den Muijsenbergh and Vrijhoef, 2022).</w:t>
      </w:r>
    </w:p>
    <w:p w14:paraId="1F9242EE" w14:textId="77777777" w:rsidR="00C820C7" w:rsidRPr="00E462FE" w:rsidRDefault="00CE0A52" w:rsidP="00287342">
      <w:pPr>
        <w:numPr>
          <w:ilvl w:val="0"/>
          <w:numId w:val="17"/>
        </w:numPr>
        <w:spacing w:line="360" w:lineRule="auto"/>
        <w:jc w:val="both"/>
        <w:rPr>
          <w:rFonts w:ascii="Arial" w:hAnsi="Arial" w:cs="Arial"/>
          <w:sz w:val="22"/>
          <w:szCs w:val="22"/>
        </w:rPr>
      </w:pPr>
      <w:r w:rsidRPr="00E462FE">
        <w:rPr>
          <w:rFonts w:ascii="Arial" w:hAnsi="Arial" w:cs="Arial"/>
          <w:b/>
          <w:bCs/>
          <w:sz w:val="22"/>
          <w:szCs w:val="22"/>
        </w:rPr>
        <w:t>Entrenched Biomedical Hierarchies:</w:t>
      </w:r>
      <w:r w:rsidRPr="00E462FE">
        <w:rPr>
          <w:rFonts w:ascii="Arial" w:hAnsi="Arial" w:cs="Arial"/>
          <w:sz w:val="22"/>
          <w:szCs w:val="22"/>
        </w:rPr>
        <w:t xml:space="preserve"> Dominant task-oriented, medicalised models of care prioritize task completion (such as medication administration or physical hygiene) over holistic, relational engagement (McCormack and McCance, 2006).</w:t>
      </w:r>
    </w:p>
    <w:p w14:paraId="1F9242EF" w14:textId="77777777" w:rsidR="00C820C7" w:rsidRPr="00E462FE" w:rsidRDefault="00CE0A52" w:rsidP="00287342">
      <w:pPr>
        <w:numPr>
          <w:ilvl w:val="0"/>
          <w:numId w:val="17"/>
        </w:numPr>
        <w:spacing w:line="360" w:lineRule="auto"/>
        <w:jc w:val="both"/>
        <w:rPr>
          <w:rFonts w:ascii="Arial" w:hAnsi="Arial" w:cs="Arial"/>
          <w:sz w:val="22"/>
          <w:szCs w:val="22"/>
        </w:rPr>
      </w:pPr>
      <w:r w:rsidRPr="00E462FE">
        <w:rPr>
          <w:rFonts w:ascii="Arial" w:hAnsi="Arial" w:cs="Arial"/>
          <w:b/>
          <w:bCs/>
          <w:sz w:val="22"/>
          <w:szCs w:val="22"/>
        </w:rPr>
        <w:t>Resistance to Change:</w:t>
      </w:r>
      <w:r w:rsidRPr="00E462FE">
        <w:rPr>
          <w:rFonts w:ascii="Arial" w:hAnsi="Arial" w:cs="Arial"/>
          <w:sz w:val="22"/>
          <w:szCs w:val="22"/>
        </w:rPr>
        <w:t xml:space="preserve"> Institutional inertia and varying levels of staff readiness can lead to inconsistent application across community care teams (Ahmed, van den Muijsenbergh and Vrijhoef, 2022).</w:t>
      </w:r>
    </w:p>
    <w:p w14:paraId="1F9242F0" w14:textId="77777777" w:rsidR="00C820C7" w:rsidRPr="00E462FE" w:rsidRDefault="00CE0A52" w:rsidP="00287342">
      <w:pPr>
        <w:pStyle w:val="Heading1"/>
        <w:rPr>
          <w:rFonts w:cs="Arial"/>
          <w:sz w:val="28"/>
          <w:szCs w:val="48"/>
        </w:rPr>
      </w:pPr>
      <w:bookmarkStart w:id="3" w:name="_Toc235705559"/>
      <w:r w:rsidRPr="00E462FE">
        <w:rPr>
          <w:rFonts w:cs="Arial"/>
          <w:sz w:val="28"/>
          <w:szCs w:val="48"/>
        </w:rPr>
        <w:t>3. Relevant Theoretical Frameworks Underpinning PCC</w:t>
      </w:r>
      <w:bookmarkEnd w:id="3"/>
    </w:p>
    <w:p w14:paraId="1F9242F1" w14:textId="63E95FD1" w:rsidR="00C820C7" w:rsidRPr="00E462FE" w:rsidRDefault="008D1CB7" w:rsidP="00287342">
      <w:pPr>
        <w:spacing w:line="360" w:lineRule="auto"/>
        <w:jc w:val="both"/>
        <w:rPr>
          <w:rFonts w:ascii="Arial" w:hAnsi="Arial" w:cs="Arial"/>
          <w:sz w:val="22"/>
          <w:szCs w:val="22"/>
        </w:rPr>
      </w:pPr>
      <w:r w:rsidRPr="00E462FE">
        <w:rPr>
          <w:rFonts w:ascii="Arial" w:hAnsi="Arial" w:cs="Arial"/>
          <w:sz w:val="22"/>
          <w:szCs w:val="22"/>
        </w:rPr>
        <w:t xml:space="preserve">To translate PCC from a theoretical notion into a </w:t>
      </w:r>
      <w:proofErr w:type="gramStart"/>
      <w:r w:rsidRPr="00E462FE">
        <w:rPr>
          <w:rFonts w:ascii="Arial" w:hAnsi="Arial" w:cs="Arial"/>
          <w:sz w:val="22"/>
          <w:szCs w:val="22"/>
        </w:rPr>
        <w:t>real world</w:t>
      </w:r>
      <w:proofErr w:type="gramEnd"/>
      <w:r w:rsidRPr="00E462FE">
        <w:rPr>
          <w:rFonts w:ascii="Arial" w:hAnsi="Arial" w:cs="Arial"/>
          <w:sz w:val="22"/>
          <w:szCs w:val="22"/>
        </w:rPr>
        <w:t xml:space="preserve"> activity, it needs to be underpinned by relevant theories. One of the key models informing PCC is McCormack and McCance's Person-Centred Practice Framework (McCormack and McCance, 2006). </w:t>
      </w:r>
    </w:p>
    <w:p w14:paraId="1F9242F2"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Below is the Person-Centred Practice Framework converted into a clear table:</w:t>
      </w:r>
    </w:p>
    <w:tbl>
      <w:tblPr>
        <w:tblStyle w:val="PlainTable11"/>
        <w:tblW w:w="0" w:type="auto"/>
        <w:tblLook w:val="04A0" w:firstRow="1" w:lastRow="0" w:firstColumn="1" w:lastColumn="0" w:noHBand="0" w:noVBand="1"/>
      </w:tblPr>
      <w:tblGrid>
        <w:gridCol w:w="3235"/>
        <w:gridCol w:w="6115"/>
      </w:tblGrid>
      <w:tr w:rsidR="00C820C7" w:rsidRPr="00E462FE" w14:paraId="1F9242F5" w14:textId="77777777" w:rsidTr="00C820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hideMark/>
          </w:tcPr>
          <w:p w14:paraId="1F9242F3" w14:textId="77777777" w:rsidR="00C820C7" w:rsidRPr="00E462FE" w:rsidRDefault="00CE0A52" w:rsidP="00287342">
            <w:pPr>
              <w:spacing w:after="160" w:line="360" w:lineRule="auto"/>
              <w:jc w:val="both"/>
              <w:rPr>
                <w:rFonts w:ascii="Arial" w:hAnsi="Arial" w:cs="Arial"/>
                <w:sz w:val="22"/>
                <w:szCs w:val="22"/>
              </w:rPr>
            </w:pPr>
            <w:r w:rsidRPr="00E462FE">
              <w:rPr>
                <w:rFonts w:ascii="Arial" w:hAnsi="Arial" w:cs="Arial"/>
                <w:sz w:val="22"/>
                <w:szCs w:val="22"/>
              </w:rPr>
              <w:t>Framework</w:t>
            </w:r>
          </w:p>
        </w:tc>
        <w:tc>
          <w:tcPr>
            <w:tcW w:w="6115" w:type="dxa"/>
            <w:hideMark/>
          </w:tcPr>
          <w:p w14:paraId="1F9242F4" w14:textId="77777777" w:rsidR="00C820C7" w:rsidRPr="00E462FE" w:rsidRDefault="00CE0A52" w:rsidP="0028734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E462FE">
              <w:rPr>
                <w:rFonts w:ascii="Arial" w:hAnsi="Arial" w:cs="Arial"/>
                <w:sz w:val="22"/>
                <w:szCs w:val="22"/>
              </w:rPr>
              <w:t>Key Attributes &amp; Focus</w:t>
            </w:r>
          </w:p>
        </w:tc>
      </w:tr>
      <w:tr w:rsidR="00C820C7" w:rsidRPr="00E462FE" w14:paraId="1F9242F8" w14:textId="77777777" w:rsidTr="00C82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hideMark/>
          </w:tcPr>
          <w:p w14:paraId="1F9242F6" w14:textId="77777777" w:rsidR="00C820C7" w:rsidRPr="00E462FE" w:rsidRDefault="00CE0A52" w:rsidP="00287342">
            <w:pPr>
              <w:spacing w:after="160" w:line="360" w:lineRule="auto"/>
              <w:jc w:val="both"/>
              <w:rPr>
                <w:rFonts w:ascii="Arial" w:hAnsi="Arial" w:cs="Arial"/>
                <w:sz w:val="22"/>
                <w:szCs w:val="22"/>
              </w:rPr>
            </w:pPr>
            <w:r w:rsidRPr="00E462FE">
              <w:rPr>
                <w:rFonts w:ascii="Arial" w:hAnsi="Arial" w:cs="Arial"/>
                <w:sz w:val="22"/>
                <w:szCs w:val="22"/>
              </w:rPr>
              <w:t>Prerequisites</w:t>
            </w:r>
          </w:p>
        </w:tc>
        <w:tc>
          <w:tcPr>
            <w:tcW w:w="6115" w:type="dxa"/>
            <w:hideMark/>
          </w:tcPr>
          <w:p w14:paraId="1F9242F7" w14:textId="77777777" w:rsidR="00C820C7" w:rsidRPr="00E462FE" w:rsidRDefault="00CE0A52" w:rsidP="0028734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462FE">
              <w:rPr>
                <w:rFonts w:ascii="Arial" w:hAnsi="Arial" w:cs="Arial"/>
                <w:sz w:val="22"/>
                <w:szCs w:val="22"/>
              </w:rPr>
              <w:t>Professional competence, interpersonal skills, clarity of values, and self-awareness</w:t>
            </w:r>
          </w:p>
        </w:tc>
      </w:tr>
      <w:tr w:rsidR="00C820C7" w:rsidRPr="00E462FE" w14:paraId="1F9242FB" w14:textId="77777777" w:rsidTr="00C820C7">
        <w:tc>
          <w:tcPr>
            <w:cnfStyle w:val="001000000000" w:firstRow="0" w:lastRow="0" w:firstColumn="1" w:lastColumn="0" w:oddVBand="0" w:evenVBand="0" w:oddHBand="0" w:evenHBand="0" w:firstRowFirstColumn="0" w:firstRowLastColumn="0" w:lastRowFirstColumn="0" w:lastRowLastColumn="0"/>
            <w:tcW w:w="3235" w:type="dxa"/>
            <w:hideMark/>
          </w:tcPr>
          <w:p w14:paraId="1F9242F9" w14:textId="77777777" w:rsidR="00C820C7" w:rsidRPr="00E462FE" w:rsidRDefault="00CE0A52" w:rsidP="00287342">
            <w:pPr>
              <w:spacing w:after="160" w:line="360" w:lineRule="auto"/>
              <w:jc w:val="both"/>
              <w:rPr>
                <w:rFonts w:ascii="Arial" w:hAnsi="Arial" w:cs="Arial"/>
                <w:sz w:val="22"/>
                <w:szCs w:val="22"/>
              </w:rPr>
            </w:pPr>
            <w:r w:rsidRPr="00E462FE">
              <w:rPr>
                <w:rFonts w:ascii="Arial" w:hAnsi="Arial" w:cs="Arial"/>
                <w:sz w:val="22"/>
                <w:szCs w:val="22"/>
              </w:rPr>
              <w:t>Care Environment</w:t>
            </w:r>
          </w:p>
        </w:tc>
        <w:tc>
          <w:tcPr>
            <w:tcW w:w="6115" w:type="dxa"/>
            <w:hideMark/>
          </w:tcPr>
          <w:p w14:paraId="1F9242FA" w14:textId="77777777" w:rsidR="00C820C7" w:rsidRPr="00E462FE" w:rsidRDefault="00CE0A52" w:rsidP="0028734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462FE">
              <w:rPr>
                <w:rFonts w:ascii="Arial" w:hAnsi="Arial" w:cs="Arial"/>
                <w:sz w:val="22"/>
                <w:szCs w:val="22"/>
              </w:rPr>
              <w:t>Skill mix, shared decision-making systems, power sharing, and supportive organizational context</w:t>
            </w:r>
          </w:p>
        </w:tc>
      </w:tr>
      <w:tr w:rsidR="00C820C7" w:rsidRPr="00E462FE" w14:paraId="1F9242FE" w14:textId="77777777" w:rsidTr="00C82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hideMark/>
          </w:tcPr>
          <w:p w14:paraId="1F9242FC" w14:textId="77777777" w:rsidR="00C820C7" w:rsidRPr="00E462FE" w:rsidRDefault="00CE0A52" w:rsidP="00287342">
            <w:pPr>
              <w:spacing w:after="160" w:line="360" w:lineRule="auto"/>
              <w:jc w:val="both"/>
              <w:rPr>
                <w:rFonts w:ascii="Arial" w:hAnsi="Arial" w:cs="Arial"/>
                <w:sz w:val="22"/>
                <w:szCs w:val="22"/>
              </w:rPr>
            </w:pPr>
            <w:r w:rsidRPr="00E462FE">
              <w:rPr>
                <w:rFonts w:ascii="Arial" w:hAnsi="Arial" w:cs="Arial"/>
                <w:sz w:val="22"/>
                <w:szCs w:val="22"/>
              </w:rPr>
              <w:t>Person-Centred Processes</w:t>
            </w:r>
          </w:p>
        </w:tc>
        <w:tc>
          <w:tcPr>
            <w:tcW w:w="6115" w:type="dxa"/>
            <w:hideMark/>
          </w:tcPr>
          <w:p w14:paraId="1F9242FD" w14:textId="77777777" w:rsidR="00C820C7" w:rsidRPr="00E462FE" w:rsidRDefault="00CE0A52" w:rsidP="0028734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462FE">
              <w:rPr>
                <w:rFonts w:ascii="Arial" w:hAnsi="Arial" w:cs="Arial"/>
                <w:sz w:val="22"/>
                <w:szCs w:val="22"/>
              </w:rPr>
              <w:t>Authentic engagement, sympathetic presence, holistic care delivery, and shared decision-making</w:t>
            </w:r>
          </w:p>
        </w:tc>
      </w:tr>
      <w:tr w:rsidR="00C820C7" w:rsidRPr="00E462FE" w14:paraId="1F924301" w14:textId="77777777" w:rsidTr="00C820C7">
        <w:tc>
          <w:tcPr>
            <w:cnfStyle w:val="001000000000" w:firstRow="0" w:lastRow="0" w:firstColumn="1" w:lastColumn="0" w:oddVBand="0" w:evenVBand="0" w:oddHBand="0" w:evenHBand="0" w:firstRowFirstColumn="0" w:firstRowLastColumn="0" w:lastRowFirstColumn="0" w:lastRowLastColumn="0"/>
            <w:tcW w:w="3235" w:type="dxa"/>
            <w:hideMark/>
          </w:tcPr>
          <w:p w14:paraId="1F9242FF" w14:textId="77777777" w:rsidR="00C820C7" w:rsidRPr="00E462FE" w:rsidRDefault="00CE0A52" w:rsidP="00287342">
            <w:pPr>
              <w:spacing w:after="160" w:line="360" w:lineRule="auto"/>
              <w:jc w:val="both"/>
              <w:rPr>
                <w:rFonts w:ascii="Arial" w:hAnsi="Arial" w:cs="Arial"/>
                <w:sz w:val="22"/>
                <w:szCs w:val="22"/>
              </w:rPr>
            </w:pPr>
            <w:r w:rsidRPr="00E462FE">
              <w:rPr>
                <w:rFonts w:ascii="Arial" w:hAnsi="Arial" w:cs="Arial"/>
                <w:sz w:val="22"/>
                <w:szCs w:val="22"/>
              </w:rPr>
              <w:lastRenderedPageBreak/>
              <w:t>Person-Centred Outcomes</w:t>
            </w:r>
          </w:p>
        </w:tc>
        <w:tc>
          <w:tcPr>
            <w:tcW w:w="6115" w:type="dxa"/>
            <w:hideMark/>
          </w:tcPr>
          <w:p w14:paraId="1F924300" w14:textId="77777777" w:rsidR="00C820C7" w:rsidRPr="00E462FE" w:rsidRDefault="00CE0A52" w:rsidP="0028734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462FE">
              <w:rPr>
                <w:rFonts w:ascii="Arial" w:hAnsi="Arial" w:cs="Arial"/>
                <w:sz w:val="22"/>
                <w:szCs w:val="22"/>
              </w:rPr>
              <w:t>Service user satisfaction, active involvement in care, and enhanced sense of well-being</w:t>
            </w:r>
          </w:p>
        </w:tc>
      </w:tr>
    </w:tbl>
    <w:p w14:paraId="1F924302" w14:textId="77777777" w:rsidR="00C820C7" w:rsidRPr="00E462FE" w:rsidRDefault="00C820C7" w:rsidP="00287342">
      <w:pPr>
        <w:spacing w:line="360" w:lineRule="auto"/>
        <w:jc w:val="both"/>
        <w:rPr>
          <w:rFonts w:ascii="Arial" w:hAnsi="Arial" w:cs="Arial"/>
          <w:sz w:val="22"/>
          <w:szCs w:val="22"/>
        </w:rPr>
      </w:pPr>
    </w:p>
    <w:p w14:paraId="1F924303" w14:textId="0B5F34DB"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The Person-Centred Practice Framework comprises </w:t>
      </w:r>
      <w:r w:rsidR="0024258E" w:rsidRPr="00E462FE">
        <w:rPr>
          <w:rFonts w:ascii="Arial" w:hAnsi="Arial" w:cs="Arial"/>
          <w:sz w:val="22"/>
          <w:szCs w:val="22"/>
        </w:rPr>
        <w:t>four</w:t>
      </w:r>
      <w:r w:rsidRPr="00E462FE">
        <w:rPr>
          <w:rFonts w:ascii="Arial" w:hAnsi="Arial" w:cs="Arial"/>
          <w:sz w:val="22"/>
          <w:szCs w:val="22"/>
        </w:rPr>
        <w:t xml:space="preserve"> interconnected domains (McCormack and McCance, 2006) which are further examined as follows:</w:t>
      </w:r>
    </w:p>
    <w:p w14:paraId="1F924304" w14:textId="77777777" w:rsidR="00C820C7" w:rsidRPr="00E462FE" w:rsidRDefault="00CE0A52" w:rsidP="00287342">
      <w:pPr>
        <w:numPr>
          <w:ilvl w:val="0"/>
          <w:numId w:val="5"/>
        </w:numPr>
        <w:spacing w:line="360" w:lineRule="auto"/>
        <w:jc w:val="both"/>
        <w:rPr>
          <w:rFonts w:ascii="Arial" w:hAnsi="Arial" w:cs="Arial"/>
          <w:sz w:val="22"/>
          <w:szCs w:val="22"/>
        </w:rPr>
      </w:pPr>
      <w:r w:rsidRPr="00E462FE">
        <w:rPr>
          <w:rFonts w:ascii="Arial" w:hAnsi="Arial" w:cs="Arial"/>
          <w:b/>
          <w:bCs/>
          <w:sz w:val="22"/>
          <w:szCs w:val="22"/>
        </w:rPr>
        <w:t>Prerequisites:</w:t>
      </w:r>
      <w:r w:rsidRPr="00E462FE">
        <w:rPr>
          <w:rFonts w:ascii="Arial" w:hAnsi="Arial" w:cs="Arial"/>
          <w:sz w:val="22"/>
          <w:szCs w:val="22"/>
        </w:rPr>
        <w:t xml:space="preserve"> Focuses on the attributes of the practitioner, including professional competence, interpersonal communication skills, clarity of personal values, and self-awareness (McCormack and McCance, 2006).</w:t>
      </w:r>
    </w:p>
    <w:p w14:paraId="1F924305" w14:textId="77777777" w:rsidR="00C820C7" w:rsidRPr="00E462FE" w:rsidRDefault="00CE0A52" w:rsidP="00287342">
      <w:pPr>
        <w:numPr>
          <w:ilvl w:val="0"/>
          <w:numId w:val="5"/>
        </w:numPr>
        <w:spacing w:line="360" w:lineRule="auto"/>
        <w:jc w:val="both"/>
        <w:rPr>
          <w:rFonts w:ascii="Arial" w:hAnsi="Arial" w:cs="Arial"/>
          <w:sz w:val="22"/>
          <w:szCs w:val="22"/>
        </w:rPr>
      </w:pPr>
      <w:r w:rsidRPr="00E462FE">
        <w:rPr>
          <w:rFonts w:ascii="Arial" w:hAnsi="Arial" w:cs="Arial"/>
          <w:b/>
          <w:bCs/>
          <w:sz w:val="22"/>
          <w:szCs w:val="22"/>
        </w:rPr>
        <w:t>Care Environment:</w:t>
      </w:r>
      <w:r w:rsidRPr="00E462FE">
        <w:rPr>
          <w:rFonts w:ascii="Arial" w:hAnsi="Arial" w:cs="Arial"/>
          <w:sz w:val="22"/>
          <w:szCs w:val="22"/>
        </w:rPr>
        <w:t xml:space="preserve"> Examines the organizational context where care is delivered, emphasizing effective staff relationships, supportive management systems, power-sharing, and appropriate skill combinations (McCormack and McCance, 2006).</w:t>
      </w:r>
    </w:p>
    <w:p w14:paraId="1F924306" w14:textId="77777777" w:rsidR="00C820C7" w:rsidRPr="00E462FE" w:rsidRDefault="00CE0A52" w:rsidP="00287342">
      <w:pPr>
        <w:numPr>
          <w:ilvl w:val="0"/>
          <w:numId w:val="5"/>
        </w:numPr>
        <w:spacing w:line="360" w:lineRule="auto"/>
        <w:jc w:val="both"/>
        <w:rPr>
          <w:rFonts w:ascii="Arial" w:hAnsi="Arial" w:cs="Arial"/>
          <w:sz w:val="22"/>
          <w:szCs w:val="22"/>
        </w:rPr>
      </w:pPr>
      <w:r w:rsidRPr="00E462FE">
        <w:rPr>
          <w:rFonts w:ascii="Arial" w:hAnsi="Arial" w:cs="Arial"/>
          <w:b/>
          <w:bCs/>
          <w:sz w:val="22"/>
          <w:szCs w:val="22"/>
        </w:rPr>
        <w:t>Person-Centred Processes:</w:t>
      </w:r>
      <w:r w:rsidRPr="00E462FE">
        <w:rPr>
          <w:rFonts w:ascii="Arial" w:hAnsi="Arial" w:cs="Arial"/>
          <w:sz w:val="22"/>
          <w:szCs w:val="22"/>
        </w:rPr>
        <w:t xml:space="preserve"> Describes the operational activities through which care is delivered, such as working with service users' beliefs and values, engaging authentically, sharing decision-making power, and providing holistic care (McCormack and McCance, 2006).</w:t>
      </w:r>
    </w:p>
    <w:p w14:paraId="1F924307" w14:textId="77777777" w:rsidR="00C820C7" w:rsidRPr="00E462FE" w:rsidRDefault="00CE0A52" w:rsidP="00287342">
      <w:pPr>
        <w:numPr>
          <w:ilvl w:val="0"/>
          <w:numId w:val="5"/>
        </w:numPr>
        <w:spacing w:line="360" w:lineRule="auto"/>
        <w:jc w:val="both"/>
        <w:rPr>
          <w:rFonts w:ascii="Arial" w:hAnsi="Arial" w:cs="Arial"/>
          <w:sz w:val="22"/>
          <w:szCs w:val="22"/>
        </w:rPr>
      </w:pPr>
      <w:r w:rsidRPr="00E462FE">
        <w:rPr>
          <w:rFonts w:ascii="Arial" w:hAnsi="Arial" w:cs="Arial"/>
          <w:b/>
          <w:bCs/>
          <w:sz w:val="22"/>
          <w:szCs w:val="22"/>
        </w:rPr>
        <w:t>Person-Centred Outcomes:</w:t>
      </w:r>
      <w:r w:rsidRPr="00E462FE">
        <w:rPr>
          <w:rFonts w:ascii="Arial" w:hAnsi="Arial" w:cs="Arial"/>
          <w:sz w:val="22"/>
          <w:szCs w:val="22"/>
        </w:rPr>
        <w:t xml:space="preserve"> Highlights the intended results, including satisfaction with care, active involvement in decision-making, and a sense of personal well-being (McCormack and McCance, 2006).</w:t>
      </w:r>
    </w:p>
    <w:p w14:paraId="1F924308"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In Community Adult Social Care, this model provides a structured approach for multi-disciplinary teams. For instance, when supporting an older individual living with mild dementia, practitioners utilize </w:t>
      </w:r>
      <w:r w:rsidRPr="00E462FE">
        <w:rPr>
          <w:rFonts w:ascii="Arial" w:hAnsi="Arial" w:cs="Arial"/>
          <w:i/>
          <w:iCs/>
          <w:sz w:val="22"/>
          <w:szCs w:val="22"/>
        </w:rPr>
        <w:t>person-centred processes</w:t>
      </w:r>
      <w:r w:rsidRPr="00E462FE">
        <w:rPr>
          <w:rFonts w:ascii="Arial" w:hAnsi="Arial" w:cs="Arial"/>
          <w:sz w:val="22"/>
          <w:szCs w:val="22"/>
        </w:rPr>
        <w:t xml:space="preserve"> by engaging with the individual's life history and personal preferences rather than focusing solely on cognitive deficits.</w:t>
      </w:r>
    </w:p>
    <w:p w14:paraId="1F924309" w14:textId="77777777" w:rsidR="00C820C7" w:rsidRPr="00E462FE" w:rsidRDefault="00CE0A52" w:rsidP="00287342">
      <w:pPr>
        <w:spacing w:line="360" w:lineRule="auto"/>
        <w:jc w:val="both"/>
        <w:rPr>
          <w:rFonts w:ascii="Arial" w:hAnsi="Arial" w:cs="Arial"/>
          <w:b/>
          <w:bCs/>
          <w:sz w:val="28"/>
          <w:szCs w:val="28"/>
        </w:rPr>
      </w:pPr>
      <w:r w:rsidRPr="00E462FE">
        <w:rPr>
          <w:rFonts w:ascii="Arial" w:hAnsi="Arial" w:cs="Arial"/>
          <w:b/>
          <w:bCs/>
          <w:sz w:val="28"/>
          <w:szCs w:val="28"/>
        </w:rPr>
        <w:t>Critical Evaluation of the Theoretical Model</w:t>
      </w:r>
    </w:p>
    <w:p w14:paraId="1F92430A" w14:textId="598FCCC9"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The strength of McCormack and McCance’s model was based on the understanding that practitioner intention is not enough; person-centred care is unable to survive in a culture of blame, or if it is constrained by a culture of resource scarcity, or inflexibility of the care environment (McCormack &amp; McCance, 2006). However, one important theoretical weakness is its level of complexity during swift operational </w:t>
      </w:r>
      <w:r w:rsidR="001F014D" w:rsidRPr="00E462FE">
        <w:rPr>
          <w:rFonts w:ascii="Arial" w:hAnsi="Arial" w:cs="Arial"/>
          <w:sz w:val="22"/>
          <w:szCs w:val="22"/>
        </w:rPr>
        <w:t>applications</w:t>
      </w:r>
      <w:r w:rsidRPr="00E462FE">
        <w:rPr>
          <w:rFonts w:ascii="Arial" w:hAnsi="Arial" w:cs="Arial"/>
          <w:sz w:val="22"/>
          <w:szCs w:val="22"/>
        </w:rPr>
        <w:t xml:space="preserve">. It is also acknowledged that the time and steady leadership required to really effect sustained change in organisational culture across matrixed, </w:t>
      </w:r>
      <w:r w:rsidRPr="00E462FE">
        <w:rPr>
          <w:rFonts w:ascii="Arial" w:hAnsi="Arial" w:cs="Arial"/>
          <w:sz w:val="22"/>
          <w:szCs w:val="22"/>
        </w:rPr>
        <w:lastRenderedPageBreak/>
        <w:t>multi-agency health and social care partnerships, can be difficult for under-resourced community services to maintain in terms of practice (Lalani et al., 2024).</w:t>
      </w:r>
    </w:p>
    <w:p w14:paraId="1F92430B" w14:textId="77777777" w:rsidR="00C820C7" w:rsidRPr="00E462FE" w:rsidRDefault="00CE0A52" w:rsidP="00287342">
      <w:pPr>
        <w:pStyle w:val="Heading1"/>
        <w:rPr>
          <w:rFonts w:cs="Arial"/>
          <w:sz w:val="24"/>
          <w:szCs w:val="44"/>
        </w:rPr>
      </w:pPr>
      <w:bookmarkStart w:id="4" w:name="_Toc235705560"/>
      <w:r w:rsidRPr="00E462FE">
        <w:rPr>
          <w:rFonts w:cs="Arial"/>
          <w:sz w:val="24"/>
          <w:szCs w:val="44"/>
        </w:rPr>
        <w:t>4. Ethical Considerations and Decision-Making in PCC</w:t>
      </w:r>
      <w:bookmarkEnd w:id="4"/>
    </w:p>
    <w:p w14:paraId="1F92430C"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Ethical practice forms the moral core of person-centred care. Professionals regularly </w:t>
      </w:r>
      <w:proofErr w:type="gramStart"/>
      <w:r w:rsidRPr="00E462FE">
        <w:rPr>
          <w:rFonts w:ascii="Arial" w:hAnsi="Arial" w:cs="Arial"/>
          <w:sz w:val="22"/>
          <w:szCs w:val="22"/>
        </w:rPr>
        <w:t>have to</w:t>
      </w:r>
      <w:proofErr w:type="gramEnd"/>
      <w:r w:rsidRPr="00E462FE">
        <w:rPr>
          <w:rFonts w:ascii="Arial" w:hAnsi="Arial" w:cs="Arial"/>
          <w:sz w:val="22"/>
          <w:szCs w:val="22"/>
        </w:rPr>
        <w:t xml:space="preserve"> balance what a person wants, what keeps them safe, and what their job is or what society requires of them. A key analytical tool for evaluating these issues is Beauchamp and Childress’s Four Principles Biomedical Ethics Framework:</w:t>
      </w:r>
    </w:p>
    <w:p w14:paraId="1F92430D" w14:textId="77777777" w:rsidR="00C820C7" w:rsidRPr="00E462FE" w:rsidRDefault="00CE0A52" w:rsidP="00287342">
      <w:pPr>
        <w:numPr>
          <w:ilvl w:val="0"/>
          <w:numId w:val="6"/>
        </w:numPr>
        <w:spacing w:line="360" w:lineRule="auto"/>
        <w:jc w:val="both"/>
        <w:rPr>
          <w:rFonts w:ascii="Arial" w:hAnsi="Arial" w:cs="Arial"/>
          <w:sz w:val="22"/>
          <w:szCs w:val="22"/>
        </w:rPr>
      </w:pPr>
      <w:r w:rsidRPr="00E462FE">
        <w:rPr>
          <w:rFonts w:ascii="Arial" w:hAnsi="Arial" w:cs="Arial"/>
          <w:b/>
          <w:bCs/>
          <w:sz w:val="22"/>
          <w:szCs w:val="22"/>
        </w:rPr>
        <w:t>Autonomy:</w:t>
      </w:r>
      <w:r w:rsidRPr="00E462FE">
        <w:rPr>
          <w:rFonts w:ascii="Arial" w:hAnsi="Arial" w:cs="Arial"/>
          <w:sz w:val="22"/>
          <w:szCs w:val="22"/>
        </w:rPr>
        <w:t xml:space="preserve"> Respecting the right of individuals to make independent decisions regarding their life and care, provided they have cognitive capacity (McCormack and McCance, 2006).</w:t>
      </w:r>
    </w:p>
    <w:p w14:paraId="1F92430E" w14:textId="77777777" w:rsidR="00C820C7" w:rsidRPr="00E462FE" w:rsidRDefault="00CE0A52" w:rsidP="00287342">
      <w:pPr>
        <w:numPr>
          <w:ilvl w:val="0"/>
          <w:numId w:val="6"/>
        </w:numPr>
        <w:spacing w:line="360" w:lineRule="auto"/>
        <w:jc w:val="both"/>
        <w:rPr>
          <w:rFonts w:ascii="Arial" w:hAnsi="Arial" w:cs="Arial"/>
          <w:sz w:val="22"/>
          <w:szCs w:val="22"/>
        </w:rPr>
      </w:pPr>
      <w:r w:rsidRPr="00E462FE">
        <w:rPr>
          <w:rFonts w:ascii="Arial" w:hAnsi="Arial" w:cs="Arial"/>
          <w:b/>
          <w:bCs/>
          <w:sz w:val="22"/>
          <w:szCs w:val="22"/>
        </w:rPr>
        <w:t>Beneficence:</w:t>
      </w:r>
      <w:r w:rsidRPr="00E462FE">
        <w:rPr>
          <w:rFonts w:ascii="Arial" w:hAnsi="Arial" w:cs="Arial"/>
          <w:sz w:val="22"/>
          <w:szCs w:val="22"/>
        </w:rPr>
        <w:t xml:space="preserve"> Acting in the best interest of the service user to promote health, well-being, and quality of life.</w:t>
      </w:r>
    </w:p>
    <w:p w14:paraId="1F92430F" w14:textId="77777777" w:rsidR="00C820C7" w:rsidRPr="00E462FE" w:rsidRDefault="00CE0A52" w:rsidP="00287342">
      <w:pPr>
        <w:numPr>
          <w:ilvl w:val="0"/>
          <w:numId w:val="6"/>
        </w:numPr>
        <w:spacing w:line="360" w:lineRule="auto"/>
        <w:jc w:val="both"/>
        <w:rPr>
          <w:rFonts w:ascii="Arial" w:hAnsi="Arial" w:cs="Arial"/>
          <w:sz w:val="22"/>
          <w:szCs w:val="22"/>
        </w:rPr>
      </w:pPr>
      <w:r w:rsidRPr="00E462FE">
        <w:rPr>
          <w:rFonts w:ascii="Arial" w:hAnsi="Arial" w:cs="Arial"/>
          <w:b/>
          <w:bCs/>
          <w:sz w:val="22"/>
          <w:szCs w:val="22"/>
        </w:rPr>
        <w:t>Non-Maleficence:</w:t>
      </w:r>
      <w:r w:rsidRPr="00E462FE">
        <w:rPr>
          <w:rFonts w:ascii="Arial" w:hAnsi="Arial" w:cs="Arial"/>
          <w:sz w:val="22"/>
          <w:szCs w:val="22"/>
        </w:rPr>
        <w:t xml:space="preserve"> Avoiding interventions that inflict harm, suffering, or unnecessary distress.</w:t>
      </w:r>
    </w:p>
    <w:p w14:paraId="1F924310" w14:textId="77777777" w:rsidR="00C820C7" w:rsidRPr="00E462FE" w:rsidRDefault="00CE0A52" w:rsidP="00287342">
      <w:pPr>
        <w:numPr>
          <w:ilvl w:val="0"/>
          <w:numId w:val="6"/>
        </w:numPr>
        <w:spacing w:line="360" w:lineRule="auto"/>
        <w:jc w:val="both"/>
        <w:rPr>
          <w:rFonts w:ascii="Arial" w:hAnsi="Arial" w:cs="Arial"/>
          <w:sz w:val="22"/>
          <w:szCs w:val="22"/>
        </w:rPr>
      </w:pPr>
      <w:r w:rsidRPr="00E462FE">
        <w:rPr>
          <w:rFonts w:ascii="Arial" w:hAnsi="Arial" w:cs="Arial"/>
          <w:b/>
          <w:bCs/>
          <w:sz w:val="22"/>
          <w:szCs w:val="22"/>
        </w:rPr>
        <w:t>Justice:</w:t>
      </w:r>
      <w:r w:rsidRPr="00E462FE">
        <w:rPr>
          <w:rFonts w:ascii="Arial" w:hAnsi="Arial" w:cs="Arial"/>
          <w:sz w:val="22"/>
          <w:szCs w:val="22"/>
        </w:rPr>
        <w:t xml:space="preserve"> Ensuring fair distribution of resources, non-discriminatory practice, and equitable access to care.</w:t>
      </w:r>
    </w:p>
    <w:p w14:paraId="1F924311" w14:textId="77777777" w:rsidR="00C820C7" w:rsidRPr="00E462FE" w:rsidRDefault="00CE0A52" w:rsidP="00287342">
      <w:pPr>
        <w:spacing w:line="360" w:lineRule="auto"/>
        <w:jc w:val="both"/>
        <w:rPr>
          <w:rFonts w:ascii="Arial" w:hAnsi="Arial" w:cs="Arial"/>
          <w:b/>
          <w:bCs/>
          <w:sz w:val="22"/>
          <w:szCs w:val="22"/>
        </w:rPr>
      </w:pPr>
      <w:r w:rsidRPr="00E462FE">
        <w:rPr>
          <w:rFonts w:ascii="Arial" w:hAnsi="Arial" w:cs="Arial"/>
          <w:b/>
          <w:bCs/>
          <w:sz w:val="22"/>
          <w:szCs w:val="22"/>
        </w:rPr>
        <w:t>Ethical Dilemmas in Community Adult Practice</w:t>
      </w:r>
    </w:p>
    <w:p w14:paraId="1F924312"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In community care, tension frequently arises between </w:t>
      </w:r>
      <w:r w:rsidRPr="00E462FE">
        <w:rPr>
          <w:rFonts w:ascii="Arial" w:hAnsi="Arial" w:cs="Arial"/>
          <w:i/>
          <w:iCs/>
          <w:sz w:val="22"/>
          <w:szCs w:val="22"/>
        </w:rPr>
        <w:t>Autonomy</w:t>
      </w:r>
      <w:r w:rsidRPr="00E462FE">
        <w:rPr>
          <w:rFonts w:ascii="Arial" w:hAnsi="Arial" w:cs="Arial"/>
          <w:sz w:val="22"/>
          <w:szCs w:val="22"/>
        </w:rPr>
        <w:t xml:space="preserve"> and </w:t>
      </w:r>
      <w:r w:rsidRPr="00E462FE">
        <w:rPr>
          <w:rFonts w:ascii="Arial" w:hAnsi="Arial" w:cs="Arial"/>
          <w:i/>
          <w:iCs/>
          <w:sz w:val="22"/>
          <w:szCs w:val="22"/>
        </w:rPr>
        <w:t>Beneficence/Non-Maleficence</w:t>
      </w:r>
      <w:r w:rsidRPr="00E462FE">
        <w:rPr>
          <w:rFonts w:ascii="Arial" w:hAnsi="Arial" w:cs="Arial"/>
          <w:sz w:val="22"/>
          <w:szCs w:val="22"/>
        </w:rPr>
        <w:t xml:space="preserve"> often expressed as the dilemma between respecting a service user’s choice and fulfilling a professional’s duty of care.</w:t>
      </w:r>
    </w:p>
    <w:p w14:paraId="1F924313" w14:textId="77777777" w:rsidR="00C820C7" w:rsidRPr="00E462FE" w:rsidRDefault="00CE0A52" w:rsidP="00287342">
      <w:pPr>
        <w:numPr>
          <w:ilvl w:val="0"/>
          <w:numId w:val="20"/>
        </w:numPr>
        <w:spacing w:line="360" w:lineRule="auto"/>
        <w:jc w:val="both"/>
        <w:rPr>
          <w:rFonts w:ascii="Arial" w:hAnsi="Arial" w:cs="Arial"/>
          <w:sz w:val="22"/>
          <w:szCs w:val="22"/>
        </w:rPr>
      </w:pPr>
      <w:r w:rsidRPr="00E462FE">
        <w:rPr>
          <w:rFonts w:ascii="Arial" w:hAnsi="Arial" w:cs="Arial"/>
          <w:b/>
          <w:bCs/>
          <w:sz w:val="22"/>
          <w:szCs w:val="22"/>
        </w:rPr>
        <w:t>Scenario Example:</w:t>
      </w:r>
      <w:r w:rsidRPr="00E462FE">
        <w:rPr>
          <w:rFonts w:ascii="Arial" w:hAnsi="Arial" w:cs="Arial"/>
          <w:sz w:val="22"/>
          <w:szCs w:val="22"/>
        </w:rPr>
        <w:t xml:space="preserve"> An 84-year-old service user living alone in community housing refuses formal home-care visits despite impaired mobility and a high risk of falls.</w:t>
      </w:r>
    </w:p>
    <w:p w14:paraId="1F924314" w14:textId="77777777" w:rsidR="00C820C7" w:rsidRPr="00E462FE" w:rsidRDefault="00CE0A52" w:rsidP="00287342">
      <w:pPr>
        <w:numPr>
          <w:ilvl w:val="0"/>
          <w:numId w:val="20"/>
        </w:numPr>
        <w:spacing w:line="360" w:lineRule="auto"/>
        <w:jc w:val="both"/>
        <w:rPr>
          <w:rFonts w:ascii="Arial" w:hAnsi="Arial" w:cs="Arial"/>
          <w:sz w:val="22"/>
          <w:szCs w:val="22"/>
        </w:rPr>
      </w:pPr>
      <w:r w:rsidRPr="00E462FE">
        <w:rPr>
          <w:rFonts w:ascii="Arial" w:hAnsi="Arial" w:cs="Arial"/>
          <w:b/>
          <w:bCs/>
          <w:sz w:val="22"/>
          <w:szCs w:val="22"/>
        </w:rPr>
        <w:t>Ethical Friction:</w:t>
      </w:r>
      <w:r w:rsidRPr="00E462FE">
        <w:rPr>
          <w:rFonts w:ascii="Arial" w:hAnsi="Arial" w:cs="Arial"/>
          <w:sz w:val="22"/>
          <w:szCs w:val="22"/>
        </w:rPr>
        <w:t xml:space="preserve"> Upholding pure autonomy dictates respecting the choice to refuse help. However, beneficence and non-maleficence compel professionals to prevent foreseeable harm from falls or severe self-neglect.</w:t>
      </w:r>
    </w:p>
    <w:p w14:paraId="1F924315" w14:textId="5AA8227D" w:rsidR="00C820C7" w:rsidRPr="00E462FE" w:rsidRDefault="00CE0A52" w:rsidP="00287342">
      <w:pPr>
        <w:numPr>
          <w:ilvl w:val="0"/>
          <w:numId w:val="20"/>
        </w:numPr>
        <w:spacing w:line="360" w:lineRule="auto"/>
        <w:jc w:val="both"/>
        <w:rPr>
          <w:rFonts w:ascii="Arial" w:hAnsi="Arial" w:cs="Arial"/>
          <w:sz w:val="22"/>
          <w:szCs w:val="22"/>
        </w:rPr>
      </w:pPr>
      <w:r w:rsidRPr="00E462FE">
        <w:rPr>
          <w:rFonts w:ascii="Arial" w:hAnsi="Arial" w:cs="Arial"/>
          <w:b/>
          <w:bCs/>
          <w:sz w:val="22"/>
          <w:szCs w:val="22"/>
        </w:rPr>
        <w:t>Structured Decision-Making:</w:t>
      </w:r>
      <w:r w:rsidRPr="00E462FE">
        <w:rPr>
          <w:rFonts w:ascii="Arial" w:hAnsi="Arial" w:cs="Arial"/>
          <w:sz w:val="22"/>
          <w:szCs w:val="22"/>
        </w:rPr>
        <w:t xml:space="preserve"> </w:t>
      </w:r>
      <w:r w:rsidR="00865BFA" w:rsidRPr="00E462FE">
        <w:rPr>
          <w:rFonts w:ascii="Arial" w:hAnsi="Arial" w:cs="Arial"/>
          <w:sz w:val="22"/>
          <w:szCs w:val="22"/>
        </w:rPr>
        <w:t>To</w:t>
      </w:r>
      <w:r w:rsidRPr="00E462FE">
        <w:rPr>
          <w:rFonts w:ascii="Arial" w:hAnsi="Arial" w:cs="Arial"/>
          <w:sz w:val="22"/>
          <w:szCs w:val="22"/>
        </w:rPr>
        <w:t xml:space="preserve"> address these dilemmas, professionals make use of structured ethical </w:t>
      </w:r>
      <w:r w:rsidR="001F014D" w:rsidRPr="00E462FE">
        <w:rPr>
          <w:rFonts w:ascii="Arial" w:hAnsi="Arial" w:cs="Arial"/>
          <w:sz w:val="22"/>
          <w:szCs w:val="22"/>
        </w:rPr>
        <w:t>decision-making</w:t>
      </w:r>
      <w:r w:rsidRPr="00E462FE">
        <w:rPr>
          <w:rFonts w:ascii="Arial" w:hAnsi="Arial" w:cs="Arial"/>
          <w:sz w:val="22"/>
          <w:szCs w:val="22"/>
        </w:rPr>
        <w:t xml:space="preserve"> processes (</w:t>
      </w:r>
      <w:r w:rsidR="00865BFA" w:rsidRPr="00E462FE">
        <w:rPr>
          <w:rFonts w:ascii="Arial" w:hAnsi="Arial" w:cs="Arial"/>
          <w:sz w:val="22"/>
          <w:szCs w:val="22"/>
        </w:rPr>
        <w:t>e.g.</w:t>
      </w:r>
      <w:r w:rsidRPr="00E462FE">
        <w:rPr>
          <w:rFonts w:ascii="Arial" w:hAnsi="Arial" w:cs="Arial"/>
          <w:sz w:val="22"/>
          <w:szCs w:val="22"/>
        </w:rPr>
        <w:t xml:space="preserve"> the functional assessment under the Mental Capacity Act 2005 and positive risk management) and do not simply resort to unthinking paternalism. Practitioners need to weigh the person’s right to make what might </w:t>
      </w:r>
      <w:r w:rsidRPr="00E462FE">
        <w:rPr>
          <w:rFonts w:ascii="Arial" w:hAnsi="Arial" w:cs="Arial"/>
          <w:sz w:val="22"/>
          <w:szCs w:val="22"/>
        </w:rPr>
        <w:lastRenderedPageBreak/>
        <w:t>be considered unwise decisions against assessments of capacity, considering least restrictive interventions and co-produced safety arrangements that honour personal agency yet seek to reduce critical risk.</w:t>
      </w:r>
    </w:p>
    <w:p w14:paraId="1F924316" w14:textId="77777777" w:rsidR="00C820C7" w:rsidRPr="00E462FE" w:rsidRDefault="00CE0A52" w:rsidP="00287342">
      <w:pPr>
        <w:pStyle w:val="Heading1"/>
        <w:rPr>
          <w:rFonts w:cs="Arial"/>
          <w:sz w:val="24"/>
          <w:szCs w:val="44"/>
        </w:rPr>
      </w:pPr>
      <w:bookmarkStart w:id="5" w:name="_Toc235705561"/>
      <w:r w:rsidRPr="00E462FE">
        <w:rPr>
          <w:rFonts w:cs="Arial"/>
          <w:sz w:val="24"/>
          <w:szCs w:val="44"/>
        </w:rPr>
        <w:t>5. Evaluation of Partnership Working (PW)</w:t>
      </w:r>
      <w:bookmarkEnd w:id="5"/>
    </w:p>
    <w:p w14:paraId="1F924317"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Partnership Working (PW) refers to joint working arrangements where distinct agencies—such as NHS healthcare trusts, local authority social services, voluntary organisations, and independent care providers collaborate to plan, resource, and deliver integrated care services (Coulter and Oldham, 2016; Lalani et al., 2024).</w:t>
      </w:r>
    </w:p>
    <w:p w14:paraId="1F924318"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b/>
          <w:bCs/>
          <w:sz w:val="22"/>
          <w:szCs w:val="22"/>
        </w:rPr>
        <w:t>Benefits of Partnership Working</w:t>
      </w:r>
    </w:p>
    <w:p w14:paraId="1F924319" w14:textId="77777777" w:rsidR="00C820C7" w:rsidRPr="00E462FE" w:rsidRDefault="00CE0A52" w:rsidP="00287342">
      <w:pPr>
        <w:numPr>
          <w:ilvl w:val="0"/>
          <w:numId w:val="18"/>
        </w:numPr>
        <w:spacing w:line="360" w:lineRule="auto"/>
        <w:jc w:val="both"/>
        <w:rPr>
          <w:rFonts w:ascii="Arial" w:hAnsi="Arial" w:cs="Arial"/>
          <w:sz w:val="22"/>
          <w:szCs w:val="22"/>
        </w:rPr>
      </w:pPr>
      <w:r w:rsidRPr="00E462FE">
        <w:rPr>
          <w:rFonts w:ascii="Arial" w:hAnsi="Arial" w:cs="Arial"/>
          <w:b/>
          <w:bCs/>
          <w:sz w:val="22"/>
          <w:szCs w:val="22"/>
        </w:rPr>
        <w:t>Holistic, Coordinated Services:</w:t>
      </w:r>
      <w:r w:rsidRPr="00E462FE">
        <w:rPr>
          <w:rFonts w:ascii="Arial" w:hAnsi="Arial" w:cs="Arial"/>
          <w:sz w:val="22"/>
          <w:szCs w:val="22"/>
        </w:rPr>
        <w:t xml:space="preserve"> PW reduces fragmented care delivery, ensuring service users do not experience disjointed transitions between primary healthcare, hospital discharge, and home social care (Coulter and Oldham, 2016; Lalani et al., 2024).</w:t>
      </w:r>
    </w:p>
    <w:p w14:paraId="1F92431A" w14:textId="77777777" w:rsidR="00C820C7" w:rsidRPr="00E462FE" w:rsidRDefault="00CE0A52" w:rsidP="00287342">
      <w:pPr>
        <w:numPr>
          <w:ilvl w:val="0"/>
          <w:numId w:val="18"/>
        </w:numPr>
        <w:spacing w:line="360" w:lineRule="auto"/>
        <w:jc w:val="both"/>
        <w:rPr>
          <w:rFonts w:ascii="Arial" w:hAnsi="Arial" w:cs="Arial"/>
          <w:sz w:val="22"/>
          <w:szCs w:val="22"/>
        </w:rPr>
      </w:pPr>
      <w:r w:rsidRPr="00E462FE">
        <w:rPr>
          <w:rFonts w:ascii="Arial" w:hAnsi="Arial" w:cs="Arial"/>
          <w:b/>
          <w:bCs/>
          <w:sz w:val="22"/>
          <w:szCs w:val="22"/>
        </w:rPr>
        <w:t>Resource Optimization:</w:t>
      </w:r>
      <w:r w:rsidRPr="00E462FE">
        <w:rPr>
          <w:rFonts w:ascii="Arial" w:hAnsi="Arial" w:cs="Arial"/>
          <w:sz w:val="22"/>
          <w:szCs w:val="22"/>
        </w:rPr>
        <w:t xml:space="preserve"> Shared expertise, pooled budgets (e.g., Section 75 agreements), and multi-disciplinary teams reduce administrative duplication and prevent unnecessary hospital admissions (Lalani et al., 2024).</w:t>
      </w:r>
    </w:p>
    <w:p w14:paraId="1F92431B" w14:textId="77777777" w:rsidR="00C820C7" w:rsidRPr="00E462FE" w:rsidRDefault="00CE0A52" w:rsidP="00287342">
      <w:pPr>
        <w:numPr>
          <w:ilvl w:val="0"/>
          <w:numId w:val="18"/>
        </w:numPr>
        <w:spacing w:line="360" w:lineRule="auto"/>
        <w:jc w:val="both"/>
        <w:rPr>
          <w:rFonts w:ascii="Arial" w:hAnsi="Arial" w:cs="Arial"/>
          <w:sz w:val="22"/>
          <w:szCs w:val="22"/>
        </w:rPr>
      </w:pPr>
      <w:r w:rsidRPr="00E462FE">
        <w:rPr>
          <w:rFonts w:ascii="Arial" w:hAnsi="Arial" w:cs="Arial"/>
          <w:b/>
          <w:bCs/>
          <w:sz w:val="22"/>
          <w:szCs w:val="22"/>
        </w:rPr>
        <w:t>Improved User Outcomes:</w:t>
      </w:r>
      <w:r w:rsidRPr="00E462FE">
        <w:rPr>
          <w:rFonts w:ascii="Arial" w:hAnsi="Arial" w:cs="Arial"/>
          <w:sz w:val="22"/>
          <w:szCs w:val="22"/>
        </w:rPr>
        <w:t xml:space="preserve"> Joined-up care paths allow providers to treat a person's medical conditions, living situation, and emotional health all at the same time (Coulter and Oldham, 2016; Lalani et al., 2024).</w:t>
      </w:r>
    </w:p>
    <w:p w14:paraId="1F92431C" w14:textId="77777777" w:rsidR="00C820C7" w:rsidRPr="00E462FE" w:rsidRDefault="00CE0A52" w:rsidP="00287342">
      <w:pPr>
        <w:spacing w:line="360" w:lineRule="auto"/>
        <w:jc w:val="both"/>
        <w:rPr>
          <w:rFonts w:ascii="Arial" w:hAnsi="Arial" w:cs="Arial"/>
          <w:b/>
          <w:bCs/>
          <w:sz w:val="22"/>
          <w:szCs w:val="22"/>
        </w:rPr>
      </w:pPr>
      <w:r w:rsidRPr="00E462FE">
        <w:rPr>
          <w:rFonts w:ascii="Arial" w:hAnsi="Arial" w:cs="Arial"/>
          <w:b/>
          <w:bCs/>
          <w:sz w:val="22"/>
          <w:szCs w:val="22"/>
        </w:rPr>
        <w:t>Challenges and Barriers in PW</w:t>
      </w:r>
    </w:p>
    <w:p w14:paraId="1F92431D" w14:textId="77777777" w:rsidR="00C820C7" w:rsidRPr="00E462FE" w:rsidRDefault="00CE0A52" w:rsidP="00287342">
      <w:pPr>
        <w:numPr>
          <w:ilvl w:val="0"/>
          <w:numId w:val="19"/>
        </w:numPr>
        <w:spacing w:line="360" w:lineRule="auto"/>
        <w:jc w:val="both"/>
        <w:rPr>
          <w:rFonts w:ascii="Arial" w:hAnsi="Arial" w:cs="Arial"/>
          <w:sz w:val="22"/>
          <w:szCs w:val="22"/>
        </w:rPr>
      </w:pPr>
      <w:r w:rsidRPr="00E462FE">
        <w:rPr>
          <w:rFonts w:ascii="Arial" w:hAnsi="Arial" w:cs="Arial"/>
          <w:b/>
          <w:bCs/>
          <w:sz w:val="22"/>
          <w:szCs w:val="22"/>
        </w:rPr>
        <w:t>Communication and IT Incompatibility:</w:t>
      </w:r>
      <w:r w:rsidRPr="00E462FE">
        <w:rPr>
          <w:rFonts w:ascii="Arial" w:hAnsi="Arial" w:cs="Arial"/>
          <w:sz w:val="22"/>
          <w:szCs w:val="22"/>
        </w:rPr>
        <w:t xml:space="preserve"> A significant practical barrier in community settings is the lack of interoperable digital health records between local authorities and NHS systems, leading to delayed information sharing and duplicated assessments (Lalani et al., 2024).</w:t>
      </w:r>
    </w:p>
    <w:p w14:paraId="1F92431E" w14:textId="5CC5B0BE" w:rsidR="00C820C7" w:rsidRPr="00E462FE" w:rsidRDefault="00CE0A52" w:rsidP="00287342">
      <w:pPr>
        <w:numPr>
          <w:ilvl w:val="0"/>
          <w:numId w:val="19"/>
        </w:numPr>
        <w:spacing w:line="360" w:lineRule="auto"/>
        <w:jc w:val="both"/>
        <w:rPr>
          <w:rFonts w:ascii="Arial" w:hAnsi="Arial" w:cs="Arial"/>
          <w:sz w:val="22"/>
          <w:szCs w:val="22"/>
        </w:rPr>
      </w:pPr>
      <w:r w:rsidRPr="00E462FE">
        <w:rPr>
          <w:rFonts w:ascii="Arial" w:hAnsi="Arial" w:cs="Arial"/>
          <w:b/>
          <w:bCs/>
          <w:sz w:val="22"/>
          <w:szCs w:val="22"/>
        </w:rPr>
        <w:t xml:space="preserve"> Differences and </w:t>
      </w:r>
      <w:r w:rsidR="00896214" w:rsidRPr="00E462FE">
        <w:rPr>
          <w:rFonts w:ascii="Arial" w:hAnsi="Arial" w:cs="Arial"/>
          <w:b/>
          <w:bCs/>
          <w:sz w:val="22"/>
          <w:szCs w:val="22"/>
        </w:rPr>
        <w:t>Friction</w:t>
      </w:r>
      <w:r w:rsidRPr="00E462FE">
        <w:rPr>
          <w:rFonts w:ascii="Arial" w:hAnsi="Arial" w:cs="Arial"/>
          <w:b/>
          <w:bCs/>
          <w:sz w:val="22"/>
          <w:szCs w:val="22"/>
        </w:rPr>
        <w:t>:</w:t>
      </w:r>
      <w:r w:rsidRPr="00E462FE">
        <w:rPr>
          <w:rFonts w:ascii="Arial" w:hAnsi="Arial" w:cs="Arial"/>
          <w:sz w:val="22"/>
          <w:szCs w:val="22"/>
        </w:rPr>
        <w:t xml:space="preserve"> Differing professional identities</w:t>
      </w:r>
      <w:r w:rsidR="00C039E5" w:rsidRPr="00E462FE">
        <w:rPr>
          <w:rFonts w:ascii="Arial" w:hAnsi="Arial" w:cs="Arial"/>
          <w:sz w:val="22"/>
          <w:szCs w:val="22"/>
        </w:rPr>
        <w:t xml:space="preserve"> </w:t>
      </w:r>
      <w:r w:rsidRPr="00E462FE">
        <w:rPr>
          <w:rFonts w:ascii="Arial" w:hAnsi="Arial" w:cs="Arial"/>
          <w:sz w:val="22"/>
          <w:szCs w:val="22"/>
        </w:rPr>
        <w:t>such as the clinical-diagnostic culture of healthcare versus the social-rights and strengths-based focus of social work can foster power dynamics, misaligned priorities, and professional friction (Lalani et al., 2024).</w:t>
      </w:r>
    </w:p>
    <w:p w14:paraId="1F92431F" w14:textId="77777777" w:rsidR="00C820C7" w:rsidRPr="00E462FE" w:rsidRDefault="00CE0A52" w:rsidP="00287342">
      <w:pPr>
        <w:numPr>
          <w:ilvl w:val="0"/>
          <w:numId w:val="19"/>
        </w:numPr>
        <w:spacing w:line="360" w:lineRule="auto"/>
        <w:jc w:val="both"/>
        <w:rPr>
          <w:rFonts w:ascii="Arial" w:hAnsi="Arial" w:cs="Arial"/>
          <w:sz w:val="22"/>
          <w:szCs w:val="22"/>
        </w:rPr>
      </w:pPr>
      <w:r w:rsidRPr="00E462FE">
        <w:rPr>
          <w:rFonts w:ascii="Arial" w:hAnsi="Arial" w:cs="Arial"/>
          <w:b/>
          <w:bCs/>
          <w:sz w:val="22"/>
          <w:szCs w:val="22"/>
        </w:rPr>
        <w:t>Structural Accountability Confusions:</w:t>
      </w:r>
      <w:r w:rsidRPr="00E462FE">
        <w:rPr>
          <w:rFonts w:ascii="Arial" w:hAnsi="Arial" w:cs="Arial"/>
          <w:sz w:val="22"/>
          <w:szCs w:val="22"/>
        </w:rPr>
        <w:t xml:space="preserve"> Unclear governance lines regarding resource allocation and ultimate legal duty of care can delay decision-making within collaborative teams (Lalani et al., 2024).</w:t>
      </w:r>
    </w:p>
    <w:p w14:paraId="1F924320" w14:textId="77777777" w:rsidR="00C820C7" w:rsidRPr="00E462FE" w:rsidRDefault="00CE0A52" w:rsidP="00287342">
      <w:pPr>
        <w:pStyle w:val="Heading1"/>
        <w:rPr>
          <w:rFonts w:cs="Arial"/>
          <w:sz w:val="28"/>
          <w:szCs w:val="48"/>
        </w:rPr>
      </w:pPr>
      <w:bookmarkStart w:id="6" w:name="_Toc235705562"/>
      <w:r w:rsidRPr="00E462FE">
        <w:rPr>
          <w:rFonts w:cs="Arial"/>
          <w:sz w:val="28"/>
          <w:szCs w:val="48"/>
        </w:rPr>
        <w:lastRenderedPageBreak/>
        <w:t>6. Impact of Current Policy and Legislation</w:t>
      </w:r>
      <w:bookmarkEnd w:id="6"/>
    </w:p>
    <w:p w14:paraId="1F924321"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The implementation of person-centred care and partnership working in community care is dictated by key legal frameworks and statutory policies:</w:t>
      </w:r>
    </w:p>
    <w:p w14:paraId="1F924322" w14:textId="77777777" w:rsidR="00C820C7" w:rsidRPr="00E462FE" w:rsidRDefault="00CE0A52" w:rsidP="00287342">
      <w:pPr>
        <w:spacing w:line="360" w:lineRule="auto"/>
        <w:jc w:val="both"/>
        <w:rPr>
          <w:rFonts w:ascii="Arial" w:hAnsi="Arial" w:cs="Arial"/>
          <w:b/>
          <w:bCs/>
          <w:sz w:val="22"/>
          <w:szCs w:val="22"/>
        </w:rPr>
      </w:pPr>
      <w:r w:rsidRPr="00E462FE">
        <w:rPr>
          <w:rFonts w:ascii="Arial" w:hAnsi="Arial" w:cs="Arial"/>
          <w:b/>
          <w:bCs/>
          <w:sz w:val="22"/>
          <w:szCs w:val="22"/>
        </w:rPr>
        <w:t>Critical Analysis of Policy Impact</w:t>
      </w:r>
    </w:p>
    <w:p w14:paraId="1F924323" w14:textId="77777777" w:rsidR="00C820C7" w:rsidRPr="00E462FE" w:rsidRDefault="00CE0A52" w:rsidP="00287342">
      <w:pPr>
        <w:numPr>
          <w:ilvl w:val="0"/>
          <w:numId w:val="21"/>
        </w:numPr>
        <w:spacing w:line="360" w:lineRule="auto"/>
        <w:jc w:val="both"/>
        <w:rPr>
          <w:rFonts w:ascii="Arial" w:hAnsi="Arial" w:cs="Arial"/>
          <w:sz w:val="22"/>
          <w:szCs w:val="22"/>
        </w:rPr>
      </w:pPr>
      <w:r w:rsidRPr="00E462FE">
        <w:rPr>
          <w:rFonts w:ascii="Arial" w:hAnsi="Arial" w:cs="Arial"/>
          <w:b/>
          <w:bCs/>
          <w:sz w:val="22"/>
          <w:szCs w:val="22"/>
        </w:rPr>
        <w:t>The Care Act 2014:</w:t>
      </w:r>
      <w:r w:rsidRPr="00E462FE">
        <w:rPr>
          <w:rFonts w:ascii="Arial" w:hAnsi="Arial" w:cs="Arial"/>
          <w:sz w:val="22"/>
          <w:szCs w:val="22"/>
        </w:rPr>
        <w:t xml:space="preserve"> Enshrines a statutory obligation on local authorities to promote individual well-being and mandate personal care plans and direct budgets for service users. While this strongly supports PCC by placing control in the hands of service users, chronic underfunding of social care authorities severely restricts the availability of resources required to deliver these personal care goals.</w:t>
      </w:r>
    </w:p>
    <w:p w14:paraId="1F924324" w14:textId="77777777" w:rsidR="00C820C7" w:rsidRPr="00E462FE" w:rsidRDefault="00CE0A52" w:rsidP="00287342">
      <w:pPr>
        <w:numPr>
          <w:ilvl w:val="0"/>
          <w:numId w:val="21"/>
        </w:numPr>
        <w:spacing w:line="360" w:lineRule="auto"/>
        <w:jc w:val="both"/>
        <w:rPr>
          <w:rFonts w:ascii="Arial" w:hAnsi="Arial" w:cs="Arial"/>
          <w:sz w:val="22"/>
          <w:szCs w:val="22"/>
        </w:rPr>
      </w:pPr>
      <w:r w:rsidRPr="00E462FE">
        <w:rPr>
          <w:rFonts w:ascii="Arial" w:hAnsi="Arial" w:cs="Arial"/>
          <w:b/>
          <w:bCs/>
          <w:sz w:val="22"/>
          <w:szCs w:val="22"/>
        </w:rPr>
        <w:t>The Health and Care Act 2022:</w:t>
      </w:r>
      <w:r w:rsidRPr="00E462FE">
        <w:rPr>
          <w:rFonts w:ascii="Arial" w:hAnsi="Arial" w:cs="Arial"/>
          <w:sz w:val="22"/>
          <w:szCs w:val="22"/>
        </w:rPr>
        <w:t xml:space="preserve"> Replaced competitive commissioning models with statutory </w:t>
      </w:r>
      <w:r w:rsidRPr="00E462FE">
        <w:rPr>
          <w:rFonts w:ascii="Arial" w:hAnsi="Arial" w:cs="Arial"/>
          <w:b/>
          <w:bCs/>
          <w:sz w:val="22"/>
          <w:szCs w:val="22"/>
        </w:rPr>
        <w:t>Integrated Care Systems (ICSs)</w:t>
      </w:r>
      <w:r w:rsidRPr="00E462FE">
        <w:rPr>
          <w:rFonts w:ascii="Arial" w:hAnsi="Arial" w:cs="Arial"/>
          <w:sz w:val="22"/>
          <w:szCs w:val="22"/>
        </w:rPr>
        <w:t>, legally binding NHS Integrated Care Boards (ICBs) and local authority Integrated Care Partnerships (ICPs) to co-produce local health strategies (Lalani et al., 2024). In our chosen community setting, this provides a structural mandate for PW. However, recent evaluations reveal that top-down financial pressures and acute hospital performance targets often divert ICB resources away from long-term community preventive initiatives (Lalani et al., 2024).</w:t>
      </w:r>
    </w:p>
    <w:p w14:paraId="1F924325" w14:textId="3DC6D06F" w:rsidR="00C820C7" w:rsidRPr="00E462FE" w:rsidRDefault="00CE0A52" w:rsidP="00287342">
      <w:pPr>
        <w:numPr>
          <w:ilvl w:val="0"/>
          <w:numId w:val="21"/>
        </w:numPr>
        <w:spacing w:line="360" w:lineRule="auto"/>
        <w:jc w:val="both"/>
        <w:rPr>
          <w:rFonts w:ascii="Arial" w:hAnsi="Arial" w:cs="Arial"/>
          <w:sz w:val="22"/>
          <w:szCs w:val="22"/>
        </w:rPr>
      </w:pPr>
      <w:r w:rsidRPr="00E462FE">
        <w:rPr>
          <w:rFonts w:ascii="Arial" w:hAnsi="Arial" w:cs="Arial"/>
          <w:b/>
          <w:bCs/>
          <w:sz w:val="22"/>
          <w:szCs w:val="22"/>
        </w:rPr>
        <w:t>Human Rights Act 1998 and Equality Act 2010:</w:t>
      </w:r>
      <w:r w:rsidRPr="00E462FE">
        <w:rPr>
          <w:rFonts w:ascii="Arial" w:hAnsi="Arial" w:cs="Arial"/>
          <w:sz w:val="22"/>
          <w:szCs w:val="22"/>
        </w:rPr>
        <w:t xml:space="preserve"> Ensure that person-centred care is provided without discrimination and respects basic rights</w:t>
      </w:r>
      <w:r w:rsidR="00C039E5" w:rsidRPr="00E462FE">
        <w:rPr>
          <w:rFonts w:ascii="Arial" w:hAnsi="Arial" w:cs="Arial"/>
          <w:sz w:val="22"/>
          <w:szCs w:val="22"/>
        </w:rPr>
        <w:t xml:space="preserve"> </w:t>
      </w:r>
      <w:r w:rsidRPr="00E462FE">
        <w:rPr>
          <w:rFonts w:ascii="Arial" w:hAnsi="Arial" w:cs="Arial"/>
          <w:sz w:val="22"/>
          <w:szCs w:val="22"/>
        </w:rPr>
        <w:t>such as Article 8 (Right to respect for private and family life). They compel health and social care workers to tailor interventions to diverse cultural, physical, and socio-economic needs (Ahmed, van den Muijsenbergh and Vrijhoef, 2022).</w:t>
      </w:r>
    </w:p>
    <w:p w14:paraId="1F924326" w14:textId="77777777" w:rsidR="00C820C7" w:rsidRPr="00E462FE" w:rsidRDefault="00CE0A52" w:rsidP="00287342">
      <w:pPr>
        <w:pStyle w:val="Heading1"/>
        <w:rPr>
          <w:rFonts w:cs="Arial"/>
          <w:sz w:val="28"/>
          <w:szCs w:val="48"/>
        </w:rPr>
      </w:pPr>
      <w:bookmarkStart w:id="7" w:name="_Toc235705563"/>
      <w:r w:rsidRPr="00E462FE">
        <w:rPr>
          <w:rFonts w:cs="Arial"/>
          <w:sz w:val="28"/>
          <w:szCs w:val="48"/>
        </w:rPr>
        <w:t>7. Recommendations for Future Development</w:t>
      </w:r>
      <w:bookmarkEnd w:id="7"/>
    </w:p>
    <w:p w14:paraId="1F924327"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To address the practical gaps identified between policy intentions and real-world execution within Community Adult Social Care, the following three evidence-based recommendations are proposed:</w:t>
      </w:r>
    </w:p>
    <w:p w14:paraId="1F924328" w14:textId="77777777" w:rsidR="00C820C7" w:rsidRPr="00E462FE" w:rsidRDefault="00CE0A52" w:rsidP="00287342">
      <w:pPr>
        <w:spacing w:line="360" w:lineRule="auto"/>
        <w:jc w:val="both"/>
        <w:rPr>
          <w:rFonts w:ascii="Arial" w:hAnsi="Arial" w:cs="Arial"/>
          <w:b/>
          <w:bCs/>
          <w:sz w:val="22"/>
          <w:szCs w:val="22"/>
        </w:rPr>
      </w:pPr>
      <w:r w:rsidRPr="00E462FE">
        <w:rPr>
          <w:rFonts w:ascii="Arial" w:hAnsi="Arial" w:cs="Arial"/>
          <w:b/>
          <w:bCs/>
          <w:sz w:val="22"/>
          <w:szCs w:val="22"/>
        </w:rPr>
        <w:t>Recommendation 1: Implementation of Unified Interoperable Digital Record Systems</w:t>
      </w:r>
    </w:p>
    <w:p w14:paraId="1F924329" w14:textId="77777777" w:rsidR="00C820C7" w:rsidRPr="00E462FE" w:rsidRDefault="00CE0A52" w:rsidP="00287342">
      <w:pPr>
        <w:numPr>
          <w:ilvl w:val="0"/>
          <w:numId w:val="22"/>
        </w:numPr>
        <w:spacing w:line="360" w:lineRule="auto"/>
        <w:jc w:val="both"/>
        <w:rPr>
          <w:rFonts w:ascii="Arial" w:hAnsi="Arial" w:cs="Arial"/>
          <w:sz w:val="22"/>
          <w:szCs w:val="22"/>
        </w:rPr>
      </w:pPr>
      <w:r w:rsidRPr="00E462FE">
        <w:rPr>
          <w:rFonts w:ascii="Arial" w:hAnsi="Arial" w:cs="Arial"/>
          <w:b/>
          <w:bCs/>
          <w:sz w:val="22"/>
          <w:szCs w:val="22"/>
        </w:rPr>
        <w:t>Rationale:</w:t>
      </w:r>
      <w:r w:rsidRPr="00E462FE">
        <w:rPr>
          <w:rFonts w:ascii="Arial" w:hAnsi="Arial" w:cs="Arial"/>
          <w:sz w:val="22"/>
          <w:szCs w:val="22"/>
        </w:rPr>
        <w:t xml:space="preserve"> Fragmented IT systems remain a barrier to effective partnership working, resulting in delayed care and repetitive user assessments (Lalani et al., 2024). Integrated Care Systems should invest in single, secure digital care records shared across community health and local authority social care teams.</w:t>
      </w:r>
    </w:p>
    <w:p w14:paraId="1F92432A" w14:textId="77777777" w:rsidR="00C820C7" w:rsidRPr="00E462FE" w:rsidRDefault="00CE0A52" w:rsidP="00287342">
      <w:pPr>
        <w:numPr>
          <w:ilvl w:val="0"/>
          <w:numId w:val="22"/>
        </w:numPr>
        <w:spacing w:line="360" w:lineRule="auto"/>
        <w:jc w:val="both"/>
        <w:rPr>
          <w:rFonts w:ascii="Arial" w:hAnsi="Arial" w:cs="Arial"/>
          <w:sz w:val="22"/>
          <w:szCs w:val="22"/>
        </w:rPr>
      </w:pPr>
      <w:r w:rsidRPr="00E462FE">
        <w:rPr>
          <w:rFonts w:ascii="Arial" w:hAnsi="Arial" w:cs="Arial"/>
          <w:b/>
          <w:bCs/>
          <w:sz w:val="22"/>
          <w:szCs w:val="22"/>
        </w:rPr>
        <w:lastRenderedPageBreak/>
        <w:t>Potential Barriers and Mitigation:</w:t>
      </w:r>
      <w:r w:rsidRPr="00E462FE">
        <w:rPr>
          <w:rFonts w:ascii="Arial" w:hAnsi="Arial" w:cs="Arial"/>
          <w:sz w:val="22"/>
          <w:szCs w:val="22"/>
        </w:rPr>
        <w:t xml:space="preserve"> Data protection concerns under UK </w:t>
      </w:r>
      <w:proofErr w:type="gramStart"/>
      <w:r w:rsidRPr="00E462FE">
        <w:rPr>
          <w:rFonts w:ascii="Arial" w:hAnsi="Arial" w:cs="Arial"/>
          <w:sz w:val="22"/>
          <w:szCs w:val="22"/>
        </w:rPr>
        <w:t>GDPR</w:t>
      </w:r>
      <w:proofErr w:type="gramEnd"/>
      <w:r w:rsidRPr="00E462FE">
        <w:rPr>
          <w:rFonts w:ascii="Arial" w:hAnsi="Arial" w:cs="Arial"/>
          <w:sz w:val="22"/>
          <w:szCs w:val="22"/>
        </w:rPr>
        <w:t xml:space="preserve"> and high implementation costs present major hurdles. This can be mitigated by establishing standardized data-sharing governance frameworks and phased digital rollouts backed by national funding.</w:t>
      </w:r>
    </w:p>
    <w:p w14:paraId="1F92432B" w14:textId="77777777" w:rsidR="00C820C7" w:rsidRPr="00E462FE" w:rsidRDefault="00CE0A52" w:rsidP="00287342">
      <w:pPr>
        <w:spacing w:line="360" w:lineRule="auto"/>
        <w:jc w:val="both"/>
        <w:rPr>
          <w:rFonts w:ascii="Arial" w:hAnsi="Arial" w:cs="Arial"/>
          <w:b/>
          <w:bCs/>
          <w:sz w:val="22"/>
          <w:szCs w:val="22"/>
        </w:rPr>
      </w:pPr>
      <w:r w:rsidRPr="00E462FE">
        <w:rPr>
          <w:rFonts w:ascii="Arial" w:hAnsi="Arial" w:cs="Arial"/>
          <w:b/>
          <w:bCs/>
          <w:sz w:val="22"/>
          <w:szCs w:val="22"/>
        </w:rPr>
        <w:t>Recommendation 2: Mandatory Joint Interprofessional Co-Production Training</w:t>
      </w:r>
    </w:p>
    <w:p w14:paraId="1F92432C" w14:textId="6B712C3F" w:rsidR="00C820C7" w:rsidRPr="00E462FE" w:rsidRDefault="00CE0A52" w:rsidP="00287342">
      <w:pPr>
        <w:numPr>
          <w:ilvl w:val="0"/>
          <w:numId w:val="23"/>
        </w:numPr>
        <w:spacing w:line="360" w:lineRule="auto"/>
        <w:jc w:val="both"/>
        <w:rPr>
          <w:rFonts w:ascii="Arial" w:hAnsi="Arial" w:cs="Arial"/>
          <w:sz w:val="22"/>
          <w:szCs w:val="22"/>
        </w:rPr>
      </w:pPr>
      <w:r w:rsidRPr="00E462FE">
        <w:rPr>
          <w:rFonts w:ascii="Arial" w:hAnsi="Arial" w:cs="Arial"/>
          <w:b/>
          <w:bCs/>
          <w:sz w:val="22"/>
          <w:szCs w:val="22"/>
        </w:rPr>
        <w:t xml:space="preserve">Rationale: </w:t>
      </w:r>
      <w:r w:rsidRPr="00E462FE">
        <w:rPr>
          <w:rFonts w:ascii="Arial" w:hAnsi="Arial" w:cs="Arial"/>
          <w:sz w:val="22"/>
          <w:szCs w:val="22"/>
        </w:rPr>
        <w:t xml:space="preserve">Differences in work culture between clinical health staff and social care practitioners </w:t>
      </w:r>
      <w:r w:rsidR="00A47C89" w:rsidRPr="00E462FE">
        <w:rPr>
          <w:rFonts w:ascii="Arial" w:hAnsi="Arial" w:cs="Arial"/>
          <w:sz w:val="22"/>
          <w:szCs w:val="22"/>
        </w:rPr>
        <w:t>make</w:t>
      </w:r>
      <w:r w:rsidRPr="00E462FE">
        <w:rPr>
          <w:rFonts w:ascii="Arial" w:hAnsi="Arial" w:cs="Arial"/>
          <w:sz w:val="22"/>
          <w:szCs w:val="22"/>
        </w:rPr>
        <w:t xml:space="preserve"> teamwork difficult. (Lalani et al., 2024). Developing joint, co-produced training modules focusing on collaborative communication, shared risk management, and person-centred values will build mutual respect and shared professional identities.</w:t>
      </w:r>
    </w:p>
    <w:p w14:paraId="1F92432D" w14:textId="77777777" w:rsidR="00C820C7" w:rsidRPr="00E462FE" w:rsidRDefault="00CE0A52" w:rsidP="00287342">
      <w:pPr>
        <w:numPr>
          <w:ilvl w:val="0"/>
          <w:numId w:val="23"/>
        </w:numPr>
        <w:spacing w:line="360" w:lineRule="auto"/>
        <w:jc w:val="both"/>
        <w:rPr>
          <w:rFonts w:ascii="Arial" w:hAnsi="Arial" w:cs="Arial"/>
          <w:sz w:val="22"/>
          <w:szCs w:val="22"/>
        </w:rPr>
      </w:pPr>
      <w:r w:rsidRPr="00E462FE">
        <w:rPr>
          <w:rFonts w:ascii="Arial" w:hAnsi="Arial" w:cs="Arial"/>
          <w:b/>
          <w:bCs/>
          <w:sz w:val="22"/>
          <w:szCs w:val="22"/>
        </w:rPr>
        <w:t>Potential Barriers and Mitigation:</w:t>
      </w:r>
      <w:r w:rsidRPr="00E462FE">
        <w:rPr>
          <w:rFonts w:ascii="Arial" w:hAnsi="Arial" w:cs="Arial"/>
          <w:sz w:val="22"/>
          <w:szCs w:val="22"/>
        </w:rPr>
        <w:t xml:space="preserve"> Staff shortages and time pressures make releasing staff for joint training difficult. Utilizing bite-sized, e-learning hybrid modules and scheduled cross-agency shadowing can overcome scheduling constraints.</w:t>
      </w:r>
    </w:p>
    <w:p w14:paraId="1F92432E" w14:textId="77777777" w:rsidR="00C820C7" w:rsidRPr="00E462FE" w:rsidRDefault="00CE0A52" w:rsidP="00287342">
      <w:pPr>
        <w:spacing w:line="360" w:lineRule="auto"/>
        <w:jc w:val="both"/>
        <w:rPr>
          <w:rFonts w:ascii="Arial" w:hAnsi="Arial" w:cs="Arial"/>
          <w:b/>
          <w:bCs/>
          <w:sz w:val="22"/>
          <w:szCs w:val="22"/>
        </w:rPr>
      </w:pPr>
      <w:r w:rsidRPr="00E462FE">
        <w:rPr>
          <w:rFonts w:ascii="Arial" w:hAnsi="Arial" w:cs="Arial"/>
          <w:b/>
          <w:bCs/>
          <w:sz w:val="22"/>
          <w:szCs w:val="22"/>
        </w:rPr>
        <w:t>Recommendation 3: Systemic Embedding of Values-Based Reflective Practice</w:t>
      </w:r>
    </w:p>
    <w:p w14:paraId="1F92432F" w14:textId="77777777" w:rsidR="00C820C7" w:rsidRPr="00E462FE" w:rsidRDefault="00CE0A52" w:rsidP="00287342">
      <w:pPr>
        <w:numPr>
          <w:ilvl w:val="0"/>
          <w:numId w:val="24"/>
        </w:numPr>
        <w:spacing w:line="360" w:lineRule="auto"/>
        <w:jc w:val="both"/>
        <w:rPr>
          <w:rFonts w:ascii="Arial" w:hAnsi="Arial" w:cs="Arial"/>
          <w:sz w:val="22"/>
          <w:szCs w:val="22"/>
        </w:rPr>
      </w:pPr>
      <w:r w:rsidRPr="00E462FE">
        <w:rPr>
          <w:rFonts w:ascii="Arial" w:hAnsi="Arial" w:cs="Arial"/>
          <w:b/>
          <w:bCs/>
          <w:sz w:val="22"/>
          <w:szCs w:val="22"/>
        </w:rPr>
        <w:t>Rationale:</w:t>
      </w:r>
      <w:r w:rsidRPr="00E462FE">
        <w:rPr>
          <w:rFonts w:ascii="Arial" w:hAnsi="Arial" w:cs="Arial"/>
          <w:sz w:val="22"/>
          <w:szCs w:val="22"/>
        </w:rPr>
        <w:t xml:space="preserve"> Heavy workloads often push practitioners toward task-focused, transactional care rather than relational, person-centred delivery (McCormack and McCance, 2006). Institutionalizing regular, structured reflective practice (such as Values-Based Reflective Practice sessions) enables practitioners to critically process complex ethical dilemmas and preserve person-centred focus.</w:t>
      </w:r>
    </w:p>
    <w:p w14:paraId="1F924330" w14:textId="77777777" w:rsidR="00C820C7" w:rsidRPr="00E462FE" w:rsidRDefault="00CE0A52" w:rsidP="00287342">
      <w:pPr>
        <w:numPr>
          <w:ilvl w:val="0"/>
          <w:numId w:val="24"/>
        </w:numPr>
        <w:spacing w:line="360" w:lineRule="auto"/>
        <w:jc w:val="both"/>
        <w:rPr>
          <w:rFonts w:ascii="Arial" w:hAnsi="Arial" w:cs="Arial"/>
          <w:sz w:val="22"/>
          <w:szCs w:val="22"/>
        </w:rPr>
      </w:pPr>
      <w:r w:rsidRPr="00E462FE">
        <w:rPr>
          <w:rFonts w:ascii="Arial" w:hAnsi="Arial" w:cs="Arial"/>
          <w:b/>
          <w:bCs/>
          <w:sz w:val="22"/>
          <w:szCs w:val="22"/>
        </w:rPr>
        <w:t>Potential Barriers and Mitigation:</w:t>
      </w:r>
      <w:r w:rsidRPr="00E462FE">
        <w:rPr>
          <w:rFonts w:ascii="Arial" w:hAnsi="Arial" w:cs="Arial"/>
          <w:sz w:val="22"/>
          <w:szCs w:val="22"/>
        </w:rPr>
        <w:t xml:space="preserve"> Organisational cultures may view reflective supervision as non-productive time away from front-line duties. Demonstrating long-term benefits in staff retention, well-being, and reduced safety incidents will help secure executive support.</w:t>
      </w:r>
    </w:p>
    <w:p w14:paraId="1F924331" w14:textId="77777777" w:rsidR="00C820C7" w:rsidRPr="00E462FE" w:rsidRDefault="00CE0A52" w:rsidP="00287342">
      <w:pPr>
        <w:pStyle w:val="Heading1"/>
        <w:rPr>
          <w:rFonts w:cs="Arial"/>
        </w:rPr>
      </w:pPr>
      <w:bookmarkStart w:id="8" w:name="_Toc235705564"/>
      <w:r w:rsidRPr="00E462FE">
        <w:rPr>
          <w:rFonts w:cs="Arial"/>
        </w:rPr>
        <w:t>8. Conclusion</w:t>
      </w:r>
      <w:bookmarkEnd w:id="8"/>
    </w:p>
    <w:p w14:paraId="1F924332"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This report critically examines Person-Centred Care (PCC) and Partnership Working (PW) in the context of Community Adult Social Care (ASC) and Integrated Older Adults (IOA) Service Provision. Findings from the analysis confirm that individual dignity, and positive health and service outcomes are enhanced through a focus on the service user. Application of McCormack and McCance’s Person-Centred Practice Framework illustrates that person-centred practice expertise is required on an individual practitioner lev</w:t>
      </w:r>
      <w:r w:rsidRPr="00E462FE">
        <w:rPr>
          <w:rFonts w:ascii="Arial" w:hAnsi="Arial" w:cs="Arial"/>
          <w:sz w:val="22"/>
          <w:szCs w:val="22"/>
        </w:rPr>
        <w:t xml:space="preserve">el as well as supportive organizational cultures and environments for person-centred delivery. Ethical dilemmas arising from tensions </w:t>
      </w:r>
      <w:r w:rsidRPr="00E462FE">
        <w:rPr>
          <w:rFonts w:ascii="Arial" w:hAnsi="Arial" w:cs="Arial"/>
          <w:sz w:val="22"/>
          <w:szCs w:val="22"/>
        </w:rPr>
        <w:lastRenderedPageBreak/>
        <w:t xml:space="preserve">between individual autonomy and professional duty of care also need strong ethical principles and positive risk taking. </w:t>
      </w:r>
    </w:p>
    <w:p w14:paraId="1F924333" w14:textId="58551384"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While legislative directives such as the Care Act 2014 and Health and Care Act 2022 provide a strong foundation for integrated partnership working, substantial operational barriers persist</w:t>
      </w:r>
      <w:r w:rsidR="007D76A3">
        <w:rPr>
          <w:rFonts w:ascii="Arial" w:hAnsi="Arial" w:cs="Arial"/>
          <w:sz w:val="22"/>
          <w:szCs w:val="22"/>
        </w:rPr>
        <w:t xml:space="preserve"> </w:t>
      </w:r>
      <w:r w:rsidRPr="00E462FE">
        <w:rPr>
          <w:rFonts w:ascii="Arial" w:hAnsi="Arial" w:cs="Arial"/>
          <w:sz w:val="22"/>
          <w:szCs w:val="22"/>
        </w:rPr>
        <w:t>including incompatible digital infrastructures, cultural siloing, and resource constraints. Achieving meaningful integration requires implementing shared digital care records, interprofessional training, and values-based reflective supervision. Ultimately, embedding PCC and PW as connected pillars of modern health and social care practice is essential for delivering equitable, high-quality, and compassionate care.</w:t>
      </w:r>
    </w:p>
    <w:p w14:paraId="1F924334" w14:textId="77777777" w:rsidR="00C820C7" w:rsidRPr="00E462FE" w:rsidRDefault="00C820C7" w:rsidP="00287342">
      <w:pPr>
        <w:spacing w:line="360" w:lineRule="auto"/>
        <w:jc w:val="both"/>
        <w:rPr>
          <w:rFonts w:ascii="Arial" w:hAnsi="Arial" w:cs="Arial"/>
          <w:sz w:val="22"/>
          <w:szCs w:val="22"/>
        </w:rPr>
      </w:pPr>
    </w:p>
    <w:p w14:paraId="1F924335" w14:textId="77777777" w:rsidR="00C820C7" w:rsidRPr="00E462FE" w:rsidRDefault="00CE0A52" w:rsidP="00287342">
      <w:pPr>
        <w:spacing w:line="360" w:lineRule="auto"/>
        <w:jc w:val="both"/>
        <w:rPr>
          <w:rFonts w:ascii="Arial" w:hAnsi="Arial" w:cs="Arial"/>
          <w:b/>
          <w:bCs/>
          <w:sz w:val="22"/>
          <w:szCs w:val="22"/>
        </w:rPr>
      </w:pPr>
      <w:r w:rsidRPr="00E462FE">
        <w:rPr>
          <w:rFonts w:ascii="Arial" w:hAnsi="Arial" w:cs="Arial"/>
          <w:b/>
          <w:bCs/>
          <w:sz w:val="22"/>
          <w:szCs w:val="22"/>
        </w:rPr>
        <w:t>References</w:t>
      </w:r>
    </w:p>
    <w:p w14:paraId="1F924336"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Ahmed, A., van den Muijsenbergh, M.E.T.C. and Vrijhoef, H.J.M. (2022). Person</w:t>
      </w:r>
      <w:r w:rsidRPr="00E462FE">
        <w:rPr>
          <w:rFonts w:ascii="Cambria Math" w:hAnsi="Cambria Math" w:cs="Cambria Math"/>
          <w:sz w:val="22"/>
          <w:szCs w:val="22"/>
        </w:rPr>
        <w:t>‐</w:t>
      </w:r>
      <w:r w:rsidRPr="00E462FE">
        <w:rPr>
          <w:rFonts w:ascii="Arial" w:hAnsi="Arial" w:cs="Arial"/>
          <w:sz w:val="22"/>
          <w:szCs w:val="22"/>
        </w:rPr>
        <w:t xml:space="preserve">centred care in primary care: What works for whom, how and in what circumstances? </w:t>
      </w:r>
      <w:r w:rsidRPr="00E462FE">
        <w:rPr>
          <w:rFonts w:ascii="Arial" w:hAnsi="Arial" w:cs="Arial"/>
          <w:i/>
          <w:iCs/>
          <w:sz w:val="22"/>
          <w:szCs w:val="22"/>
        </w:rPr>
        <w:t>Health &amp; Social Care in the Community</w:t>
      </w:r>
      <w:r w:rsidRPr="00E462FE">
        <w:rPr>
          <w:rFonts w:ascii="Arial" w:hAnsi="Arial" w:cs="Arial"/>
          <w:sz w:val="22"/>
          <w:szCs w:val="22"/>
        </w:rPr>
        <w:t xml:space="preserve">, 30(6), pp. 109–125. </w:t>
      </w:r>
      <w:hyperlink r:id="rId9" w:tgtFrame="_blank" w:history="1">
        <w:r w:rsidR="00C820C7" w:rsidRPr="00E462FE">
          <w:rPr>
            <w:rStyle w:val="Hyperlink"/>
            <w:rFonts w:ascii="Arial" w:hAnsi="Arial" w:cs="Arial"/>
            <w:sz w:val="22"/>
            <w:szCs w:val="22"/>
          </w:rPr>
          <w:t>https://doi.org/10.1111/hsc.13913</w:t>
        </w:r>
      </w:hyperlink>
    </w:p>
    <w:p w14:paraId="1F924337"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Beauchamp, T.L. and Childress, J.F. (2019). </w:t>
      </w:r>
      <w:r w:rsidRPr="00E462FE">
        <w:rPr>
          <w:rFonts w:ascii="Arial" w:hAnsi="Arial" w:cs="Arial"/>
          <w:i/>
          <w:iCs/>
          <w:sz w:val="22"/>
          <w:szCs w:val="22"/>
        </w:rPr>
        <w:t>Principles of Biomedical Ethics</w:t>
      </w:r>
      <w:r w:rsidRPr="00E462FE">
        <w:rPr>
          <w:rFonts w:ascii="Arial" w:hAnsi="Arial" w:cs="Arial"/>
          <w:sz w:val="22"/>
          <w:szCs w:val="22"/>
        </w:rPr>
        <w:t>. 8th edn. Oxford: Oxford University Press.</w:t>
      </w:r>
    </w:p>
    <w:p w14:paraId="1F924338"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Care Act 2014. c. 23. London: The Stationery Office.</w:t>
      </w:r>
    </w:p>
    <w:p w14:paraId="1F924339"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Coulter, A. and Oldham, J. (2016). Person-centred care: what is it and how do we get there? </w:t>
      </w:r>
      <w:r w:rsidRPr="00E462FE">
        <w:rPr>
          <w:rFonts w:ascii="Arial" w:hAnsi="Arial" w:cs="Arial"/>
          <w:i/>
          <w:iCs/>
          <w:sz w:val="22"/>
          <w:szCs w:val="22"/>
        </w:rPr>
        <w:t>Future Hospital Journal</w:t>
      </w:r>
      <w:r w:rsidRPr="00E462FE">
        <w:rPr>
          <w:rFonts w:ascii="Arial" w:hAnsi="Arial" w:cs="Arial"/>
          <w:sz w:val="22"/>
          <w:szCs w:val="22"/>
        </w:rPr>
        <w:t xml:space="preserve">, 3(2), pp. 114–116. </w:t>
      </w:r>
      <w:hyperlink r:id="rId10" w:tgtFrame="_blank" w:history="1">
        <w:r w:rsidR="00C820C7" w:rsidRPr="00E462FE">
          <w:rPr>
            <w:rStyle w:val="Hyperlink"/>
            <w:rFonts w:ascii="Arial" w:hAnsi="Arial" w:cs="Arial"/>
            <w:sz w:val="22"/>
            <w:szCs w:val="22"/>
          </w:rPr>
          <w:t>https://doi.org/10.7861/futurehosp.3-2-114</w:t>
        </w:r>
      </w:hyperlink>
    </w:p>
    <w:p w14:paraId="1F92433A"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Equality Act 2010. c. 15. London: The Stationery Office.</w:t>
      </w:r>
    </w:p>
    <w:p w14:paraId="1F92433B"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Health and Care Act 2022. c. 31. London: The Stationery Office.</w:t>
      </w:r>
    </w:p>
    <w:p w14:paraId="1F92433C"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Human Rights Act 1998. c. 42. London: The Stationery Office.</w:t>
      </w:r>
    </w:p>
    <w:p w14:paraId="1F92433D"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 xml:space="preserve">Lalani, M., Peters, M., Sugavanam, T., Crocker, H., Caiels, J., Hay, H., Gunn, S., Hogan, H., Page, B. and Fitzpatrick, R. (2024). New Ways of Working to Manage and Improve Quality in Integrated Care Systems in England. </w:t>
      </w:r>
      <w:r w:rsidRPr="00E462FE">
        <w:rPr>
          <w:rFonts w:ascii="Arial" w:hAnsi="Arial" w:cs="Arial"/>
          <w:i/>
          <w:iCs/>
          <w:sz w:val="22"/>
          <w:szCs w:val="22"/>
        </w:rPr>
        <w:t>International Journal of Health Policy and Management</w:t>
      </w:r>
      <w:r w:rsidRPr="00E462FE">
        <w:rPr>
          <w:rFonts w:ascii="Arial" w:hAnsi="Arial" w:cs="Arial"/>
          <w:sz w:val="22"/>
          <w:szCs w:val="22"/>
        </w:rPr>
        <w:t xml:space="preserve">, 13(1), pp. 1–12. </w:t>
      </w:r>
      <w:hyperlink r:id="rId11" w:tgtFrame="_blank" w:history="1">
        <w:r w:rsidR="00C820C7" w:rsidRPr="00E462FE">
          <w:rPr>
            <w:rStyle w:val="Hyperlink"/>
            <w:rFonts w:ascii="Arial" w:hAnsi="Arial" w:cs="Arial"/>
            <w:sz w:val="22"/>
            <w:szCs w:val="22"/>
          </w:rPr>
          <w:t>https://doi.org/10.34172/ijhpm.8424</w:t>
        </w:r>
      </w:hyperlink>
    </w:p>
    <w:p w14:paraId="1F92433E"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t>McCormack, B. and McCance, T.V. (2006). Development of a framework for person</w:t>
      </w:r>
      <w:r w:rsidRPr="00E462FE">
        <w:rPr>
          <w:rFonts w:ascii="Cambria Math" w:hAnsi="Cambria Math" w:cs="Cambria Math"/>
          <w:sz w:val="22"/>
          <w:szCs w:val="22"/>
        </w:rPr>
        <w:t>‐</w:t>
      </w:r>
      <w:r w:rsidRPr="00E462FE">
        <w:rPr>
          <w:rFonts w:ascii="Arial" w:hAnsi="Arial" w:cs="Arial"/>
          <w:sz w:val="22"/>
          <w:szCs w:val="22"/>
        </w:rPr>
        <w:t xml:space="preserve">centred nursing. </w:t>
      </w:r>
      <w:r w:rsidRPr="00E462FE">
        <w:rPr>
          <w:rFonts w:ascii="Arial" w:hAnsi="Arial" w:cs="Arial"/>
          <w:i/>
          <w:iCs/>
          <w:sz w:val="22"/>
          <w:szCs w:val="22"/>
        </w:rPr>
        <w:t>Journal of Advanced Nursing</w:t>
      </w:r>
      <w:r w:rsidRPr="00E462FE">
        <w:rPr>
          <w:rFonts w:ascii="Arial" w:hAnsi="Arial" w:cs="Arial"/>
          <w:sz w:val="22"/>
          <w:szCs w:val="22"/>
        </w:rPr>
        <w:t xml:space="preserve">, 56(5), pp. 472–479. </w:t>
      </w:r>
      <w:hyperlink r:id="rId12" w:tgtFrame="_blank" w:history="1">
        <w:r w:rsidR="00C820C7" w:rsidRPr="00E462FE">
          <w:rPr>
            <w:rStyle w:val="Hyperlink"/>
            <w:rFonts w:ascii="Arial" w:hAnsi="Arial" w:cs="Arial"/>
            <w:sz w:val="22"/>
            <w:szCs w:val="22"/>
          </w:rPr>
          <w:t>https://doi.org/10.1111/j.1365-2648.2006.04042.x</w:t>
        </w:r>
      </w:hyperlink>
    </w:p>
    <w:p w14:paraId="1F92433F" w14:textId="77777777" w:rsidR="00C820C7" w:rsidRPr="00E462FE" w:rsidRDefault="00CE0A52" w:rsidP="00287342">
      <w:pPr>
        <w:spacing w:line="360" w:lineRule="auto"/>
        <w:jc w:val="both"/>
        <w:rPr>
          <w:rFonts w:ascii="Arial" w:hAnsi="Arial" w:cs="Arial"/>
          <w:sz w:val="22"/>
          <w:szCs w:val="22"/>
        </w:rPr>
      </w:pPr>
      <w:r w:rsidRPr="00E462FE">
        <w:rPr>
          <w:rFonts w:ascii="Arial" w:hAnsi="Arial" w:cs="Arial"/>
          <w:sz w:val="22"/>
          <w:szCs w:val="22"/>
        </w:rPr>
        <w:lastRenderedPageBreak/>
        <w:t>Mental Capacity Act 2005. c. 9. London: The Stationery Office.</w:t>
      </w:r>
    </w:p>
    <w:p w14:paraId="1F924340" w14:textId="77777777" w:rsidR="00C820C7" w:rsidRPr="00E462FE" w:rsidRDefault="00C820C7" w:rsidP="00287342">
      <w:pPr>
        <w:spacing w:line="360" w:lineRule="auto"/>
        <w:jc w:val="both"/>
        <w:rPr>
          <w:rFonts w:ascii="Arial" w:hAnsi="Arial" w:cs="Arial"/>
          <w:sz w:val="22"/>
          <w:szCs w:val="22"/>
        </w:rPr>
      </w:pPr>
    </w:p>
    <w:sectPr w:rsidR="00C820C7" w:rsidRPr="00E462FE">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5DCE2" w14:textId="77777777" w:rsidR="00B20DEF" w:rsidRDefault="00B20DEF">
      <w:pPr>
        <w:spacing w:after="0" w:line="240" w:lineRule="auto"/>
      </w:pPr>
      <w:r>
        <w:separator/>
      </w:r>
    </w:p>
  </w:endnote>
  <w:endnote w:type="continuationSeparator" w:id="0">
    <w:p w14:paraId="338C1D19" w14:textId="77777777" w:rsidR="00B20DEF" w:rsidRDefault="00B20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4341" w14:textId="77777777" w:rsidR="00C820C7" w:rsidRDefault="00CE0A52">
    <w:pPr>
      <w:pStyle w:val="Footer"/>
      <w:jc w:val="center"/>
    </w:pPr>
    <w:r>
      <w:fldChar w:fldCharType="begin"/>
    </w:r>
    <w:r>
      <w:instrText xml:space="preserve"> PAGE   \* MERGEFORMAT </w:instrText>
    </w:r>
    <w:r>
      <w:fldChar w:fldCharType="separate"/>
    </w:r>
    <w:r>
      <w:rPr>
        <w:noProof/>
      </w:rPr>
      <w:t>2</w:t>
    </w:r>
    <w:r>
      <w:rPr>
        <w:noProof/>
      </w:rPr>
      <w:fldChar w:fldCharType="end"/>
    </w:r>
  </w:p>
  <w:p w14:paraId="1F924342" w14:textId="77777777" w:rsidR="00C820C7" w:rsidRDefault="00C82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44A7E" w14:textId="77777777" w:rsidR="00B20DEF" w:rsidRDefault="00B20DEF">
      <w:pPr>
        <w:spacing w:after="0" w:line="240" w:lineRule="auto"/>
      </w:pPr>
      <w:r>
        <w:separator/>
      </w:r>
    </w:p>
  </w:footnote>
  <w:footnote w:type="continuationSeparator" w:id="0">
    <w:p w14:paraId="681EDCFE" w14:textId="77777777" w:rsidR="00B20DEF" w:rsidRDefault="00B20D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632D27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2"/>
    <w:multiLevelType w:val="multilevel"/>
    <w:tmpl w:val="BCE2A8F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F9F4B0CA"/>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8B781D0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AA2C0F9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509AA15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multilevel"/>
    <w:tmpl w:val="B508962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2FD45CB0"/>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CA966212"/>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51E895D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B"/>
    <w:multiLevelType w:val="multilevel"/>
    <w:tmpl w:val="303E4198"/>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C7B02A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2" w15:restartNumberingAfterBreak="0">
    <w:nsid w:val="0000000D"/>
    <w:multiLevelType w:val="multilevel"/>
    <w:tmpl w:val="2DC07838"/>
    <w:lvl w:ilvl="0">
      <w:start w:val="1"/>
      <w:numFmt w:val="decimal"/>
      <w:lvlText w:val="%1."/>
      <w:lvlJc w:val="lef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A9B619C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909AFBD2"/>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9AF8AD28"/>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1"/>
    <w:multiLevelType w:val="multilevel"/>
    <w:tmpl w:val="9EB61270"/>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multilevel"/>
    <w:tmpl w:val="4E6882B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multilevel"/>
    <w:tmpl w:val="AA9222C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1F78BC1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multilevel"/>
    <w:tmpl w:val="BC2C731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6"/>
    <w:multiLevelType w:val="multilevel"/>
    <w:tmpl w:val="2FD45CB0"/>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7"/>
    <w:multiLevelType w:val="multilevel"/>
    <w:tmpl w:val="F82EC6D6"/>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248B27C9"/>
    <w:multiLevelType w:val="multilevel"/>
    <w:tmpl w:val="BBD42C5E"/>
    <w:lvl w:ilvl="0">
      <w:start w:val="1"/>
      <w:numFmt w:val="upperRoman"/>
      <w:lvlText w:val="%1."/>
      <w:lvlJc w:val="right"/>
      <w:pPr>
        <w:tabs>
          <w:tab w:val="left" w:pos="720"/>
        </w:tabs>
        <w:ind w:left="720" w:hanging="360"/>
      </w:pPr>
      <w:rPr>
        <w:rFont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332367589">
    <w:abstractNumId w:val="5"/>
  </w:num>
  <w:num w:numId="2" w16cid:durableId="640884649">
    <w:abstractNumId w:val="3"/>
  </w:num>
  <w:num w:numId="3" w16cid:durableId="1846364332">
    <w:abstractNumId w:val="17"/>
  </w:num>
  <w:num w:numId="4" w16cid:durableId="122384683">
    <w:abstractNumId w:val="19"/>
  </w:num>
  <w:num w:numId="5" w16cid:durableId="606692316">
    <w:abstractNumId w:val="0"/>
  </w:num>
  <w:num w:numId="6" w16cid:durableId="1584292817">
    <w:abstractNumId w:val="11"/>
  </w:num>
  <w:num w:numId="7" w16cid:durableId="455680019">
    <w:abstractNumId w:val="6"/>
  </w:num>
  <w:num w:numId="8" w16cid:durableId="933591961">
    <w:abstractNumId w:val="4"/>
  </w:num>
  <w:num w:numId="9" w16cid:durableId="1699431670">
    <w:abstractNumId w:val="1"/>
  </w:num>
  <w:num w:numId="10" w16cid:durableId="1628465239">
    <w:abstractNumId w:val="13"/>
  </w:num>
  <w:num w:numId="11" w16cid:durableId="589630148">
    <w:abstractNumId w:val="20"/>
  </w:num>
  <w:num w:numId="12" w16cid:durableId="455104697">
    <w:abstractNumId w:val="9"/>
  </w:num>
  <w:num w:numId="13" w16cid:durableId="1694262085">
    <w:abstractNumId w:val="18"/>
  </w:num>
  <w:num w:numId="14" w16cid:durableId="1513255737">
    <w:abstractNumId w:val="21"/>
  </w:num>
  <w:num w:numId="15" w16cid:durableId="1686781162">
    <w:abstractNumId w:val="12"/>
  </w:num>
  <w:num w:numId="16" w16cid:durableId="624627831">
    <w:abstractNumId w:val="8"/>
  </w:num>
  <w:num w:numId="17" w16cid:durableId="683826102">
    <w:abstractNumId w:val="23"/>
  </w:num>
  <w:num w:numId="18" w16cid:durableId="1693410138">
    <w:abstractNumId w:val="14"/>
  </w:num>
  <w:num w:numId="19" w16cid:durableId="653601889">
    <w:abstractNumId w:val="10"/>
  </w:num>
  <w:num w:numId="20" w16cid:durableId="458570740">
    <w:abstractNumId w:val="22"/>
  </w:num>
  <w:num w:numId="21" w16cid:durableId="1394811263">
    <w:abstractNumId w:val="15"/>
  </w:num>
  <w:num w:numId="22" w16cid:durableId="1760171457">
    <w:abstractNumId w:val="7"/>
  </w:num>
  <w:num w:numId="23" w16cid:durableId="522864547">
    <w:abstractNumId w:val="16"/>
  </w:num>
  <w:num w:numId="24" w16cid:durableId="1157649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C7"/>
    <w:rsid w:val="00052633"/>
    <w:rsid w:val="00063228"/>
    <w:rsid w:val="00097482"/>
    <w:rsid w:val="00182F1B"/>
    <w:rsid w:val="001B3DF4"/>
    <w:rsid w:val="001C15C2"/>
    <w:rsid w:val="001F014D"/>
    <w:rsid w:val="0024258E"/>
    <w:rsid w:val="00287342"/>
    <w:rsid w:val="00375E6E"/>
    <w:rsid w:val="003F15A7"/>
    <w:rsid w:val="0050601A"/>
    <w:rsid w:val="0059246C"/>
    <w:rsid w:val="005C0746"/>
    <w:rsid w:val="00785B4E"/>
    <w:rsid w:val="007D76A3"/>
    <w:rsid w:val="00826230"/>
    <w:rsid w:val="00865BFA"/>
    <w:rsid w:val="00896214"/>
    <w:rsid w:val="008D1CB7"/>
    <w:rsid w:val="008E3F2C"/>
    <w:rsid w:val="008F243E"/>
    <w:rsid w:val="00960CA1"/>
    <w:rsid w:val="00967BDA"/>
    <w:rsid w:val="009F5035"/>
    <w:rsid w:val="00A2047E"/>
    <w:rsid w:val="00A47C89"/>
    <w:rsid w:val="00B02B2E"/>
    <w:rsid w:val="00B20DEF"/>
    <w:rsid w:val="00B2121F"/>
    <w:rsid w:val="00BE46BD"/>
    <w:rsid w:val="00C039E5"/>
    <w:rsid w:val="00C67447"/>
    <w:rsid w:val="00C73EF2"/>
    <w:rsid w:val="00C820C7"/>
    <w:rsid w:val="00CA28DE"/>
    <w:rsid w:val="00CE0A52"/>
    <w:rsid w:val="00D66FEB"/>
    <w:rsid w:val="00D86393"/>
    <w:rsid w:val="00D921DD"/>
    <w:rsid w:val="00DB39C4"/>
    <w:rsid w:val="00DF67A8"/>
    <w:rsid w:val="00E462FE"/>
    <w:rsid w:val="00EA2372"/>
    <w:rsid w:val="00FA7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242A6"/>
  <w15:docId w15:val="{B711E73C-37C0-4FC1-88DA-3602A82E6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SimSu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120" w:line="360" w:lineRule="auto"/>
      <w:outlineLvl w:val="0"/>
    </w:pPr>
    <w:rPr>
      <w:rFonts w:ascii="Arial" w:eastAsia="SimSun" w:hAnsi="Arial"/>
      <w:b/>
      <w:color w:val="0F4761"/>
      <w:sz w:val="22"/>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Aptos Display" w:eastAsia="SimSun" w:hAnsi="Aptos Di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SimSun"/>
      <w:b/>
      <w:color w:val="0F4761"/>
      <w:sz w:val="22"/>
      <w:szCs w:val="40"/>
    </w:rPr>
  </w:style>
  <w:style w:type="character" w:customStyle="1" w:styleId="Heading2Char">
    <w:name w:val="Heading 2 Char"/>
    <w:basedOn w:val="DefaultParagraphFont"/>
    <w:link w:val="Heading2"/>
    <w:uiPriority w:val="9"/>
    <w:rPr>
      <w:rFonts w:ascii="Aptos Display" w:eastAsia="SimSun" w:hAnsi="Aptos Display" w:cs="SimSun"/>
      <w:color w:val="0F4761"/>
      <w:sz w:val="32"/>
      <w:szCs w:val="32"/>
    </w:rPr>
  </w:style>
  <w:style w:type="character" w:customStyle="1" w:styleId="Heading3Char">
    <w:name w:val="Heading 3 Char"/>
    <w:basedOn w:val="DefaultParagraphFont"/>
    <w:link w:val="Heading3"/>
    <w:uiPriority w:val="9"/>
    <w:rPr>
      <w:rFonts w:eastAsia="SimSun" w:cs="SimSun"/>
      <w:color w:val="0F4761"/>
      <w:sz w:val="28"/>
      <w:szCs w:val="28"/>
    </w:rPr>
  </w:style>
  <w:style w:type="character" w:customStyle="1" w:styleId="Heading4Char">
    <w:name w:val="Heading 4 Char"/>
    <w:basedOn w:val="DefaultParagraphFont"/>
    <w:link w:val="Heading4"/>
    <w:uiPriority w:val="9"/>
    <w:rPr>
      <w:rFonts w:eastAsia="SimSun" w:cs="SimSun"/>
      <w:i/>
      <w:iCs/>
      <w:color w:val="0F4761"/>
    </w:rPr>
  </w:style>
  <w:style w:type="character" w:customStyle="1" w:styleId="Heading5Char">
    <w:name w:val="Heading 5 Char"/>
    <w:basedOn w:val="DefaultParagraphFont"/>
    <w:link w:val="Heading5"/>
    <w:uiPriority w:val="9"/>
    <w:rPr>
      <w:rFonts w:eastAsia="SimSun" w:cs="SimSun"/>
      <w:color w:val="0F4761"/>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character" w:styleId="Hyperlink">
    <w:name w:val="Hyperlink"/>
    <w:basedOn w:val="DefaultParagraphFont"/>
    <w:uiPriority w:val="99"/>
    <w:rPr>
      <w:color w:val="467886"/>
      <w:u w:val="single"/>
    </w:rPr>
  </w:style>
  <w:style w:type="character" w:customStyle="1" w:styleId="UnresolvedMention1">
    <w:name w:val="Unresolved Mention1"/>
    <w:basedOn w:val="DefaultParagraphFont"/>
    <w:uiPriority w:val="99"/>
    <w:rPr>
      <w:color w:val="605E5C"/>
      <w:shd w:val="clear" w:color="auto" w:fill="E1DFDD"/>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GridTable1Light1">
    <w:name w:val="Grid Table 1 Light1"/>
    <w:basedOn w:val="TableNormal"/>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PlainTable11">
    <w:name w:val="Plain Table 11"/>
    <w:basedOn w:val="TableNormal"/>
    <w:uiPriority w:val="4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
    <w:name w:val="Table Grid Light1"/>
    <w:basedOn w:val="TableNormal"/>
    <w:uiPriority w:val="4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OCHeading">
    <w:name w:val="TOC Heading"/>
    <w:basedOn w:val="Heading1"/>
    <w:next w:val="Normal"/>
    <w:uiPriority w:val="39"/>
    <w:qFormat/>
    <w:pPr>
      <w:spacing w:before="240" w:after="0" w:line="259" w:lineRule="auto"/>
      <w:outlineLvl w:val="9"/>
    </w:pPr>
    <w:rPr>
      <w:rFonts w:ascii="Aptos Display" w:hAnsi="Aptos Display"/>
      <w:b w:val="0"/>
      <w:kern w:val="0"/>
      <w:sz w:val="32"/>
      <w:szCs w:val="32"/>
      <w14:ligatures w14:val="none"/>
    </w:rPr>
  </w:style>
  <w:style w:type="paragraph" w:styleId="TOC1">
    <w:name w:val="toc 1"/>
    <w:basedOn w:val="Normal"/>
    <w:next w:val="Normal"/>
    <w:uiPriority w:val="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https://doi.org/10.1111/j.1365-2648.2006.04042.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https://doi.org/10.34172/ijhpm.84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search?q=https://doi.org/10.7861/futurehosp.3-2-114" TargetMode="External"/><Relationship Id="rId4" Type="http://schemas.openxmlformats.org/officeDocument/2006/relationships/settings" Target="settings.xml"/><Relationship Id="rId9" Type="http://schemas.openxmlformats.org/officeDocument/2006/relationships/hyperlink" Target="https://doi.org/10.1111/hsc.1391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133E4-D059-43DD-A965-AAE4D7ED2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3061</Words>
  <Characters>17450</Characters>
  <Application>Microsoft Office Word</Application>
  <DocSecurity>0</DocSecurity>
  <Lines>145</Lines>
  <Paragraphs>40</Paragraphs>
  <ScaleCrop>false</ScaleCrop>
  <Company/>
  <LinksUpToDate>false</LinksUpToDate>
  <CharactersWithSpaces>20471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GoldBar Studios</dc:creator>
  <cp:lastModifiedBy>Irene Baaba Quagraine (2434408)</cp:lastModifiedBy>
  <cp:revision>2</cp:revision>
  <dcterms:created xsi:type="dcterms:W3CDTF">2026-07-24T01:08:00Z</dcterms:created>
  <dcterms:modified xsi:type="dcterms:W3CDTF">2026-07-24T01:08:00Z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b3ff83fcd0c04f65b54bef0c9660f045</vt:lpwstr>
  </property>
</Properties>
</file>