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628BD" w14:textId="77777777" w:rsidR="00274A91" w:rsidRPr="004234D0" w:rsidRDefault="00274A91" w:rsidP="00274A91">
      <w:pPr>
        <w:rPr>
          <w:rFonts w:ascii="Arial" w:hAnsi="Arial" w:cs="Arial"/>
          <w:sz w:val="24"/>
          <w:szCs w:val="24"/>
        </w:rPr>
      </w:pPr>
      <w:r w:rsidRPr="004234D0">
        <w:rPr>
          <w:rFonts w:ascii="Arial" w:hAnsi="Arial" w:cs="Arial"/>
          <w:b/>
          <w:bCs/>
          <w:sz w:val="24"/>
          <w:szCs w:val="24"/>
        </w:rPr>
        <w:t>Introduction</w:t>
      </w:r>
    </w:p>
    <w:p w14:paraId="51F5848B" w14:textId="1DFF22ED" w:rsidR="00274A91" w:rsidRPr="004234D0" w:rsidRDefault="00274A91" w:rsidP="00274A91">
      <w:pPr>
        <w:rPr>
          <w:rFonts w:ascii="Arial" w:hAnsi="Arial" w:cs="Arial"/>
          <w:sz w:val="24"/>
          <w:szCs w:val="24"/>
        </w:rPr>
      </w:pPr>
      <w:r w:rsidRPr="004234D0">
        <w:rPr>
          <w:rFonts w:ascii="Arial" w:hAnsi="Arial" w:cs="Arial"/>
          <w:sz w:val="24"/>
          <w:szCs w:val="24"/>
        </w:rPr>
        <w:t>The landscape of police surveillance in the United Kingdom has transformed significantly in recent decades, driven by technological advancements and ever-evolving criminal methodologies (</w:t>
      </w:r>
      <w:r w:rsidRPr="004234D0">
        <w:rPr>
          <w:rFonts w:ascii="Arial" w:hAnsi="Arial" w:cs="Arial"/>
          <w:b/>
          <w:bCs/>
          <w:sz w:val="24"/>
          <w:szCs w:val="24"/>
        </w:rPr>
        <w:t xml:space="preserve">Almeida, </w:t>
      </w:r>
      <w:proofErr w:type="spellStart"/>
      <w:r w:rsidRPr="004234D0">
        <w:rPr>
          <w:rFonts w:ascii="Arial" w:hAnsi="Arial" w:cs="Arial"/>
          <w:b/>
          <w:bCs/>
          <w:sz w:val="24"/>
          <w:szCs w:val="24"/>
        </w:rPr>
        <w:t>Shmarko</w:t>
      </w:r>
      <w:proofErr w:type="spellEnd"/>
      <w:r w:rsidRPr="004234D0">
        <w:rPr>
          <w:rFonts w:ascii="Arial" w:hAnsi="Arial" w:cs="Arial"/>
          <w:b/>
          <w:bCs/>
          <w:sz w:val="24"/>
          <w:szCs w:val="24"/>
        </w:rPr>
        <w:t xml:space="preserve"> and Lomas, 2021</w:t>
      </w:r>
      <w:r w:rsidRPr="004234D0">
        <w:rPr>
          <w:rFonts w:ascii="Arial" w:hAnsi="Arial" w:cs="Arial"/>
          <w:sz w:val="24"/>
          <w:szCs w:val="24"/>
        </w:rPr>
        <w:t>). This essay critically examines how traditional surveillance practices have adapted and integrated with digital technologies to create comprehensive surveillance capabilities within UK law enforcement. By evaluating current theories, methods, and their implications related to policing surveillance techniques, this essay argues that while these practices enhance public safety, they must be balanced with robust safeguards for transparency, accountability, and human rights.</w:t>
      </w:r>
    </w:p>
    <w:p w14:paraId="52EAB6F1" w14:textId="77777777" w:rsidR="00274A91" w:rsidRPr="004234D0" w:rsidRDefault="00274A91" w:rsidP="00274A91">
      <w:pPr>
        <w:rPr>
          <w:rFonts w:ascii="Arial" w:hAnsi="Arial" w:cs="Arial"/>
          <w:sz w:val="24"/>
          <w:szCs w:val="24"/>
        </w:rPr>
      </w:pPr>
      <w:r w:rsidRPr="004234D0">
        <w:rPr>
          <w:rFonts w:ascii="Arial" w:hAnsi="Arial" w:cs="Arial"/>
          <w:b/>
          <w:bCs/>
          <w:sz w:val="24"/>
          <w:szCs w:val="24"/>
        </w:rPr>
        <w:t>Definition of Surveillance</w:t>
      </w:r>
    </w:p>
    <w:p w14:paraId="11790B5A" w14:textId="77777777" w:rsidR="00274A91" w:rsidRPr="004234D0" w:rsidRDefault="00274A91" w:rsidP="00274A91">
      <w:pPr>
        <w:rPr>
          <w:rFonts w:ascii="Arial" w:hAnsi="Arial" w:cs="Arial"/>
          <w:sz w:val="24"/>
          <w:szCs w:val="24"/>
        </w:rPr>
      </w:pPr>
      <w:r w:rsidRPr="004234D0">
        <w:rPr>
          <w:rFonts w:ascii="Arial" w:hAnsi="Arial" w:cs="Arial"/>
          <w:sz w:val="24"/>
          <w:szCs w:val="24"/>
        </w:rPr>
        <w:t>In the UK, the Regulation of Investigatory Powers Act 2000 (RIPA) is an act of parliament that regulates the police and other public bodies to conduct surveillance. “Surveillance includes monitoring, observing, or listening to persons, their movements, conversations, or other activities and communications. It may be conducted with or without the assistance of a surveillance device and includes the recording of any information obtained” (</w:t>
      </w:r>
      <w:r w:rsidRPr="00D44723">
        <w:rPr>
          <w:rFonts w:ascii="Arial" w:hAnsi="Arial" w:cs="Arial"/>
          <w:b/>
          <w:bCs/>
          <w:sz w:val="24"/>
          <w:szCs w:val="24"/>
        </w:rPr>
        <w:t>Home Office, 2023</w:t>
      </w:r>
      <w:r w:rsidRPr="004234D0">
        <w:rPr>
          <w:rFonts w:ascii="Arial" w:hAnsi="Arial" w:cs="Arial"/>
          <w:sz w:val="24"/>
          <w:szCs w:val="24"/>
        </w:rPr>
        <w:t>).</w:t>
      </w:r>
    </w:p>
    <w:p w14:paraId="6BB54054" w14:textId="77777777" w:rsidR="00274A91" w:rsidRPr="004234D0" w:rsidRDefault="00274A91" w:rsidP="00274A91">
      <w:pPr>
        <w:rPr>
          <w:rFonts w:ascii="Arial" w:hAnsi="Arial" w:cs="Arial"/>
          <w:sz w:val="24"/>
          <w:szCs w:val="24"/>
        </w:rPr>
      </w:pPr>
      <w:r w:rsidRPr="004234D0">
        <w:rPr>
          <w:rFonts w:ascii="Arial" w:hAnsi="Arial" w:cs="Arial"/>
          <w:b/>
          <w:bCs/>
          <w:sz w:val="24"/>
          <w:szCs w:val="24"/>
        </w:rPr>
        <w:t>Theoretical Foundations of Surveillance</w:t>
      </w:r>
    </w:p>
    <w:p w14:paraId="2371BF0B" w14:textId="77777777" w:rsidR="00274A91" w:rsidRPr="004234D0" w:rsidRDefault="00274A91" w:rsidP="00274A91">
      <w:pPr>
        <w:rPr>
          <w:rFonts w:ascii="Arial" w:hAnsi="Arial" w:cs="Arial"/>
          <w:sz w:val="24"/>
          <w:szCs w:val="24"/>
        </w:rPr>
      </w:pPr>
      <w:r w:rsidRPr="004234D0">
        <w:rPr>
          <w:rFonts w:ascii="Arial" w:hAnsi="Arial" w:cs="Arial"/>
          <w:sz w:val="24"/>
          <w:szCs w:val="24"/>
        </w:rPr>
        <w:t xml:space="preserve">Understanding surveillance in policing starts with key theories. Michel Foucault's concept of the "panopticon" is an important reference point. The panopticon was originally a prison design by Jeremy Bentham, where inmates could be </w:t>
      </w:r>
      <w:proofErr w:type="gramStart"/>
      <w:r w:rsidRPr="004234D0">
        <w:rPr>
          <w:rFonts w:ascii="Arial" w:hAnsi="Arial" w:cs="Arial"/>
          <w:sz w:val="24"/>
          <w:szCs w:val="24"/>
        </w:rPr>
        <w:t>watched at all times</w:t>
      </w:r>
      <w:proofErr w:type="gramEnd"/>
      <w:r w:rsidRPr="004234D0">
        <w:rPr>
          <w:rFonts w:ascii="Arial" w:hAnsi="Arial" w:cs="Arial"/>
          <w:sz w:val="24"/>
          <w:szCs w:val="24"/>
        </w:rPr>
        <w:t xml:space="preserve"> without knowing when they were being observed (</w:t>
      </w:r>
      <w:r w:rsidRPr="00D44723">
        <w:rPr>
          <w:rFonts w:ascii="Arial" w:hAnsi="Arial" w:cs="Arial"/>
          <w:b/>
          <w:bCs/>
          <w:sz w:val="24"/>
          <w:szCs w:val="24"/>
        </w:rPr>
        <w:t>UCL, 2024</w:t>
      </w:r>
      <w:r w:rsidRPr="004234D0">
        <w:rPr>
          <w:rFonts w:ascii="Arial" w:hAnsi="Arial" w:cs="Arial"/>
          <w:sz w:val="24"/>
          <w:szCs w:val="24"/>
        </w:rPr>
        <w:t>). Foucault used this idea as a metaphor to explain how constant observation can make people regulate their own behaviour. In UK policing, this concept applies to systems like CCTV, which aim to prevent crime by creating a feeling of constant monitoring (</w:t>
      </w:r>
      <w:proofErr w:type="spellStart"/>
      <w:r w:rsidRPr="00D44723">
        <w:rPr>
          <w:rFonts w:ascii="Arial" w:hAnsi="Arial" w:cs="Arial"/>
          <w:b/>
          <w:bCs/>
          <w:sz w:val="24"/>
          <w:szCs w:val="24"/>
        </w:rPr>
        <w:t>Sargiacomo</w:t>
      </w:r>
      <w:proofErr w:type="spellEnd"/>
      <w:r w:rsidRPr="00D44723">
        <w:rPr>
          <w:rFonts w:ascii="Arial" w:hAnsi="Arial" w:cs="Arial"/>
          <w:b/>
          <w:bCs/>
          <w:sz w:val="24"/>
          <w:szCs w:val="24"/>
        </w:rPr>
        <w:t>, 2009</w:t>
      </w:r>
      <w:r w:rsidRPr="004234D0">
        <w:rPr>
          <w:rFonts w:ascii="Arial" w:hAnsi="Arial" w:cs="Arial"/>
          <w:sz w:val="24"/>
          <w:szCs w:val="24"/>
        </w:rPr>
        <w:t xml:space="preserve">). Scholars like </w:t>
      </w:r>
      <w:r w:rsidRPr="00D44723">
        <w:rPr>
          <w:rFonts w:ascii="Arial" w:hAnsi="Arial" w:cs="Arial"/>
          <w:b/>
          <w:bCs/>
          <w:sz w:val="24"/>
          <w:szCs w:val="24"/>
        </w:rPr>
        <w:t>Lyon (2001)</w:t>
      </w:r>
      <w:r w:rsidRPr="004234D0">
        <w:rPr>
          <w:rFonts w:ascii="Arial" w:hAnsi="Arial" w:cs="Arial"/>
          <w:sz w:val="24"/>
          <w:szCs w:val="24"/>
        </w:rPr>
        <w:t xml:space="preserve"> expand on this with the idea of a "surveillance society," where data collection and monitoring are everywhere. Another useful theory is the "assemblage theory" by </w:t>
      </w:r>
      <w:r w:rsidRPr="00D44723">
        <w:rPr>
          <w:rFonts w:ascii="Arial" w:hAnsi="Arial" w:cs="Arial"/>
          <w:b/>
          <w:bCs/>
          <w:sz w:val="24"/>
          <w:szCs w:val="24"/>
        </w:rPr>
        <w:t>Haggerty and Ericson (2001).</w:t>
      </w:r>
      <w:r w:rsidRPr="004234D0">
        <w:rPr>
          <w:rFonts w:ascii="Arial" w:hAnsi="Arial" w:cs="Arial"/>
          <w:sz w:val="24"/>
          <w:szCs w:val="24"/>
        </w:rPr>
        <w:t xml:space="preserve"> Their theory describes how surveillance works as a network of connected technologies and practices. In the UK, examples include combining CCTV, Automatic Number Plate Recognition (ANPR), and biometric databases. Together, these systems create a powerful web of monitoring that helps police investigate criminal offences but also raises questions about privacy and proportionality (</w:t>
      </w:r>
      <w:r w:rsidRPr="00D44723">
        <w:rPr>
          <w:rFonts w:ascii="Arial" w:hAnsi="Arial" w:cs="Arial"/>
          <w:b/>
          <w:bCs/>
          <w:sz w:val="24"/>
          <w:szCs w:val="24"/>
        </w:rPr>
        <w:t>IGI Global and Information Resources Management Association, 2019</w:t>
      </w:r>
      <w:r w:rsidRPr="004234D0">
        <w:rPr>
          <w:rFonts w:ascii="Arial" w:hAnsi="Arial" w:cs="Arial"/>
          <w:sz w:val="24"/>
          <w:szCs w:val="24"/>
        </w:rPr>
        <w:t>).</w:t>
      </w:r>
    </w:p>
    <w:p w14:paraId="5DBACB75" w14:textId="77777777" w:rsidR="00274A91" w:rsidRPr="004234D0" w:rsidRDefault="00274A91" w:rsidP="00274A91">
      <w:pPr>
        <w:rPr>
          <w:rFonts w:ascii="Arial" w:hAnsi="Arial" w:cs="Arial"/>
          <w:sz w:val="24"/>
          <w:szCs w:val="24"/>
        </w:rPr>
      </w:pPr>
      <w:r w:rsidRPr="004234D0">
        <w:rPr>
          <w:rFonts w:ascii="Arial" w:hAnsi="Arial" w:cs="Arial"/>
          <w:b/>
          <w:bCs/>
          <w:sz w:val="24"/>
          <w:szCs w:val="24"/>
        </w:rPr>
        <w:t>Current Surveillance Techniques in UK Policing</w:t>
      </w:r>
    </w:p>
    <w:p w14:paraId="621C25C3" w14:textId="77777777" w:rsidR="00274A91" w:rsidRPr="004234D0" w:rsidRDefault="00274A91" w:rsidP="00274A91">
      <w:pPr>
        <w:rPr>
          <w:rFonts w:ascii="Arial" w:hAnsi="Arial" w:cs="Arial"/>
          <w:sz w:val="24"/>
          <w:szCs w:val="24"/>
        </w:rPr>
      </w:pPr>
      <w:r w:rsidRPr="004234D0">
        <w:rPr>
          <w:rFonts w:ascii="Arial" w:hAnsi="Arial" w:cs="Arial"/>
          <w:sz w:val="24"/>
          <w:szCs w:val="24"/>
        </w:rPr>
        <w:t>UK policing uses a variety of surveillance techniques, ranging from traditional methods to advanced digital tools. These include:</w:t>
      </w:r>
    </w:p>
    <w:p w14:paraId="6CE19702" w14:textId="77777777" w:rsidR="00274A91" w:rsidRPr="004234D0" w:rsidRDefault="00274A91" w:rsidP="00274A91">
      <w:pPr>
        <w:numPr>
          <w:ilvl w:val="0"/>
          <w:numId w:val="1"/>
        </w:numPr>
        <w:rPr>
          <w:rFonts w:ascii="Arial" w:hAnsi="Arial" w:cs="Arial"/>
          <w:sz w:val="24"/>
          <w:szCs w:val="24"/>
        </w:rPr>
      </w:pPr>
      <w:r w:rsidRPr="004234D0">
        <w:rPr>
          <w:rFonts w:ascii="Arial" w:hAnsi="Arial" w:cs="Arial"/>
          <w:sz w:val="24"/>
          <w:szCs w:val="24"/>
        </w:rPr>
        <w:t xml:space="preserve">CCTV Systems: The UK is one of the most </w:t>
      </w:r>
      <w:proofErr w:type="spellStart"/>
      <w:r w:rsidRPr="004234D0">
        <w:rPr>
          <w:rFonts w:ascii="Arial" w:hAnsi="Arial" w:cs="Arial"/>
          <w:sz w:val="24"/>
          <w:szCs w:val="24"/>
        </w:rPr>
        <w:t>surveilled</w:t>
      </w:r>
      <w:proofErr w:type="spellEnd"/>
      <w:r w:rsidRPr="004234D0">
        <w:rPr>
          <w:rFonts w:ascii="Arial" w:hAnsi="Arial" w:cs="Arial"/>
          <w:sz w:val="24"/>
          <w:szCs w:val="24"/>
        </w:rPr>
        <w:t xml:space="preserve"> countries in the world, with millions of CCTV cameras in public and private spaces (</w:t>
      </w:r>
      <w:r w:rsidRPr="00D44723">
        <w:rPr>
          <w:rFonts w:ascii="Arial" w:hAnsi="Arial" w:cs="Arial"/>
          <w:b/>
          <w:bCs/>
          <w:sz w:val="24"/>
          <w:szCs w:val="24"/>
        </w:rPr>
        <w:t>IFSEC Global, 2020</w:t>
      </w:r>
      <w:r w:rsidRPr="004234D0">
        <w:rPr>
          <w:rFonts w:ascii="Arial" w:hAnsi="Arial" w:cs="Arial"/>
          <w:sz w:val="24"/>
          <w:szCs w:val="24"/>
        </w:rPr>
        <w:t xml:space="preserve">). While these cameras play a vital role in investigating and deterring crime, their effectiveness is not always clear-cut. Studies suggest that CCTV works best when combined with other measures and when actively monitored, </w:t>
      </w:r>
      <w:r w:rsidRPr="004234D0">
        <w:rPr>
          <w:rFonts w:ascii="Arial" w:hAnsi="Arial" w:cs="Arial"/>
          <w:sz w:val="24"/>
          <w:szCs w:val="24"/>
        </w:rPr>
        <w:lastRenderedPageBreak/>
        <w:t>rather than passively recorded (</w:t>
      </w:r>
      <w:proofErr w:type="spellStart"/>
      <w:r w:rsidRPr="00D44723">
        <w:rPr>
          <w:rFonts w:ascii="Arial" w:hAnsi="Arial" w:cs="Arial"/>
          <w:b/>
          <w:bCs/>
          <w:sz w:val="24"/>
          <w:szCs w:val="24"/>
        </w:rPr>
        <w:t>Gannoni</w:t>
      </w:r>
      <w:proofErr w:type="spellEnd"/>
      <w:r w:rsidRPr="00D44723">
        <w:rPr>
          <w:rFonts w:ascii="Arial" w:hAnsi="Arial" w:cs="Arial"/>
          <w:b/>
          <w:bCs/>
          <w:sz w:val="24"/>
          <w:szCs w:val="24"/>
        </w:rPr>
        <w:t xml:space="preserve"> et al., 2017</w:t>
      </w:r>
      <w:r w:rsidRPr="004234D0">
        <w:rPr>
          <w:rFonts w:ascii="Arial" w:hAnsi="Arial" w:cs="Arial"/>
          <w:sz w:val="24"/>
          <w:szCs w:val="24"/>
        </w:rPr>
        <w:t>). Critics also argue that the scale of CCTV coverage raises serious privacy concerns and risks of misuse (</w:t>
      </w:r>
      <w:r w:rsidRPr="00D44723">
        <w:rPr>
          <w:rFonts w:ascii="Arial" w:hAnsi="Arial" w:cs="Arial"/>
          <w:b/>
          <w:bCs/>
          <w:sz w:val="24"/>
          <w:szCs w:val="24"/>
        </w:rPr>
        <w:t>Big Brother Watch, 2023</w:t>
      </w:r>
      <w:r w:rsidRPr="004234D0">
        <w:rPr>
          <w:rFonts w:ascii="Arial" w:hAnsi="Arial" w:cs="Arial"/>
          <w:sz w:val="24"/>
          <w:szCs w:val="24"/>
        </w:rPr>
        <w:t>).</w:t>
      </w:r>
    </w:p>
    <w:p w14:paraId="256B1A85" w14:textId="77777777" w:rsidR="00274A91" w:rsidRPr="004234D0" w:rsidRDefault="00274A91" w:rsidP="00274A91">
      <w:pPr>
        <w:numPr>
          <w:ilvl w:val="0"/>
          <w:numId w:val="1"/>
        </w:numPr>
        <w:rPr>
          <w:rFonts w:ascii="Arial" w:hAnsi="Arial" w:cs="Arial"/>
          <w:sz w:val="24"/>
          <w:szCs w:val="24"/>
        </w:rPr>
      </w:pPr>
      <w:r w:rsidRPr="004234D0">
        <w:rPr>
          <w:rFonts w:ascii="Arial" w:hAnsi="Arial" w:cs="Arial"/>
          <w:sz w:val="24"/>
          <w:szCs w:val="24"/>
        </w:rPr>
        <w:t>Facial Recognition Technology (FRT): Police forces, like the Metropolitan Police, have tested live facial recognition to identify people in real-time (</w:t>
      </w:r>
      <w:r w:rsidRPr="00D44723">
        <w:rPr>
          <w:rFonts w:ascii="Arial" w:hAnsi="Arial" w:cs="Arial"/>
          <w:b/>
          <w:bCs/>
          <w:sz w:val="24"/>
          <w:szCs w:val="24"/>
        </w:rPr>
        <w:t>Fussey and Murray, 2019</w:t>
      </w:r>
      <w:r w:rsidRPr="004234D0">
        <w:rPr>
          <w:rFonts w:ascii="Arial" w:hAnsi="Arial" w:cs="Arial"/>
          <w:sz w:val="24"/>
          <w:szCs w:val="24"/>
        </w:rPr>
        <w:t>). FRT can help locate wanted individuals more efficiently, but it has faced strong criticism. Research shows that facial recognition algorithms can exhibit bias, leading to disproportionate misidentification of certain ethnic groups (</w:t>
      </w:r>
      <w:r w:rsidRPr="00D44723">
        <w:rPr>
          <w:rFonts w:ascii="Arial" w:hAnsi="Arial" w:cs="Arial"/>
          <w:b/>
          <w:bCs/>
          <w:sz w:val="24"/>
          <w:szCs w:val="24"/>
        </w:rPr>
        <w:t>Fussey and Murray, 2019</w:t>
      </w:r>
      <w:r w:rsidRPr="004234D0">
        <w:rPr>
          <w:rFonts w:ascii="Arial" w:hAnsi="Arial" w:cs="Arial"/>
          <w:sz w:val="24"/>
          <w:szCs w:val="24"/>
        </w:rPr>
        <w:t xml:space="preserve">). There are also worries that the extensive use of facial recognition technology might discourage people from freely expressing themselves or </w:t>
      </w:r>
      <w:proofErr w:type="gramStart"/>
      <w:r w:rsidRPr="004234D0">
        <w:rPr>
          <w:rFonts w:ascii="Arial" w:hAnsi="Arial" w:cs="Arial"/>
          <w:sz w:val="24"/>
          <w:szCs w:val="24"/>
        </w:rPr>
        <w:t>gathering together</w:t>
      </w:r>
      <w:proofErr w:type="gramEnd"/>
      <w:r w:rsidRPr="004234D0">
        <w:rPr>
          <w:rFonts w:ascii="Arial" w:hAnsi="Arial" w:cs="Arial"/>
          <w:sz w:val="24"/>
          <w:szCs w:val="24"/>
        </w:rPr>
        <w:t>, since they may feel like they are always being watched and identified (</w:t>
      </w:r>
      <w:r w:rsidRPr="00D44723">
        <w:rPr>
          <w:rFonts w:ascii="Arial" w:hAnsi="Arial" w:cs="Arial"/>
          <w:b/>
          <w:bCs/>
          <w:sz w:val="24"/>
          <w:szCs w:val="24"/>
        </w:rPr>
        <w:t>Urquhart and Miranda, 2021</w:t>
      </w:r>
      <w:r w:rsidRPr="004234D0">
        <w:rPr>
          <w:rFonts w:ascii="Arial" w:hAnsi="Arial" w:cs="Arial"/>
          <w:sz w:val="24"/>
          <w:szCs w:val="24"/>
        </w:rPr>
        <w:t>). Strict necessity and proportionality tests are crucial.</w:t>
      </w:r>
    </w:p>
    <w:p w14:paraId="18E51E49" w14:textId="77777777" w:rsidR="00274A91" w:rsidRPr="004234D0" w:rsidRDefault="00274A91" w:rsidP="00274A91">
      <w:pPr>
        <w:numPr>
          <w:ilvl w:val="0"/>
          <w:numId w:val="1"/>
        </w:numPr>
        <w:rPr>
          <w:rFonts w:ascii="Arial" w:hAnsi="Arial" w:cs="Arial"/>
          <w:sz w:val="24"/>
          <w:szCs w:val="24"/>
        </w:rPr>
      </w:pPr>
      <w:r w:rsidRPr="004234D0">
        <w:rPr>
          <w:rFonts w:ascii="Arial" w:hAnsi="Arial" w:cs="Arial"/>
          <w:sz w:val="24"/>
          <w:szCs w:val="24"/>
        </w:rPr>
        <w:t xml:space="preserve">Digital Surveillance and Data Mining: </w:t>
      </w:r>
      <w:proofErr w:type="gramStart"/>
      <w:r w:rsidRPr="004234D0">
        <w:rPr>
          <w:rFonts w:ascii="Arial" w:hAnsi="Arial" w:cs="Arial"/>
          <w:sz w:val="24"/>
          <w:szCs w:val="24"/>
        </w:rPr>
        <w:t>Social media</w:t>
      </w:r>
      <w:proofErr w:type="gramEnd"/>
      <w:r w:rsidRPr="004234D0">
        <w:rPr>
          <w:rFonts w:ascii="Arial" w:hAnsi="Arial" w:cs="Arial"/>
          <w:sz w:val="24"/>
          <w:szCs w:val="24"/>
        </w:rPr>
        <w:t xml:space="preserve"> and online communications are increasingly monitored by police to identify threats, gather intelligence, and predict criminal behaviour. The Investigatory Powers Act 2016, also known as the "Snooper's Charter," gives police broad powers to access and store digital communications data. While this can help stop serious crimes, privacy advocates argue the law lacks sufficient safeguards against abuse (</w:t>
      </w:r>
      <w:proofErr w:type="spellStart"/>
      <w:r w:rsidRPr="00D44723">
        <w:rPr>
          <w:rFonts w:ascii="Arial" w:hAnsi="Arial" w:cs="Arial"/>
          <w:b/>
          <w:bCs/>
          <w:sz w:val="24"/>
          <w:szCs w:val="24"/>
        </w:rPr>
        <w:t>kiteworks</w:t>
      </w:r>
      <w:proofErr w:type="spellEnd"/>
      <w:r w:rsidRPr="00D44723">
        <w:rPr>
          <w:rFonts w:ascii="Arial" w:hAnsi="Arial" w:cs="Arial"/>
          <w:b/>
          <w:bCs/>
          <w:sz w:val="24"/>
          <w:szCs w:val="24"/>
        </w:rPr>
        <w:t>, n.d</w:t>
      </w:r>
      <w:r w:rsidRPr="004234D0">
        <w:rPr>
          <w:rFonts w:ascii="Arial" w:hAnsi="Arial" w:cs="Arial"/>
          <w:sz w:val="24"/>
          <w:szCs w:val="24"/>
        </w:rPr>
        <w:t>.). Strong oversight and transparency are key to maintaining public trust.</w:t>
      </w:r>
    </w:p>
    <w:p w14:paraId="28C79250" w14:textId="77777777" w:rsidR="00274A91" w:rsidRPr="004234D0" w:rsidRDefault="00274A91" w:rsidP="00274A91">
      <w:pPr>
        <w:numPr>
          <w:ilvl w:val="0"/>
          <w:numId w:val="1"/>
        </w:numPr>
        <w:rPr>
          <w:rFonts w:ascii="Arial" w:hAnsi="Arial" w:cs="Arial"/>
          <w:sz w:val="24"/>
          <w:szCs w:val="24"/>
        </w:rPr>
      </w:pPr>
      <w:r w:rsidRPr="004234D0">
        <w:rPr>
          <w:rFonts w:ascii="Arial" w:hAnsi="Arial" w:cs="Arial"/>
          <w:sz w:val="24"/>
          <w:szCs w:val="24"/>
        </w:rPr>
        <w:t xml:space="preserve">Covert Human Intelligence Sources (CHIS): Undercover officers and informants remain vital for gathering intelligence on serious crimes. Recent laws, like the Covert Human Intelligence Sources (Criminal Conduct) Act 2021, allow police to authorise criminal activities by use of a CHIS. </w:t>
      </w:r>
      <w:proofErr w:type="gramStart"/>
      <w:r w:rsidRPr="004234D0">
        <w:rPr>
          <w:rFonts w:ascii="Arial" w:hAnsi="Arial" w:cs="Arial"/>
          <w:sz w:val="24"/>
          <w:szCs w:val="24"/>
        </w:rPr>
        <w:t>This raises</w:t>
      </w:r>
      <w:proofErr w:type="gramEnd"/>
      <w:r w:rsidRPr="004234D0">
        <w:rPr>
          <w:rFonts w:ascii="Arial" w:hAnsi="Arial" w:cs="Arial"/>
          <w:sz w:val="24"/>
          <w:szCs w:val="24"/>
        </w:rPr>
        <w:t xml:space="preserve"> pressing ethical questions around the limits of acceptable deception and risks blurring the lines between law enforcement and criminality if not managed properly (</w:t>
      </w:r>
      <w:r w:rsidRPr="00D44723">
        <w:rPr>
          <w:rFonts w:ascii="Arial" w:hAnsi="Arial" w:cs="Arial"/>
          <w:b/>
          <w:bCs/>
          <w:sz w:val="24"/>
          <w:szCs w:val="24"/>
        </w:rPr>
        <w:t>Administrator, 2023</w:t>
      </w:r>
      <w:r w:rsidRPr="004234D0">
        <w:rPr>
          <w:rFonts w:ascii="Arial" w:hAnsi="Arial" w:cs="Arial"/>
          <w:sz w:val="24"/>
          <w:szCs w:val="24"/>
        </w:rPr>
        <w:t>).</w:t>
      </w:r>
    </w:p>
    <w:p w14:paraId="0B44DEF5" w14:textId="77777777" w:rsidR="00274A91" w:rsidRPr="004234D0" w:rsidRDefault="00274A91" w:rsidP="00274A91">
      <w:pPr>
        <w:rPr>
          <w:rFonts w:ascii="Arial" w:hAnsi="Arial" w:cs="Arial"/>
          <w:sz w:val="24"/>
          <w:szCs w:val="24"/>
        </w:rPr>
      </w:pPr>
      <w:r w:rsidRPr="004234D0">
        <w:rPr>
          <w:rFonts w:ascii="Arial" w:hAnsi="Arial" w:cs="Arial"/>
          <w:b/>
          <w:bCs/>
          <w:sz w:val="24"/>
          <w:szCs w:val="24"/>
        </w:rPr>
        <w:t>Methodologies and Their Implications</w:t>
      </w:r>
    </w:p>
    <w:p w14:paraId="6C2A12F3" w14:textId="77777777" w:rsidR="00274A91" w:rsidRPr="004234D0" w:rsidRDefault="00274A91" w:rsidP="00274A91">
      <w:pPr>
        <w:rPr>
          <w:rFonts w:ascii="Arial" w:hAnsi="Arial" w:cs="Arial"/>
          <w:sz w:val="24"/>
          <w:szCs w:val="24"/>
        </w:rPr>
      </w:pPr>
      <w:r w:rsidRPr="004234D0">
        <w:rPr>
          <w:rFonts w:ascii="Arial" w:hAnsi="Arial" w:cs="Arial"/>
          <w:sz w:val="24"/>
          <w:szCs w:val="24"/>
        </w:rPr>
        <w:t>The methods used in UK policing for surveillance are shaped by operational needs and legal frameworks. For example, risk-based profiling helps decide where to focus surveillance resources, such as online investigations. However, critical analyses argue this method can reinforce harmful racial and socio-economic stereotypes if not checked rigorously against objective data (</w:t>
      </w:r>
      <w:r w:rsidRPr="00D44723">
        <w:rPr>
          <w:rFonts w:ascii="Arial" w:hAnsi="Arial" w:cs="Arial"/>
          <w:b/>
          <w:bCs/>
          <w:sz w:val="24"/>
          <w:szCs w:val="24"/>
        </w:rPr>
        <w:t>Horgan et al., 2024</w:t>
      </w:r>
      <w:r w:rsidRPr="004234D0">
        <w:rPr>
          <w:rFonts w:ascii="Arial" w:hAnsi="Arial" w:cs="Arial"/>
          <w:sz w:val="24"/>
          <w:szCs w:val="24"/>
        </w:rPr>
        <w:t>). Biased profiling damages police legitimacy.</w:t>
      </w:r>
    </w:p>
    <w:p w14:paraId="2525EC17" w14:textId="77777777" w:rsidR="00274A91" w:rsidRPr="004234D0" w:rsidRDefault="00274A91" w:rsidP="00274A91">
      <w:pPr>
        <w:rPr>
          <w:rFonts w:ascii="Arial" w:hAnsi="Arial" w:cs="Arial"/>
          <w:sz w:val="24"/>
          <w:szCs w:val="24"/>
        </w:rPr>
      </w:pPr>
      <w:r w:rsidRPr="004234D0">
        <w:rPr>
          <w:rFonts w:ascii="Arial" w:hAnsi="Arial" w:cs="Arial"/>
          <w:sz w:val="24"/>
          <w:szCs w:val="24"/>
        </w:rPr>
        <w:t>Similarly, predictive policing, which uses algorithms to forecast crime hotspots, aims to allocate resources efficiently. However, studies flag concerns that predictive systems often rely on historical crime data that may reflect long-standing inequities more than actual risk (</w:t>
      </w:r>
      <w:r w:rsidRPr="00D44723">
        <w:rPr>
          <w:rFonts w:ascii="Arial" w:hAnsi="Arial" w:cs="Arial"/>
          <w:b/>
          <w:bCs/>
          <w:sz w:val="24"/>
          <w:szCs w:val="24"/>
        </w:rPr>
        <w:t>Sandhu and Fussey, 2020</w:t>
      </w:r>
      <w:r w:rsidRPr="004234D0">
        <w:rPr>
          <w:rFonts w:ascii="Arial" w:hAnsi="Arial" w:cs="Arial"/>
          <w:sz w:val="24"/>
          <w:szCs w:val="24"/>
        </w:rPr>
        <w:t>). Without transparency and external validation, predictive methods risk reinforcing existing inequalities and discrimination.</w:t>
      </w:r>
    </w:p>
    <w:p w14:paraId="3126CA05" w14:textId="77777777" w:rsidR="00D44723" w:rsidRDefault="00D44723" w:rsidP="00274A91">
      <w:pPr>
        <w:rPr>
          <w:rFonts w:ascii="Arial" w:hAnsi="Arial" w:cs="Arial"/>
          <w:b/>
          <w:bCs/>
          <w:sz w:val="24"/>
          <w:szCs w:val="24"/>
        </w:rPr>
      </w:pPr>
    </w:p>
    <w:p w14:paraId="3ADEF2EA" w14:textId="2460D060" w:rsidR="00274A91" w:rsidRPr="004234D0" w:rsidRDefault="00274A91" w:rsidP="00274A91">
      <w:pPr>
        <w:rPr>
          <w:rFonts w:ascii="Arial" w:hAnsi="Arial" w:cs="Arial"/>
          <w:sz w:val="24"/>
          <w:szCs w:val="24"/>
        </w:rPr>
      </w:pPr>
      <w:r w:rsidRPr="004234D0">
        <w:rPr>
          <w:rFonts w:ascii="Arial" w:hAnsi="Arial" w:cs="Arial"/>
          <w:b/>
          <w:bCs/>
          <w:sz w:val="24"/>
          <w:szCs w:val="24"/>
        </w:rPr>
        <w:lastRenderedPageBreak/>
        <w:t>Ethical and Legal Considerations</w:t>
      </w:r>
    </w:p>
    <w:p w14:paraId="1619DC91" w14:textId="77777777" w:rsidR="00274A91" w:rsidRPr="004234D0" w:rsidRDefault="00274A91" w:rsidP="00274A91">
      <w:pPr>
        <w:rPr>
          <w:rFonts w:ascii="Arial" w:hAnsi="Arial" w:cs="Arial"/>
          <w:sz w:val="24"/>
          <w:szCs w:val="24"/>
        </w:rPr>
      </w:pPr>
      <w:r w:rsidRPr="004234D0">
        <w:rPr>
          <w:rFonts w:ascii="Arial" w:hAnsi="Arial" w:cs="Arial"/>
          <w:sz w:val="24"/>
          <w:szCs w:val="24"/>
        </w:rPr>
        <w:t>Surveillance in UK policing raises important ethical questions. Human rights groups argue that practices like mass data collection and facial recognition may violate privacy rights protected by the European Convention on Human Rights (Amnesty International, 2021). A lack of strong oversight increases the risk of misuse, with marginalised communities sometimes bearing the brunt of over-surveillance.</w:t>
      </w:r>
    </w:p>
    <w:p w14:paraId="792F6D2E" w14:textId="77777777" w:rsidR="00274A91" w:rsidRPr="004234D0" w:rsidRDefault="00274A91" w:rsidP="00274A91">
      <w:pPr>
        <w:rPr>
          <w:rFonts w:ascii="Arial" w:hAnsi="Arial" w:cs="Arial"/>
          <w:sz w:val="24"/>
          <w:szCs w:val="24"/>
        </w:rPr>
      </w:pPr>
      <w:r w:rsidRPr="004234D0">
        <w:rPr>
          <w:rFonts w:ascii="Arial" w:hAnsi="Arial" w:cs="Arial"/>
          <w:sz w:val="24"/>
          <w:szCs w:val="24"/>
        </w:rPr>
        <w:t>Legally, surveillance must follow principles like necessity, proportionality, and accountability. Laws like the General Data Protection Regulation provide some safeguards (</w:t>
      </w:r>
      <w:r w:rsidRPr="00D44723">
        <w:rPr>
          <w:rFonts w:ascii="Arial" w:hAnsi="Arial" w:cs="Arial"/>
          <w:b/>
          <w:bCs/>
          <w:sz w:val="24"/>
          <w:szCs w:val="24"/>
        </w:rPr>
        <w:t>ICO., 2024</w:t>
      </w:r>
      <w:r w:rsidRPr="004234D0">
        <w:rPr>
          <w:rFonts w:ascii="Arial" w:hAnsi="Arial" w:cs="Arial"/>
          <w:sz w:val="24"/>
          <w:szCs w:val="24"/>
        </w:rPr>
        <w:t>), but enforcement can be inconsistent. Investigations like the Undercover Policing Inquiry show how a lack of transparency enables abuse (</w:t>
      </w:r>
      <w:r w:rsidRPr="00D44723">
        <w:rPr>
          <w:rFonts w:ascii="Arial" w:hAnsi="Arial" w:cs="Arial"/>
          <w:b/>
          <w:bCs/>
          <w:sz w:val="24"/>
          <w:szCs w:val="24"/>
        </w:rPr>
        <w:t>UCPI, n.d</w:t>
      </w:r>
      <w:r w:rsidRPr="004234D0">
        <w:rPr>
          <w:rFonts w:ascii="Arial" w:hAnsi="Arial" w:cs="Arial"/>
          <w:sz w:val="24"/>
          <w:szCs w:val="24"/>
        </w:rPr>
        <w:t>.). Robust legal controls and proactive disclosure are essential.</w:t>
      </w:r>
    </w:p>
    <w:p w14:paraId="3FB9E63E" w14:textId="77777777" w:rsidR="00274A91" w:rsidRPr="004234D0" w:rsidRDefault="00274A91" w:rsidP="00274A91">
      <w:pPr>
        <w:rPr>
          <w:rFonts w:ascii="Arial" w:hAnsi="Arial" w:cs="Arial"/>
          <w:b/>
          <w:bCs/>
          <w:sz w:val="24"/>
          <w:szCs w:val="24"/>
        </w:rPr>
      </w:pPr>
    </w:p>
    <w:p w14:paraId="2B7C7AFE" w14:textId="52847CF0" w:rsidR="00274A91" w:rsidRPr="004234D0" w:rsidRDefault="00274A91" w:rsidP="00274A91">
      <w:pPr>
        <w:rPr>
          <w:rFonts w:ascii="Arial" w:hAnsi="Arial" w:cs="Arial"/>
          <w:sz w:val="24"/>
          <w:szCs w:val="24"/>
        </w:rPr>
      </w:pPr>
      <w:r w:rsidRPr="004234D0">
        <w:rPr>
          <w:rFonts w:ascii="Arial" w:hAnsi="Arial" w:cs="Arial"/>
          <w:b/>
          <w:bCs/>
          <w:sz w:val="24"/>
          <w:szCs w:val="24"/>
        </w:rPr>
        <w:t>Conclusion</w:t>
      </w:r>
    </w:p>
    <w:p w14:paraId="618730B9" w14:textId="77777777" w:rsidR="00274A91" w:rsidRPr="004234D0" w:rsidRDefault="00274A91" w:rsidP="00274A91">
      <w:pPr>
        <w:rPr>
          <w:rFonts w:ascii="Arial" w:hAnsi="Arial" w:cs="Arial"/>
          <w:sz w:val="24"/>
          <w:szCs w:val="24"/>
        </w:rPr>
      </w:pPr>
      <w:r w:rsidRPr="004234D0">
        <w:rPr>
          <w:rFonts w:ascii="Arial" w:hAnsi="Arial" w:cs="Arial"/>
          <w:sz w:val="24"/>
          <w:szCs w:val="24"/>
        </w:rPr>
        <w:t>Surveillance techniques and tactics in UK policing draw on complex theories and evolving methods. While they serve the crucial goals of crime prevention and public safety, their use also raises serious ethical and legal concerns around privacy, fairness, and accountability. As this essay has shown, the integration of digital surveillance tools dramatically expands police capabilities but also creates new risks.</w:t>
      </w:r>
    </w:p>
    <w:p w14:paraId="1A6509DE" w14:textId="77777777" w:rsidR="00274A91" w:rsidRDefault="00274A91" w:rsidP="00274A91">
      <w:pPr>
        <w:rPr>
          <w:rFonts w:ascii="Arial" w:hAnsi="Arial" w:cs="Arial"/>
          <w:sz w:val="24"/>
          <w:szCs w:val="24"/>
        </w:rPr>
      </w:pPr>
      <w:r w:rsidRPr="004234D0">
        <w:rPr>
          <w:rFonts w:ascii="Arial" w:hAnsi="Arial" w:cs="Arial"/>
          <w:sz w:val="24"/>
          <w:szCs w:val="24"/>
        </w:rPr>
        <w:t>To ensure surveillance practices are not only effective but also ethical, policymakers and law enforcement leaders must prioritise strong safeguards, clear guidelines, and proactive transparency. Oversight bodies need robust powers and resources for meaningful accountability. Procurement and deployment of new surveillance technologies should include human rights impact assessments. Most importantly, the use of surveillance must remain anchored in principles of strict necessity and proportionality, with constant readjustment as conditions change. Only by balancing operational needs with democratic values through open public debate can policing uphold both safety and civil liberties in the modern digital age.</w:t>
      </w:r>
    </w:p>
    <w:p w14:paraId="3BA9BF67" w14:textId="77777777" w:rsidR="00D44723" w:rsidRDefault="00D44723" w:rsidP="00274A91">
      <w:pPr>
        <w:rPr>
          <w:rFonts w:ascii="Arial" w:hAnsi="Arial" w:cs="Arial"/>
          <w:sz w:val="24"/>
          <w:szCs w:val="24"/>
        </w:rPr>
      </w:pPr>
    </w:p>
    <w:p w14:paraId="407FE9B3" w14:textId="77777777" w:rsidR="00D44723" w:rsidRPr="00D44723" w:rsidRDefault="00D44723" w:rsidP="00D44723">
      <w:pPr>
        <w:rPr>
          <w:rFonts w:ascii="Arial" w:hAnsi="Arial" w:cs="Arial"/>
          <w:b/>
          <w:bCs/>
          <w:sz w:val="24"/>
          <w:szCs w:val="24"/>
        </w:rPr>
      </w:pPr>
      <w:r w:rsidRPr="00D44723">
        <w:rPr>
          <w:rFonts w:ascii="Arial" w:hAnsi="Arial" w:cs="Arial"/>
          <w:b/>
          <w:bCs/>
          <w:sz w:val="24"/>
          <w:szCs w:val="24"/>
        </w:rPr>
        <w:t>Reference</w:t>
      </w:r>
    </w:p>
    <w:p w14:paraId="063552EB" w14:textId="77777777" w:rsidR="00D44723" w:rsidRPr="00D44723" w:rsidRDefault="00D44723" w:rsidP="00D44723">
      <w:pPr>
        <w:rPr>
          <w:rFonts w:ascii="Arial" w:hAnsi="Arial" w:cs="Arial"/>
          <w:sz w:val="24"/>
          <w:szCs w:val="24"/>
          <w:lang w:val="en-US"/>
        </w:rPr>
      </w:pPr>
      <w:r w:rsidRPr="00D44723">
        <w:rPr>
          <w:rFonts w:ascii="Arial" w:hAnsi="Arial" w:cs="Arial"/>
          <w:b/>
          <w:bCs/>
          <w:sz w:val="24"/>
          <w:szCs w:val="24"/>
          <w:lang w:val="en-US"/>
        </w:rPr>
        <w:fldChar w:fldCharType="begin"/>
      </w:r>
      <w:r w:rsidRPr="00D44723">
        <w:rPr>
          <w:rFonts w:ascii="Arial" w:hAnsi="Arial" w:cs="Arial"/>
          <w:b/>
          <w:bCs/>
          <w:sz w:val="24"/>
          <w:szCs w:val="24"/>
          <w:lang w:val="en-US"/>
        </w:rPr>
        <w:instrText xml:space="preserve"> ADDIN EN.REFLIST </w:instrText>
      </w:r>
      <w:r w:rsidRPr="00D44723">
        <w:rPr>
          <w:rFonts w:ascii="Arial" w:hAnsi="Arial" w:cs="Arial"/>
          <w:b/>
          <w:bCs/>
          <w:sz w:val="24"/>
          <w:szCs w:val="24"/>
          <w:lang w:val="en-US"/>
        </w:rPr>
        <w:fldChar w:fldCharType="separate"/>
      </w:r>
      <w:r w:rsidRPr="00D44723">
        <w:rPr>
          <w:rFonts w:ascii="Arial" w:hAnsi="Arial" w:cs="Arial"/>
          <w:sz w:val="24"/>
          <w:szCs w:val="24"/>
          <w:lang w:val="en-US"/>
        </w:rPr>
        <w:t xml:space="preserve">ADMINISTRATOR. 2023. </w:t>
      </w:r>
      <w:r w:rsidRPr="00D44723">
        <w:rPr>
          <w:rFonts w:ascii="Arial" w:hAnsi="Arial" w:cs="Arial"/>
          <w:i/>
          <w:sz w:val="24"/>
          <w:szCs w:val="24"/>
          <w:lang w:val="en-US"/>
        </w:rPr>
        <w:t xml:space="preserve">Use of Informants in Investigations - Criminal Justice - </w:t>
      </w:r>
      <w:proofErr w:type="spellStart"/>
      <w:r w:rsidRPr="00D44723">
        <w:rPr>
          <w:rFonts w:ascii="Arial" w:hAnsi="Arial" w:cs="Arial"/>
          <w:i/>
          <w:sz w:val="24"/>
          <w:szCs w:val="24"/>
          <w:lang w:val="en-US"/>
        </w:rPr>
        <w:t>iResearchNet</w:t>
      </w:r>
      <w:proofErr w:type="spellEnd"/>
      <w:r w:rsidRPr="00D44723">
        <w:rPr>
          <w:rFonts w:ascii="Arial" w:hAnsi="Arial" w:cs="Arial"/>
          <w:i/>
          <w:sz w:val="24"/>
          <w:szCs w:val="24"/>
          <w:lang w:val="en-US"/>
        </w:rPr>
        <w:t xml:space="preserve"> </w:t>
      </w:r>
      <w:r w:rsidRPr="00D44723">
        <w:rPr>
          <w:rFonts w:ascii="Arial" w:hAnsi="Arial" w:cs="Arial"/>
          <w:sz w:val="24"/>
          <w:szCs w:val="24"/>
          <w:lang w:val="en-US"/>
        </w:rPr>
        <w:t xml:space="preserve">[Online]. Criminal Justice. Available: </w:t>
      </w:r>
      <w:hyperlink r:id="rId5" w:history="1">
        <w:r w:rsidRPr="00D44723">
          <w:rPr>
            <w:rStyle w:val="Hyperlink"/>
            <w:rFonts w:ascii="Arial" w:hAnsi="Arial" w:cs="Arial"/>
            <w:sz w:val="24"/>
            <w:szCs w:val="24"/>
            <w:lang w:val="en-US"/>
          </w:rPr>
          <w:t>https://criminal-justice.iresearchnet.com/criminal-justice-process/investigation-and-evidence-gathering/use-of-informants-in-investigations/</w:t>
        </w:r>
      </w:hyperlink>
      <w:r w:rsidRPr="00D44723">
        <w:rPr>
          <w:rFonts w:ascii="Arial" w:hAnsi="Arial" w:cs="Arial"/>
          <w:sz w:val="24"/>
          <w:szCs w:val="24"/>
          <w:lang w:val="en-US"/>
        </w:rPr>
        <w:t>. [Accessed 03 Jan 2025].</w:t>
      </w:r>
    </w:p>
    <w:p w14:paraId="46BAC182"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ALMEIDA, D., SHMARKO, K. &amp; LOMAS, E. 2021. The ethics of facial recognition technologies, surveillance, and accountability in an age of artificial intelligence: a comparative analysis of US, EU, and UK regulatory frameworks. </w:t>
      </w:r>
      <w:r w:rsidRPr="00D44723">
        <w:rPr>
          <w:rFonts w:ascii="Arial" w:hAnsi="Arial" w:cs="Arial"/>
          <w:i/>
          <w:sz w:val="24"/>
          <w:szCs w:val="24"/>
          <w:lang w:val="en-US"/>
        </w:rPr>
        <w:t>AI and Ethics,</w:t>
      </w:r>
      <w:r w:rsidRPr="00D44723">
        <w:rPr>
          <w:rFonts w:ascii="Arial" w:hAnsi="Arial" w:cs="Arial"/>
          <w:sz w:val="24"/>
          <w:szCs w:val="24"/>
          <w:lang w:val="en-US"/>
        </w:rPr>
        <w:t xml:space="preserve"> 2</w:t>
      </w:r>
      <w:r w:rsidRPr="00D44723">
        <w:rPr>
          <w:rFonts w:ascii="Arial" w:hAnsi="Arial" w:cs="Arial"/>
          <w:b/>
          <w:sz w:val="24"/>
          <w:szCs w:val="24"/>
          <w:lang w:val="en-US"/>
        </w:rPr>
        <w:t>,</w:t>
      </w:r>
      <w:r w:rsidRPr="00D44723">
        <w:rPr>
          <w:rFonts w:ascii="Arial" w:hAnsi="Arial" w:cs="Arial"/>
          <w:sz w:val="24"/>
          <w:szCs w:val="24"/>
          <w:lang w:val="en-US"/>
        </w:rPr>
        <w:t xml:space="preserve"> 377-387.</w:t>
      </w:r>
    </w:p>
    <w:p w14:paraId="059E84A7"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AMNESTY INTERNATIONAL. 2021. </w:t>
      </w:r>
      <w:r w:rsidRPr="00D44723">
        <w:rPr>
          <w:rFonts w:ascii="Arial" w:hAnsi="Arial" w:cs="Arial"/>
          <w:i/>
          <w:sz w:val="24"/>
          <w:szCs w:val="24"/>
          <w:lang w:val="en-US"/>
        </w:rPr>
        <w:t xml:space="preserve">Ban facial recognition technology </w:t>
      </w:r>
      <w:r w:rsidRPr="00D44723">
        <w:rPr>
          <w:rFonts w:ascii="Arial" w:hAnsi="Arial" w:cs="Arial"/>
          <w:sz w:val="24"/>
          <w:szCs w:val="24"/>
          <w:lang w:val="en-US"/>
        </w:rPr>
        <w:t xml:space="preserve">[Online]. Amnesty International. Available: </w:t>
      </w:r>
      <w:hyperlink r:id="rId6" w:history="1">
        <w:r w:rsidRPr="00D44723">
          <w:rPr>
            <w:rStyle w:val="Hyperlink"/>
            <w:rFonts w:ascii="Arial" w:hAnsi="Arial" w:cs="Arial"/>
            <w:sz w:val="24"/>
            <w:szCs w:val="24"/>
            <w:lang w:val="en-US"/>
          </w:rPr>
          <w:t>https://www.amnesty.org/en/latest/press-release/2021/01/ban-dangerous-facial-recognition-technology-that-amplifies-racist-policing/</w:t>
        </w:r>
      </w:hyperlink>
      <w:r w:rsidRPr="00D44723">
        <w:rPr>
          <w:rFonts w:ascii="Arial" w:hAnsi="Arial" w:cs="Arial"/>
          <w:sz w:val="24"/>
          <w:szCs w:val="24"/>
          <w:lang w:val="en-US"/>
        </w:rPr>
        <w:t>. [Accessed 03 Jan 2025].</w:t>
      </w:r>
    </w:p>
    <w:p w14:paraId="2D53A7C7"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lastRenderedPageBreak/>
        <w:t xml:space="preserve">BIG BROTHER WATCH. 2023. </w:t>
      </w:r>
      <w:r w:rsidRPr="00D44723">
        <w:rPr>
          <w:rFonts w:ascii="Arial" w:hAnsi="Arial" w:cs="Arial"/>
          <w:i/>
          <w:sz w:val="24"/>
          <w:szCs w:val="24"/>
          <w:lang w:val="en-US"/>
        </w:rPr>
        <w:t xml:space="preserve">IMPACT REPORT </w:t>
      </w:r>
      <w:r w:rsidRPr="00D44723">
        <w:rPr>
          <w:rFonts w:ascii="Arial" w:hAnsi="Arial" w:cs="Arial"/>
          <w:sz w:val="24"/>
          <w:szCs w:val="24"/>
          <w:lang w:val="en-US"/>
        </w:rPr>
        <w:t xml:space="preserve">[Online]. Available: </w:t>
      </w:r>
      <w:hyperlink r:id="rId7" w:history="1">
        <w:r w:rsidRPr="00D44723">
          <w:rPr>
            <w:rStyle w:val="Hyperlink"/>
            <w:rFonts w:ascii="Arial" w:hAnsi="Arial" w:cs="Arial"/>
            <w:sz w:val="24"/>
            <w:szCs w:val="24"/>
            <w:lang w:val="en-US"/>
          </w:rPr>
          <w:t>https://www.bigbrotherwatch.org.uk/wp-content/uploads/2024/03/Big-Brother-Watch-Impact-Report-2023.pdf</w:t>
        </w:r>
      </w:hyperlink>
      <w:r w:rsidRPr="00D44723">
        <w:rPr>
          <w:rFonts w:ascii="Arial" w:hAnsi="Arial" w:cs="Arial"/>
          <w:sz w:val="24"/>
          <w:szCs w:val="24"/>
          <w:lang w:val="en-US"/>
        </w:rPr>
        <w:t xml:space="preserve"> [Accessed 08 Jan 2025].</w:t>
      </w:r>
    </w:p>
    <w:p w14:paraId="7D583E1A"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FUSSEY, P. &amp; MURRAY, D. 2019. Independent report on the London Metropolitan Police Service’s trial of live facial recognition technology.</w:t>
      </w:r>
    </w:p>
    <w:p w14:paraId="3D537038"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GANNONI, A., WILLIS, M., TAYLOR, E. &amp; LEE, M. 2017. Surveillance technologies and crime control: Understanding police detainees’ perspectives on police body-worn video (BWV) and CCTV cameras.</w:t>
      </w:r>
    </w:p>
    <w:p w14:paraId="4504E916"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HAGGERTY, K. D. &amp; ERICSON, R. V. 2001. The surveillant </w:t>
      </w:r>
      <w:proofErr w:type="gramStart"/>
      <w:r w:rsidRPr="00D44723">
        <w:rPr>
          <w:rFonts w:ascii="Arial" w:hAnsi="Arial" w:cs="Arial"/>
          <w:sz w:val="24"/>
          <w:szCs w:val="24"/>
          <w:lang w:val="en-US"/>
        </w:rPr>
        <w:t>assemblage</w:t>
      </w:r>
      <w:proofErr w:type="gramEnd"/>
      <w:r w:rsidRPr="00D44723">
        <w:rPr>
          <w:rFonts w:ascii="Arial" w:hAnsi="Arial" w:cs="Arial"/>
          <w:sz w:val="24"/>
          <w:szCs w:val="24"/>
          <w:lang w:val="en-US"/>
        </w:rPr>
        <w:t xml:space="preserve">. </w:t>
      </w:r>
      <w:r w:rsidRPr="00D44723">
        <w:rPr>
          <w:rFonts w:ascii="Arial" w:hAnsi="Arial" w:cs="Arial"/>
          <w:i/>
          <w:sz w:val="24"/>
          <w:szCs w:val="24"/>
          <w:lang w:val="en-US"/>
        </w:rPr>
        <w:t>Surveillance, crime and social control</w:t>
      </w:r>
      <w:r w:rsidRPr="00D44723">
        <w:rPr>
          <w:rFonts w:ascii="Arial" w:hAnsi="Arial" w:cs="Arial"/>
          <w:b/>
          <w:sz w:val="24"/>
          <w:szCs w:val="24"/>
          <w:lang w:val="en-US"/>
        </w:rPr>
        <w:t>,</w:t>
      </w:r>
      <w:r w:rsidRPr="00D44723">
        <w:rPr>
          <w:rFonts w:ascii="Arial" w:hAnsi="Arial" w:cs="Arial"/>
          <w:sz w:val="24"/>
          <w:szCs w:val="24"/>
          <w:lang w:val="en-US"/>
        </w:rPr>
        <w:t xml:space="preserve"> 61-78.</w:t>
      </w:r>
    </w:p>
    <w:p w14:paraId="686EDB8A"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HOME OFFICE. 2023. </w:t>
      </w:r>
      <w:r w:rsidRPr="00D44723">
        <w:rPr>
          <w:rFonts w:ascii="Arial" w:hAnsi="Arial" w:cs="Arial"/>
          <w:i/>
          <w:sz w:val="24"/>
          <w:szCs w:val="24"/>
          <w:lang w:val="en-US"/>
        </w:rPr>
        <w:t xml:space="preserve">Regulation of Investigatory Powers Act 2000 (RIPA) </w:t>
      </w:r>
      <w:r w:rsidRPr="00D44723">
        <w:rPr>
          <w:rFonts w:ascii="Arial" w:hAnsi="Arial" w:cs="Arial"/>
          <w:sz w:val="24"/>
          <w:szCs w:val="24"/>
          <w:lang w:val="en-US"/>
        </w:rPr>
        <w:t xml:space="preserve">[Online]. GOV.UK. Available: </w:t>
      </w:r>
      <w:hyperlink r:id="rId8" w:history="1">
        <w:r w:rsidRPr="00D44723">
          <w:rPr>
            <w:rStyle w:val="Hyperlink"/>
            <w:rFonts w:ascii="Arial" w:hAnsi="Arial" w:cs="Arial"/>
            <w:sz w:val="24"/>
            <w:szCs w:val="24"/>
            <w:lang w:val="en-US"/>
          </w:rPr>
          <w:t>https://www.gov.uk/government/publications/regulation-of-investigatory-powers-act-2000-ripa/regulation-of-investigatory-powers-act-2000-ripa</w:t>
        </w:r>
      </w:hyperlink>
      <w:r w:rsidRPr="00D44723">
        <w:rPr>
          <w:rFonts w:ascii="Arial" w:hAnsi="Arial" w:cs="Arial"/>
          <w:sz w:val="24"/>
          <w:szCs w:val="24"/>
          <w:lang w:val="en-US"/>
        </w:rPr>
        <w:t xml:space="preserve"> [Accessed 03 Jan 2025].</w:t>
      </w:r>
    </w:p>
    <w:p w14:paraId="7FE92235"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HORGAN, S., COLLIER, B., STEWART, </w:t>
      </w:r>
      <w:proofErr w:type="gramStart"/>
      <w:r w:rsidRPr="00D44723">
        <w:rPr>
          <w:rFonts w:ascii="Arial" w:hAnsi="Arial" w:cs="Arial"/>
          <w:sz w:val="24"/>
          <w:szCs w:val="24"/>
          <w:lang w:val="en-US"/>
        </w:rPr>
        <w:t>J. &amp;</w:t>
      </w:r>
      <w:proofErr w:type="gramEnd"/>
      <w:r w:rsidRPr="00D44723">
        <w:rPr>
          <w:rFonts w:ascii="Arial" w:hAnsi="Arial" w:cs="Arial"/>
          <w:sz w:val="24"/>
          <w:szCs w:val="24"/>
          <w:lang w:val="en-US"/>
        </w:rPr>
        <w:t xml:space="preserve"> THOMAS, D. R. 2024. Influence Policing: Domestic Digital Influence Campaigns and Algorithmic Strategic Communications in UK Law Enforcement and Homeland Security. </w:t>
      </w:r>
      <w:r w:rsidRPr="00D44723">
        <w:rPr>
          <w:rFonts w:ascii="Arial" w:hAnsi="Arial" w:cs="Arial"/>
          <w:i/>
          <w:sz w:val="24"/>
          <w:szCs w:val="24"/>
          <w:lang w:val="en-US"/>
        </w:rPr>
        <w:t>The British Journal of Criminology</w:t>
      </w:r>
      <w:r w:rsidRPr="00D44723">
        <w:rPr>
          <w:rFonts w:ascii="Arial" w:hAnsi="Arial" w:cs="Arial"/>
          <w:sz w:val="24"/>
          <w:szCs w:val="24"/>
          <w:lang w:val="en-US"/>
        </w:rPr>
        <w:t>.</w:t>
      </w:r>
    </w:p>
    <w:p w14:paraId="2DD24CBB"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ICO. 2024. </w:t>
      </w:r>
      <w:r w:rsidRPr="00D44723">
        <w:rPr>
          <w:rFonts w:ascii="Arial" w:hAnsi="Arial" w:cs="Arial"/>
          <w:i/>
          <w:sz w:val="24"/>
          <w:szCs w:val="24"/>
          <w:lang w:val="en-US"/>
        </w:rPr>
        <w:t xml:space="preserve">What are our responsibilities in terms </w:t>
      </w:r>
      <w:proofErr w:type="gramStart"/>
      <w:r w:rsidRPr="00D44723">
        <w:rPr>
          <w:rFonts w:ascii="Arial" w:hAnsi="Arial" w:cs="Arial"/>
          <w:i/>
          <w:sz w:val="24"/>
          <w:szCs w:val="24"/>
          <w:lang w:val="en-US"/>
        </w:rPr>
        <w:t>of  accountability</w:t>
      </w:r>
      <w:proofErr w:type="gramEnd"/>
      <w:r w:rsidRPr="00D44723">
        <w:rPr>
          <w:rFonts w:ascii="Arial" w:hAnsi="Arial" w:cs="Arial"/>
          <w:i/>
          <w:sz w:val="24"/>
          <w:szCs w:val="24"/>
          <w:lang w:val="en-US"/>
        </w:rPr>
        <w:t xml:space="preserve">? </w:t>
      </w:r>
      <w:r w:rsidRPr="00D44723">
        <w:rPr>
          <w:rFonts w:ascii="Arial" w:hAnsi="Arial" w:cs="Arial"/>
          <w:sz w:val="24"/>
          <w:szCs w:val="24"/>
          <w:lang w:val="en-US"/>
        </w:rPr>
        <w:t xml:space="preserve">[Online]. Ico.org.uk. Available: </w:t>
      </w:r>
      <w:hyperlink r:id="rId9" w:history="1">
        <w:r w:rsidRPr="00D44723">
          <w:rPr>
            <w:rStyle w:val="Hyperlink"/>
            <w:rFonts w:ascii="Arial" w:hAnsi="Arial" w:cs="Arial"/>
            <w:sz w:val="24"/>
            <w:szCs w:val="24"/>
            <w:lang w:val="en-US"/>
          </w:rPr>
          <w:t>https://ico.org.uk/for-organisations/uk-gdpr-guidance-and-resources/cctv-and-video-surveillance/guidance-on-video-surveillance-including-cctv/what-are-our-responsibilities-in-terms-of-accountability/</w:t>
        </w:r>
      </w:hyperlink>
      <w:r w:rsidRPr="00D44723">
        <w:rPr>
          <w:rFonts w:ascii="Arial" w:hAnsi="Arial" w:cs="Arial"/>
          <w:sz w:val="24"/>
          <w:szCs w:val="24"/>
          <w:lang w:val="en-US"/>
        </w:rPr>
        <w:t>. [Accessed 04 Jan 2025].</w:t>
      </w:r>
    </w:p>
    <w:p w14:paraId="77D676F9"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IFSEC GLOBAL. 2020. </w:t>
      </w:r>
      <w:r w:rsidRPr="00D44723">
        <w:rPr>
          <w:rFonts w:ascii="Arial" w:hAnsi="Arial" w:cs="Arial"/>
          <w:i/>
          <w:sz w:val="24"/>
          <w:szCs w:val="24"/>
          <w:lang w:val="en-US"/>
        </w:rPr>
        <w:t xml:space="preserve">Revealed: The UK’s most-watched cities </w:t>
      </w:r>
      <w:r w:rsidRPr="00D44723">
        <w:rPr>
          <w:rFonts w:ascii="Arial" w:hAnsi="Arial" w:cs="Arial"/>
          <w:sz w:val="24"/>
          <w:szCs w:val="24"/>
          <w:lang w:val="en-US"/>
        </w:rPr>
        <w:t xml:space="preserve">[Online]. IFSEC Global | Security and Fire News and Resources. Available: </w:t>
      </w:r>
      <w:hyperlink r:id="rId10" w:history="1">
        <w:r w:rsidRPr="00D44723">
          <w:rPr>
            <w:rStyle w:val="Hyperlink"/>
            <w:rFonts w:ascii="Arial" w:hAnsi="Arial" w:cs="Arial"/>
            <w:sz w:val="24"/>
            <w:szCs w:val="24"/>
            <w:lang w:val="en-US"/>
          </w:rPr>
          <w:t>https://www.ifsecglobal.com/video-surveillance/revealed-the-uks-most-watched-cities/</w:t>
        </w:r>
      </w:hyperlink>
      <w:r w:rsidRPr="00D44723">
        <w:rPr>
          <w:rFonts w:ascii="Arial" w:hAnsi="Arial" w:cs="Arial"/>
          <w:sz w:val="24"/>
          <w:szCs w:val="24"/>
          <w:lang w:val="en-US"/>
        </w:rPr>
        <w:t xml:space="preserve"> [Accessed 04 Jan 2025].</w:t>
      </w:r>
    </w:p>
    <w:p w14:paraId="799F34E0"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IGI GLOBAL AND INFORMATION RESOURCES MANAGEMENT ASSOCIATION 2019. </w:t>
      </w:r>
      <w:r w:rsidRPr="00D44723">
        <w:rPr>
          <w:rFonts w:ascii="Arial" w:hAnsi="Arial" w:cs="Arial"/>
          <w:i/>
          <w:sz w:val="24"/>
          <w:szCs w:val="24"/>
          <w:lang w:val="en-US"/>
        </w:rPr>
        <w:t xml:space="preserve">Cyber Law, Privacy, and Security: Concepts, Methodologies, Tools, and Applications, </w:t>
      </w:r>
      <w:r w:rsidRPr="00D44723">
        <w:rPr>
          <w:rFonts w:ascii="Arial" w:hAnsi="Arial" w:cs="Arial"/>
          <w:sz w:val="24"/>
          <w:szCs w:val="24"/>
          <w:lang w:val="en-US"/>
        </w:rPr>
        <w:t>Hershey, Pennsylvania (701 E. Chocolate Avenue, Hershey, Pennsylvania, 17033, Usa, IGI Global.</w:t>
      </w:r>
    </w:p>
    <w:p w14:paraId="6BBC707B"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KITEWORKS. n.d. </w:t>
      </w:r>
      <w:r w:rsidRPr="00D44723">
        <w:rPr>
          <w:rFonts w:ascii="Arial" w:hAnsi="Arial" w:cs="Arial"/>
          <w:i/>
          <w:sz w:val="24"/>
          <w:szCs w:val="24"/>
          <w:lang w:val="en-US"/>
        </w:rPr>
        <w:t xml:space="preserve">The UK Investigatory Powers Act 2016 </w:t>
      </w:r>
      <w:r w:rsidRPr="00D44723">
        <w:rPr>
          <w:rFonts w:ascii="Arial" w:hAnsi="Arial" w:cs="Arial"/>
          <w:sz w:val="24"/>
          <w:szCs w:val="24"/>
          <w:lang w:val="en-US"/>
        </w:rPr>
        <w:t xml:space="preserve">[Online]. </w:t>
      </w:r>
      <w:proofErr w:type="spellStart"/>
      <w:r w:rsidRPr="00D44723">
        <w:rPr>
          <w:rFonts w:ascii="Arial" w:hAnsi="Arial" w:cs="Arial"/>
          <w:sz w:val="24"/>
          <w:szCs w:val="24"/>
          <w:lang w:val="en-US"/>
        </w:rPr>
        <w:t>Kiteworks</w:t>
      </w:r>
      <w:proofErr w:type="spellEnd"/>
      <w:r w:rsidRPr="00D44723">
        <w:rPr>
          <w:rFonts w:ascii="Arial" w:hAnsi="Arial" w:cs="Arial"/>
          <w:sz w:val="24"/>
          <w:szCs w:val="24"/>
          <w:lang w:val="en-US"/>
        </w:rPr>
        <w:t xml:space="preserve"> | Your Private Content Network. Available: </w:t>
      </w:r>
      <w:hyperlink r:id="rId11" w:history="1">
        <w:r w:rsidRPr="00D44723">
          <w:rPr>
            <w:rStyle w:val="Hyperlink"/>
            <w:rFonts w:ascii="Arial" w:hAnsi="Arial" w:cs="Arial"/>
            <w:sz w:val="24"/>
            <w:szCs w:val="24"/>
            <w:lang w:val="en-US"/>
          </w:rPr>
          <w:t>https://www.kiteworks.com/risk-compliance-glossary/uk-investigatory-powers-act/</w:t>
        </w:r>
      </w:hyperlink>
      <w:r w:rsidRPr="00D44723">
        <w:rPr>
          <w:rFonts w:ascii="Arial" w:hAnsi="Arial" w:cs="Arial"/>
          <w:sz w:val="24"/>
          <w:szCs w:val="24"/>
          <w:lang w:val="en-US"/>
        </w:rPr>
        <w:t>. [Accessed 05 Jan 2025].</w:t>
      </w:r>
    </w:p>
    <w:p w14:paraId="3734094F"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LYON, D. 2001. </w:t>
      </w:r>
      <w:r w:rsidRPr="00D44723">
        <w:rPr>
          <w:rFonts w:ascii="Arial" w:hAnsi="Arial" w:cs="Arial"/>
          <w:i/>
          <w:sz w:val="24"/>
          <w:szCs w:val="24"/>
          <w:lang w:val="en-US"/>
        </w:rPr>
        <w:t>Surveillance society</w:t>
      </w:r>
      <w:r w:rsidRPr="00D44723">
        <w:rPr>
          <w:rFonts w:ascii="Arial" w:hAnsi="Arial" w:cs="Arial"/>
          <w:sz w:val="24"/>
          <w:szCs w:val="24"/>
          <w:lang w:val="en-US"/>
        </w:rPr>
        <w:t>, McGraw-Hill Education (UK).</w:t>
      </w:r>
    </w:p>
    <w:p w14:paraId="6255E175"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SANDHU, A. &amp; FUSSEY, P. 2020. The ‘uberization of policing’? How police negotiate and </w:t>
      </w:r>
      <w:proofErr w:type="spellStart"/>
      <w:r w:rsidRPr="00D44723">
        <w:rPr>
          <w:rFonts w:ascii="Arial" w:hAnsi="Arial" w:cs="Arial"/>
          <w:sz w:val="24"/>
          <w:szCs w:val="24"/>
          <w:lang w:val="en-US"/>
        </w:rPr>
        <w:t>operationalise</w:t>
      </w:r>
      <w:proofErr w:type="spellEnd"/>
      <w:r w:rsidRPr="00D44723">
        <w:rPr>
          <w:rFonts w:ascii="Arial" w:hAnsi="Arial" w:cs="Arial"/>
          <w:sz w:val="24"/>
          <w:szCs w:val="24"/>
          <w:lang w:val="en-US"/>
        </w:rPr>
        <w:t xml:space="preserve"> predictive policing technology. </w:t>
      </w:r>
      <w:r w:rsidRPr="00D44723">
        <w:rPr>
          <w:rFonts w:ascii="Arial" w:hAnsi="Arial" w:cs="Arial"/>
          <w:i/>
          <w:sz w:val="24"/>
          <w:szCs w:val="24"/>
          <w:lang w:val="en-US"/>
        </w:rPr>
        <w:t>Policing and Society,</w:t>
      </w:r>
      <w:r w:rsidRPr="00D44723">
        <w:rPr>
          <w:rFonts w:ascii="Arial" w:hAnsi="Arial" w:cs="Arial"/>
          <w:sz w:val="24"/>
          <w:szCs w:val="24"/>
          <w:lang w:val="en-US"/>
        </w:rPr>
        <w:t xml:space="preserve"> 31</w:t>
      </w:r>
      <w:r w:rsidRPr="00D44723">
        <w:rPr>
          <w:rFonts w:ascii="Arial" w:hAnsi="Arial" w:cs="Arial"/>
          <w:b/>
          <w:sz w:val="24"/>
          <w:szCs w:val="24"/>
          <w:lang w:val="en-US"/>
        </w:rPr>
        <w:t>,</w:t>
      </w:r>
      <w:r w:rsidRPr="00D44723">
        <w:rPr>
          <w:rFonts w:ascii="Arial" w:hAnsi="Arial" w:cs="Arial"/>
          <w:sz w:val="24"/>
          <w:szCs w:val="24"/>
          <w:lang w:val="en-US"/>
        </w:rPr>
        <w:t xml:space="preserve"> 66-81.</w:t>
      </w:r>
    </w:p>
    <w:p w14:paraId="13B72378"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SARGIACOMO, M. 2009. Michel Foucault, Discipline and Punish: The Birth of the Prison. </w:t>
      </w:r>
      <w:r w:rsidRPr="00D44723">
        <w:rPr>
          <w:rFonts w:ascii="Arial" w:hAnsi="Arial" w:cs="Arial"/>
          <w:i/>
          <w:sz w:val="24"/>
          <w:szCs w:val="24"/>
          <w:lang w:val="en-US"/>
        </w:rPr>
        <w:t>Journal of Management &amp; Governance,</w:t>
      </w:r>
      <w:r w:rsidRPr="00D44723">
        <w:rPr>
          <w:rFonts w:ascii="Arial" w:hAnsi="Arial" w:cs="Arial"/>
          <w:sz w:val="24"/>
          <w:szCs w:val="24"/>
          <w:lang w:val="en-US"/>
        </w:rPr>
        <w:t xml:space="preserve"> 13</w:t>
      </w:r>
      <w:r w:rsidRPr="00D44723">
        <w:rPr>
          <w:rFonts w:ascii="Arial" w:hAnsi="Arial" w:cs="Arial"/>
          <w:b/>
          <w:sz w:val="24"/>
          <w:szCs w:val="24"/>
          <w:lang w:val="en-US"/>
        </w:rPr>
        <w:t>,</w:t>
      </w:r>
      <w:r w:rsidRPr="00D44723">
        <w:rPr>
          <w:rFonts w:ascii="Arial" w:hAnsi="Arial" w:cs="Arial"/>
          <w:sz w:val="24"/>
          <w:szCs w:val="24"/>
          <w:lang w:val="en-US"/>
        </w:rPr>
        <w:t xml:space="preserve"> 269-280.</w:t>
      </w:r>
    </w:p>
    <w:p w14:paraId="73D85D86"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lastRenderedPageBreak/>
        <w:t xml:space="preserve">UCL. 2024. </w:t>
      </w:r>
      <w:r w:rsidRPr="00D44723">
        <w:rPr>
          <w:rFonts w:ascii="Arial" w:hAnsi="Arial" w:cs="Arial"/>
          <w:i/>
          <w:sz w:val="24"/>
          <w:szCs w:val="24"/>
          <w:lang w:val="en-US"/>
        </w:rPr>
        <w:t xml:space="preserve">The Panopticon </w:t>
      </w:r>
      <w:r w:rsidRPr="00D44723">
        <w:rPr>
          <w:rFonts w:ascii="Arial" w:hAnsi="Arial" w:cs="Arial"/>
          <w:sz w:val="24"/>
          <w:szCs w:val="24"/>
          <w:lang w:val="en-US"/>
        </w:rPr>
        <w:t xml:space="preserve">[Online]. Museums and Collections. Available: </w:t>
      </w:r>
      <w:hyperlink r:id="rId12" w:history="1">
        <w:r w:rsidRPr="00D44723">
          <w:rPr>
            <w:rStyle w:val="Hyperlink"/>
            <w:rFonts w:ascii="Arial" w:hAnsi="Arial" w:cs="Arial"/>
            <w:sz w:val="24"/>
            <w:szCs w:val="24"/>
            <w:lang w:val="en-US"/>
          </w:rPr>
          <w:t>https://www.ucl.ac.uk/museums-collections/auto-icon-jeremy-bentham/panopticon</w:t>
        </w:r>
      </w:hyperlink>
      <w:r w:rsidRPr="00D44723">
        <w:rPr>
          <w:rFonts w:ascii="Arial" w:hAnsi="Arial" w:cs="Arial"/>
          <w:sz w:val="24"/>
          <w:szCs w:val="24"/>
          <w:lang w:val="en-US"/>
        </w:rPr>
        <w:t xml:space="preserve"> [Accessed 04 Jan 2025].</w:t>
      </w:r>
    </w:p>
    <w:p w14:paraId="4E88E0F4"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UCPI. n.d. </w:t>
      </w:r>
      <w:r w:rsidRPr="00D44723">
        <w:rPr>
          <w:rFonts w:ascii="Arial" w:hAnsi="Arial" w:cs="Arial"/>
          <w:i/>
          <w:sz w:val="24"/>
          <w:szCs w:val="24"/>
          <w:lang w:val="en-US"/>
        </w:rPr>
        <w:t xml:space="preserve">Undercover Policing Inquiry: Official Website </w:t>
      </w:r>
      <w:r w:rsidRPr="00D44723">
        <w:rPr>
          <w:rFonts w:ascii="Arial" w:hAnsi="Arial" w:cs="Arial"/>
          <w:sz w:val="24"/>
          <w:szCs w:val="24"/>
          <w:lang w:val="en-US"/>
        </w:rPr>
        <w:t xml:space="preserve">[Online]. </w:t>
      </w:r>
      <w:hyperlink r:id="rId13" w:history="1">
        <w:r w:rsidRPr="00D44723">
          <w:rPr>
            <w:rStyle w:val="Hyperlink"/>
            <w:rFonts w:ascii="Arial" w:hAnsi="Arial" w:cs="Arial"/>
            <w:sz w:val="24"/>
            <w:szCs w:val="24"/>
            <w:lang w:val="en-US"/>
          </w:rPr>
          <w:t>www.ucpi.org.ukUndercover</w:t>
        </w:r>
      </w:hyperlink>
      <w:r w:rsidRPr="00D44723">
        <w:rPr>
          <w:rFonts w:ascii="Arial" w:hAnsi="Arial" w:cs="Arial"/>
          <w:sz w:val="24"/>
          <w:szCs w:val="24"/>
          <w:lang w:val="en-US"/>
        </w:rPr>
        <w:t xml:space="preserve"> Undercover Policing Inquiry. Available: </w:t>
      </w:r>
      <w:hyperlink r:id="rId14" w:history="1">
        <w:r w:rsidRPr="00D44723">
          <w:rPr>
            <w:rStyle w:val="Hyperlink"/>
            <w:rFonts w:ascii="Arial" w:hAnsi="Arial" w:cs="Arial"/>
            <w:sz w:val="24"/>
            <w:szCs w:val="24"/>
            <w:lang w:val="en-US"/>
          </w:rPr>
          <w:t>https://www.ucpi.org.uk/</w:t>
        </w:r>
      </w:hyperlink>
      <w:r w:rsidRPr="00D44723">
        <w:rPr>
          <w:rFonts w:ascii="Arial" w:hAnsi="Arial" w:cs="Arial"/>
          <w:sz w:val="24"/>
          <w:szCs w:val="24"/>
          <w:lang w:val="en-US"/>
        </w:rPr>
        <w:t xml:space="preserve"> [Accessed].</w:t>
      </w:r>
    </w:p>
    <w:p w14:paraId="742AD378" w14:textId="77777777" w:rsidR="00D44723" w:rsidRPr="00D44723" w:rsidRDefault="00D44723" w:rsidP="00D44723">
      <w:pPr>
        <w:rPr>
          <w:rFonts w:ascii="Arial" w:hAnsi="Arial" w:cs="Arial"/>
          <w:sz w:val="24"/>
          <w:szCs w:val="24"/>
          <w:lang w:val="en-US"/>
        </w:rPr>
      </w:pPr>
      <w:r w:rsidRPr="00D44723">
        <w:rPr>
          <w:rFonts w:ascii="Arial" w:hAnsi="Arial" w:cs="Arial"/>
          <w:sz w:val="24"/>
          <w:szCs w:val="24"/>
          <w:lang w:val="en-US"/>
        </w:rPr>
        <w:t xml:space="preserve">URQUHART, L. &amp; MIRANDA, D. 2021. Policing faces: the present and future of intelligent facial surveillance. </w:t>
      </w:r>
      <w:r w:rsidRPr="00D44723">
        <w:rPr>
          <w:rFonts w:ascii="Arial" w:hAnsi="Arial" w:cs="Arial"/>
          <w:i/>
          <w:sz w:val="24"/>
          <w:szCs w:val="24"/>
          <w:lang w:val="en-US"/>
        </w:rPr>
        <w:t>Information &amp; Communications Technology Law,</w:t>
      </w:r>
      <w:r w:rsidRPr="00D44723">
        <w:rPr>
          <w:rFonts w:ascii="Arial" w:hAnsi="Arial" w:cs="Arial"/>
          <w:sz w:val="24"/>
          <w:szCs w:val="24"/>
          <w:lang w:val="en-US"/>
        </w:rPr>
        <w:t xml:space="preserve"> 31</w:t>
      </w:r>
      <w:r w:rsidRPr="00D44723">
        <w:rPr>
          <w:rFonts w:ascii="Arial" w:hAnsi="Arial" w:cs="Arial"/>
          <w:b/>
          <w:sz w:val="24"/>
          <w:szCs w:val="24"/>
          <w:lang w:val="en-US"/>
        </w:rPr>
        <w:t>,</w:t>
      </w:r>
      <w:r w:rsidRPr="00D44723">
        <w:rPr>
          <w:rFonts w:ascii="Arial" w:hAnsi="Arial" w:cs="Arial"/>
          <w:sz w:val="24"/>
          <w:szCs w:val="24"/>
          <w:lang w:val="en-US"/>
        </w:rPr>
        <w:t xml:space="preserve"> 194-219.</w:t>
      </w:r>
    </w:p>
    <w:p w14:paraId="5404200F" w14:textId="29FF92D7" w:rsidR="00D44723" w:rsidRPr="004234D0" w:rsidRDefault="00D44723" w:rsidP="00D44723">
      <w:pPr>
        <w:rPr>
          <w:rFonts w:ascii="Arial" w:hAnsi="Arial" w:cs="Arial"/>
          <w:sz w:val="24"/>
          <w:szCs w:val="24"/>
        </w:rPr>
      </w:pPr>
      <w:r w:rsidRPr="00D44723">
        <w:rPr>
          <w:rFonts w:ascii="Arial" w:hAnsi="Arial" w:cs="Arial"/>
          <w:sz w:val="24"/>
          <w:szCs w:val="24"/>
        </w:rPr>
        <w:fldChar w:fldCharType="end"/>
      </w:r>
    </w:p>
    <w:p w14:paraId="52D26F8B" w14:textId="77777777" w:rsidR="00256EFC" w:rsidRPr="004234D0" w:rsidRDefault="00256EFC">
      <w:pPr>
        <w:rPr>
          <w:rFonts w:ascii="Arial" w:hAnsi="Arial" w:cs="Arial"/>
          <w:sz w:val="24"/>
          <w:szCs w:val="24"/>
        </w:rPr>
      </w:pPr>
    </w:p>
    <w:sectPr w:rsidR="00256EFC" w:rsidRPr="004234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A0D2C"/>
    <w:multiLevelType w:val="multilevel"/>
    <w:tmpl w:val="1F8A7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4258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A91"/>
    <w:rsid w:val="0012283C"/>
    <w:rsid w:val="00256EFC"/>
    <w:rsid w:val="00274A91"/>
    <w:rsid w:val="003034B4"/>
    <w:rsid w:val="00312D10"/>
    <w:rsid w:val="004234D0"/>
    <w:rsid w:val="00511563"/>
    <w:rsid w:val="00D44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87351"/>
  <w15:chartTrackingRefBased/>
  <w15:docId w15:val="{96B9F306-45B9-4918-9DB1-0EEBDB98A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4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4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A91"/>
    <w:rPr>
      <w:rFonts w:eastAsiaTheme="majorEastAsia" w:cstheme="majorBidi"/>
      <w:color w:val="272727" w:themeColor="text1" w:themeTint="D8"/>
    </w:rPr>
  </w:style>
  <w:style w:type="paragraph" w:styleId="Title">
    <w:name w:val="Title"/>
    <w:basedOn w:val="Normal"/>
    <w:next w:val="Normal"/>
    <w:link w:val="TitleChar"/>
    <w:uiPriority w:val="10"/>
    <w:qFormat/>
    <w:rsid w:val="00274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A91"/>
    <w:pPr>
      <w:spacing w:before="160"/>
      <w:jc w:val="center"/>
    </w:pPr>
    <w:rPr>
      <w:i/>
      <w:iCs/>
      <w:color w:val="404040" w:themeColor="text1" w:themeTint="BF"/>
    </w:rPr>
  </w:style>
  <w:style w:type="character" w:customStyle="1" w:styleId="QuoteChar">
    <w:name w:val="Quote Char"/>
    <w:basedOn w:val="DefaultParagraphFont"/>
    <w:link w:val="Quote"/>
    <w:uiPriority w:val="29"/>
    <w:rsid w:val="00274A91"/>
    <w:rPr>
      <w:i/>
      <w:iCs/>
      <w:color w:val="404040" w:themeColor="text1" w:themeTint="BF"/>
    </w:rPr>
  </w:style>
  <w:style w:type="paragraph" w:styleId="ListParagraph">
    <w:name w:val="List Paragraph"/>
    <w:basedOn w:val="Normal"/>
    <w:uiPriority w:val="34"/>
    <w:qFormat/>
    <w:rsid w:val="00274A91"/>
    <w:pPr>
      <w:ind w:left="720"/>
      <w:contextualSpacing/>
    </w:pPr>
  </w:style>
  <w:style w:type="character" w:styleId="IntenseEmphasis">
    <w:name w:val="Intense Emphasis"/>
    <w:basedOn w:val="DefaultParagraphFont"/>
    <w:uiPriority w:val="21"/>
    <w:qFormat/>
    <w:rsid w:val="00274A91"/>
    <w:rPr>
      <w:i/>
      <w:iCs/>
      <w:color w:val="0F4761" w:themeColor="accent1" w:themeShade="BF"/>
    </w:rPr>
  </w:style>
  <w:style w:type="paragraph" w:styleId="IntenseQuote">
    <w:name w:val="Intense Quote"/>
    <w:basedOn w:val="Normal"/>
    <w:next w:val="Normal"/>
    <w:link w:val="IntenseQuoteChar"/>
    <w:uiPriority w:val="30"/>
    <w:qFormat/>
    <w:rsid w:val="00274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A91"/>
    <w:rPr>
      <w:i/>
      <w:iCs/>
      <w:color w:val="0F4761" w:themeColor="accent1" w:themeShade="BF"/>
    </w:rPr>
  </w:style>
  <w:style w:type="character" w:styleId="IntenseReference">
    <w:name w:val="Intense Reference"/>
    <w:basedOn w:val="DefaultParagraphFont"/>
    <w:uiPriority w:val="32"/>
    <w:qFormat/>
    <w:rsid w:val="00274A91"/>
    <w:rPr>
      <w:b/>
      <w:bCs/>
      <w:smallCaps/>
      <w:color w:val="0F4761" w:themeColor="accent1" w:themeShade="BF"/>
      <w:spacing w:val="5"/>
    </w:rPr>
  </w:style>
  <w:style w:type="character" w:styleId="Hyperlink">
    <w:name w:val="Hyperlink"/>
    <w:basedOn w:val="DefaultParagraphFont"/>
    <w:uiPriority w:val="99"/>
    <w:unhideWhenUsed/>
    <w:rsid w:val="00D44723"/>
    <w:rPr>
      <w:color w:val="467886" w:themeColor="hyperlink"/>
      <w:u w:val="single"/>
    </w:rPr>
  </w:style>
  <w:style w:type="character" w:styleId="UnresolvedMention">
    <w:name w:val="Unresolved Mention"/>
    <w:basedOn w:val="DefaultParagraphFont"/>
    <w:uiPriority w:val="99"/>
    <w:semiHidden/>
    <w:unhideWhenUsed/>
    <w:rsid w:val="00D447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552700">
      <w:bodyDiv w:val="1"/>
      <w:marLeft w:val="0"/>
      <w:marRight w:val="0"/>
      <w:marTop w:val="0"/>
      <w:marBottom w:val="0"/>
      <w:divBdr>
        <w:top w:val="none" w:sz="0" w:space="0" w:color="auto"/>
        <w:left w:val="none" w:sz="0" w:space="0" w:color="auto"/>
        <w:bottom w:val="none" w:sz="0" w:space="0" w:color="auto"/>
        <w:right w:val="none" w:sz="0" w:space="0" w:color="auto"/>
      </w:divBdr>
    </w:div>
    <w:div w:id="898127482">
      <w:bodyDiv w:val="1"/>
      <w:marLeft w:val="0"/>
      <w:marRight w:val="0"/>
      <w:marTop w:val="0"/>
      <w:marBottom w:val="0"/>
      <w:divBdr>
        <w:top w:val="none" w:sz="0" w:space="0" w:color="auto"/>
        <w:left w:val="none" w:sz="0" w:space="0" w:color="auto"/>
        <w:bottom w:val="none" w:sz="0" w:space="0" w:color="auto"/>
        <w:right w:val="none" w:sz="0" w:space="0" w:color="auto"/>
      </w:divBdr>
    </w:div>
    <w:div w:id="1087000047">
      <w:bodyDiv w:val="1"/>
      <w:marLeft w:val="0"/>
      <w:marRight w:val="0"/>
      <w:marTop w:val="0"/>
      <w:marBottom w:val="0"/>
      <w:divBdr>
        <w:top w:val="none" w:sz="0" w:space="0" w:color="auto"/>
        <w:left w:val="none" w:sz="0" w:space="0" w:color="auto"/>
        <w:bottom w:val="none" w:sz="0" w:space="0" w:color="auto"/>
        <w:right w:val="none" w:sz="0" w:space="0" w:color="auto"/>
      </w:divBdr>
    </w:div>
    <w:div w:id="1090003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regulation-of-investigatory-powers-act-2000-ripa/regulation-of-investigatory-powers-act-2000-ripa" TargetMode="External"/><Relationship Id="rId13" Type="http://schemas.openxmlformats.org/officeDocument/2006/relationships/hyperlink" Target="file:///C:\Users\Microsoft\Downloads\www.ucpi.org.ukUndercover" TargetMode="External"/><Relationship Id="rId3" Type="http://schemas.openxmlformats.org/officeDocument/2006/relationships/settings" Target="settings.xml"/><Relationship Id="rId7" Type="http://schemas.openxmlformats.org/officeDocument/2006/relationships/hyperlink" Target="https://www.bigbrotherwatch.org.uk/wp-content/uploads/2024/03/Big-Brother-Watch-Impact-Report-2023.pdf" TargetMode="External"/><Relationship Id="rId12" Type="http://schemas.openxmlformats.org/officeDocument/2006/relationships/hyperlink" Target="https://www.ucl.ac.uk/museums-collections/auto-icon-jeremy-bentham/panoptic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mnesty.org/en/latest/press-release/2021/01/ban-dangerous-facial-recognition-technology-that-amplifies-racist-policing/" TargetMode="External"/><Relationship Id="rId11" Type="http://schemas.openxmlformats.org/officeDocument/2006/relationships/hyperlink" Target="https://www.kiteworks.com/risk-compliance-glossary/uk-investigatory-powers-act/" TargetMode="External"/><Relationship Id="rId5" Type="http://schemas.openxmlformats.org/officeDocument/2006/relationships/hyperlink" Target="https://criminal-justice.iresearchnet.com/criminal-justice-process/investigation-and-evidence-gathering/use-of-informants-in-investigations/" TargetMode="External"/><Relationship Id="rId15" Type="http://schemas.openxmlformats.org/officeDocument/2006/relationships/fontTable" Target="fontTable.xml"/><Relationship Id="rId10" Type="http://schemas.openxmlformats.org/officeDocument/2006/relationships/hyperlink" Target="https://www.ifsecglobal.com/video-surveillance/revealed-the-uks-most-watched-cities/" TargetMode="External"/><Relationship Id="rId4" Type="http://schemas.openxmlformats.org/officeDocument/2006/relationships/webSettings" Target="webSettings.xml"/><Relationship Id="rId9" Type="http://schemas.openxmlformats.org/officeDocument/2006/relationships/hyperlink" Target="https://ico.org.uk/for-organisations/uk-gdpr-guidance-and-resources/cctv-and-video-surveillance/guidance-on-video-surveillance-including-cctv/what-are-our-responsibilities-in-terms-of-accountability/" TargetMode="External"/><Relationship Id="rId14" Type="http://schemas.openxmlformats.org/officeDocument/2006/relationships/hyperlink" Target="https://www.ucpi.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1936</Words>
  <Characters>11041</Characters>
  <Application>Microsoft Office Word</Application>
  <DocSecurity>0</DocSecurity>
  <Lines>92</Lines>
  <Paragraphs>25</Paragraphs>
  <ScaleCrop>false</ScaleCrop>
  <Company/>
  <LinksUpToDate>false</LinksUpToDate>
  <CharactersWithSpaces>12952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Staunton (2222122)</dc:creator>
  <cp:keywords/>
  <dc:description/>
  <cp:lastModifiedBy>Wayne Staunton (2222122)</cp:lastModifiedBy>
  <cp:revision>2</cp:revision>
  <dcterms:created xsi:type="dcterms:W3CDTF">2025-01-13T18:44:00Z</dcterms:created>
  <dcterms:modified xsi:type="dcterms:W3CDTF">2025-01-13T18:44:00Z</dcterms:modified>
</cp:coreProperties>
</file>