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848558" w14:textId="30F8D161" w:rsidR="004E6000" w:rsidRDefault="004E6000" w:rsidP="004E6000">
      <w:pPr>
        <w:pStyle w:val="Default"/>
        <w:rPr>
          <w:lang w:val="en-GB"/>
        </w:rPr>
      </w:pPr>
    </w:p>
    <w:p w14:paraId="54854DC1" w14:textId="77777777" w:rsidR="00733497" w:rsidRPr="00A77300" w:rsidRDefault="00733497" w:rsidP="004E6000">
      <w:pPr>
        <w:pStyle w:val="Default"/>
        <w:rPr>
          <w:lang w:val="en-GB"/>
        </w:rPr>
      </w:pPr>
    </w:p>
    <w:p w14:paraId="4BB0EC5D" w14:textId="5D688EB1" w:rsidR="00E62723" w:rsidRDefault="00E62723" w:rsidP="004E6000">
      <w:pPr>
        <w:pStyle w:val="Default"/>
      </w:pPr>
    </w:p>
    <w:p w14:paraId="0F370428" w14:textId="4CA71C91" w:rsidR="00E62723" w:rsidRDefault="00E62723" w:rsidP="004E6000">
      <w:pPr>
        <w:pStyle w:val="Default"/>
      </w:pPr>
    </w:p>
    <w:p w14:paraId="41FFBCB2" w14:textId="0AF6C039" w:rsidR="00E62723" w:rsidRDefault="00E62723" w:rsidP="004E6000">
      <w:pPr>
        <w:pStyle w:val="Default"/>
      </w:pPr>
    </w:p>
    <w:p w14:paraId="37391017" w14:textId="232B23D7" w:rsidR="00E62723" w:rsidRDefault="00E62723" w:rsidP="004E6000">
      <w:pPr>
        <w:pStyle w:val="Default"/>
      </w:pPr>
    </w:p>
    <w:p w14:paraId="490AAEA5" w14:textId="39DACAFB" w:rsidR="00E62723" w:rsidRDefault="00E62723" w:rsidP="004E6000">
      <w:pPr>
        <w:pStyle w:val="Default"/>
      </w:pPr>
    </w:p>
    <w:p w14:paraId="19A9CD43" w14:textId="22344128" w:rsidR="00E62723" w:rsidRDefault="00E62723" w:rsidP="004E6000">
      <w:pPr>
        <w:pStyle w:val="Default"/>
      </w:pPr>
    </w:p>
    <w:p w14:paraId="49B46FC0" w14:textId="2A2FF8E2" w:rsidR="00E62723" w:rsidRDefault="00E62723" w:rsidP="004E6000">
      <w:pPr>
        <w:pStyle w:val="Default"/>
      </w:pPr>
    </w:p>
    <w:p w14:paraId="0D6BD1AB" w14:textId="7C573F3F" w:rsidR="00E62723" w:rsidRDefault="00E62723" w:rsidP="004E6000">
      <w:pPr>
        <w:pStyle w:val="Default"/>
      </w:pPr>
    </w:p>
    <w:p w14:paraId="3A224195" w14:textId="4F3AC7F8" w:rsidR="00E62723" w:rsidRDefault="00E62723" w:rsidP="004E6000">
      <w:pPr>
        <w:pStyle w:val="Default"/>
      </w:pPr>
    </w:p>
    <w:p w14:paraId="1D1662F1" w14:textId="7EDE75F6" w:rsidR="00E62723" w:rsidRDefault="00E62723" w:rsidP="004E6000">
      <w:pPr>
        <w:pStyle w:val="Default"/>
      </w:pPr>
    </w:p>
    <w:p w14:paraId="37606A56" w14:textId="08DC2469" w:rsidR="00E62723" w:rsidRDefault="00E62723" w:rsidP="004E6000">
      <w:pPr>
        <w:pStyle w:val="Default"/>
      </w:pPr>
    </w:p>
    <w:p w14:paraId="73F61998" w14:textId="77777777" w:rsidR="00E62723" w:rsidRPr="00E62723" w:rsidRDefault="00E62723" w:rsidP="004E6000">
      <w:pPr>
        <w:pStyle w:val="Default"/>
        <w:rPr>
          <w:lang w:val="en-GB"/>
        </w:rPr>
      </w:pPr>
    </w:p>
    <w:p w14:paraId="63BA896C" w14:textId="0636E18F" w:rsidR="00E62723" w:rsidRDefault="00E62723" w:rsidP="00E62723">
      <w:pPr>
        <w:spacing w:line="259" w:lineRule="auto"/>
        <w:jc w:val="center"/>
        <w:rPr>
          <w:b/>
          <w:bCs/>
          <w:sz w:val="36"/>
          <w:szCs w:val="44"/>
        </w:rPr>
      </w:pPr>
      <w:r w:rsidRPr="00E62723">
        <w:rPr>
          <w:b/>
          <w:bCs/>
          <w:sz w:val="36"/>
          <w:szCs w:val="44"/>
        </w:rPr>
        <w:t>LCBB4002</w:t>
      </w:r>
    </w:p>
    <w:p w14:paraId="639B23A4" w14:textId="2171D926" w:rsidR="00E62723" w:rsidRDefault="00E62723" w:rsidP="00E62723">
      <w:pPr>
        <w:spacing w:line="259" w:lineRule="auto"/>
        <w:jc w:val="center"/>
        <w:rPr>
          <w:b/>
          <w:bCs/>
          <w:sz w:val="36"/>
          <w:szCs w:val="44"/>
        </w:rPr>
      </w:pPr>
      <w:r w:rsidRPr="00E62723">
        <w:rPr>
          <w:b/>
          <w:bCs/>
          <w:sz w:val="36"/>
          <w:szCs w:val="44"/>
        </w:rPr>
        <w:t>Community Engagement</w:t>
      </w:r>
    </w:p>
    <w:p w14:paraId="27A446B8" w14:textId="6439D85C" w:rsidR="0068247A" w:rsidRDefault="0068247A" w:rsidP="00E62723">
      <w:pPr>
        <w:spacing w:line="259" w:lineRule="auto"/>
        <w:jc w:val="center"/>
        <w:rPr>
          <w:b/>
          <w:bCs/>
          <w:sz w:val="36"/>
          <w:szCs w:val="44"/>
        </w:rPr>
      </w:pPr>
      <w:bookmarkStart w:id="0" w:name="_GoBack"/>
      <w:bookmarkEnd w:id="0"/>
    </w:p>
    <w:p w14:paraId="1A2E2142" w14:textId="4C0C498C" w:rsidR="0068247A" w:rsidRPr="00E62723" w:rsidRDefault="0068247A" w:rsidP="00E62723">
      <w:pPr>
        <w:spacing w:line="259" w:lineRule="auto"/>
        <w:jc w:val="center"/>
        <w:rPr>
          <w:rFonts w:eastAsiaTheme="majorEastAsia" w:cstheme="majorBidi"/>
          <w:b/>
          <w:bCs/>
          <w:color w:val="000000" w:themeColor="text1"/>
          <w:sz w:val="48"/>
          <w:szCs w:val="56"/>
        </w:rPr>
      </w:pPr>
    </w:p>
    <w:p w14:paraId="1883A04D" w14:textId="77777777" w:rsidR="00797354" w:rsidRDefault="00797354" w:rsidP="00797354">
      <w:pPr>
        <w:jc w:val="center"/>
        <w:rPr>
          <w:b/>
          <w:sz w:val="36"/>
          <w:szCs w:val="36"/>
        </w:rPr>
      </w:pPr>
      <w:r>
        <w:rPr>
          <w:b/>
          <w:sz w:val="36"/>
          <w:szCs w:val="36"/>
        </w:rPr>
        <w:t>Student ID:2114394</w:t>
      </w:r>
    </w:p>
    <w:p w14:paraId="1A1FC0D9" w14:textId="77777777" w:rsidR="00E62723" w:rsidRDefault="00E62723" w:rsidP="00E62723">
      <w:pPr>
        <w:spacing w:line="259" w:lineRule="auto"/>
        <w:jc w:val="center"/>
        <w:rPr>
          <w:rFonts w:asciiTheme="majorHAnsi" w:eastAsiaTheme="majorEastAsia" w:hAnsiTheme="majorHAnsi" w:cstheme="majorBidi"/>
          <w:color w:val="2F5496" w:themeColor="accent1" w:themeShade="BF"/>
          <w:sz w:val="32"/>
          <w:szCs w:val="32"/>
          <w:lang w:val="en-US" w:bidi="ar-SA"/>
        </w:rPr>
      </w:pPr>
      <w:r>
        <w:br w:type="page"/>
      </w:r>
    </w:p>
    <w:sdt>
      <w:sdtPr>
        <w:rPr>
          <w:rFonts w:ascii="Times New Roman" w:eastAsiaTheme="minorHAnsi" w:hAnsi="Times New Roman" w:cstheme="minorBidi"/>
          <w:color w:val="auto"/>
          <w:sz w:val="22"/>
          <w:szCs w:val="28"/>
          <w:lang w:val="en-GB" w:bidi="bn-BD"/>
        </w:rPr>
        <w:id w:val="2132973082"/>
        <w:docPartObj>
          <w:docPartGallery w:val="Table of Contents"/>
          <w:docPartUnique/>
        </w:docPartObj>
      </w:sdtPr>
      <w:sdtEndPr>
        <w:rPr>
          <w:b/>
          <w:bCs/>
          <w:noProof/>
        </w:rPr>
      </w:sdtEndPr>
      <w:sdtContent>
        <w:p w14:paraId="3DF86F58" w14:textId="24C7A55E" w:rsidR="00E62723" w:rsidRPr="00E62723" w:rsidRDefault="00E62723" w:rsidP="00E62723">
          <w:pPr>
            <w:pStyle w:val="TOCHeading"/>
            <w:spacing w:line="360" w:lineRule="auto"/>
            <w:rPr>
              <w:rFonts w:ascii="Times New Roman" w:hAnsi="Times New Roman" w:cs="Times New Roman"/>
              <w:b/>
              <w:bCs/>
            </w:rPr>
          </w:pPr>
          <w:r w:rsidRPr="00E62723">
            <w:rPr>
              <w:rFonts w:ascii="Times New Roman" w:hAnsi="Times New Roman" w:cs="Times New Roman"/>
              <w:b/>
              <w:bCs/>
            </w:rPr>
            <w:t>Table of Contents</w:t>
          </w:r>
        </w:p>
        <w:p w14:paraId="0D2AC8F6" w14:textId="341C7A3E" w:rsidR="00470B88" w:rsidRDefault="00E62723">
          <w:pPr>
            <w:pStyle w:val="TOC1"/>
            <w:tabs>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102315354" w:history="1">
            <w:r w:rsidR="00470B88" w:rsidRPr="00B47D43">
              <w:rPr>
                <w:rStyle w:val="Hyperlink"/>
                <w:noProof/>
              </w:rPr>
              <w:t>Introduction</w:t>
            </w:r>
            <w:r w:rsidR="00470B88">
              <w:rPr>
                <w:noProof/>
                <w:webHidden/>
              </w:rPr>
              <w:tab/>
            </w:r>
            <w:r w:rsidR="00470B88">
              <w:rPr>
                <w:noProof/>
                <w:webHidden/>
              </w:rPr>
              <w:fldChar w:fldCharType="begin"/>
            </w:r>
            <w:r w:rsidR="00470B88">
              <w:rPr>
                <w:noProof/>
                <w:webHidden/>
              </w:rPr>
              <w:instrText xml:space="preserve"> PAGEREF _Toc102315354 \h </w:instrText>
            </w:r>
            <w:r w:rsidR="00470B88">
              <w:rPr>
                <w:noProof/>
                <w:webHidden/>
              </w:rPr>
            </w:r>
            <w:r w:rsidR="00470B88">
              <w:rPr>
                <w:noProof/>
                <w:webHidden/>
              </w:rPr>
              <w:fldChar w:fldCharType="separate"/>
            </w:r>
            <w:r w:rsidR="00470B88">
              <w:rPr>
                <w:noProof/>
                <w:webHidden/>
              </w:rPr>
              <w:t>3</w:t>
            </w:r>
            <w:r w:rsidR="00470B88">
              <w:rPr>
                <w:noProof/>
                <w:webHidden/>
              </w:rPr>
              <w:fldChar w:fldCharType="end"/>
            </w:r>
          </w:hyperlink>
        </w:p>
        <w:p w14:paraId="3D6C34F2" w14:textId="04CA1AD1" w:rsidR="00470B88" w:rsidRDefault="0076754B">
          <w:pPr>
            <w:pStyle w:val="TOC1"/>
            <w:tabs>
              <w:tab w:val="right" w:leader="dot" w:pos="9016"/>
            </w:tabs>
            <w:rPr>
              <w:rFonts w:asciiTheme="minorHAnsi" w:eastAsiaTheme="minorEastAsia" w:hAnsiTheme="minorHAnsi"/>
              <w:noProof/>
            </w:rPr>
          </w:pPr>
          <w:hyperlink w:anchor="_Toc102315355" w:history="1">
            <w:r w:rsidR="00470B88" w:rsidRPr="00B47D43">
              <w:rPr>
                <w:rStyle w:val="Hyperlink"/>
                <w:noProof/>
              </w:rPr>
              <w:t>Task B</w:t>
            </w:r>
            <w:r w:rsidR="00470B88">
              <w:rPr>
                <w:noProof/>
                <w:webHidden/>
              </w:rPr>
              <w:tab/>
            </w:r>
            <w:r w:rsidR="00470B88">
              <w:rPr>
                <w:noProof/>
                <w:webHidden/>
              </w:rPr>
              <w:fldChar w:fldCharType="begin"/>
            </w:r>
            <w:r w:rsidR="00470B88">
              <w:rPr>
                <w:noProof/>
                <w:webHidden/>
              </w:rPr>
              <w:instrText xml:space="preserve"> PAGEREF _Toc102315355 \h </w:instrText>
            </w:r>
            <w:r w:rsidR="00470B88">
              <w:rPr>
                <w:noProof/>
                <w:webHidden/>
              </w:rPr>
            </w:r>
            <w:r w:rsidR="00470B88">
              <w:rPr>
                <w:noProof/>
                <w:webHidden/>
              </w:rPr>
              <w:fldChar w:fldCharType="separate"/>
            </w:r>
            <w:r w:rsidR="00470B88">
              <w:rPr>
                <w:noProof/>
                <w:webHidden/>
              </w:rPr>
              <w:t>3</w:t>
            </w:r>
            <w:r w:rsidR="00470B88">
              <w:rPr>
                <w:noProof/>
                <w:webHidden/>
              </w:rPr>
              <w:fldChar w:fldCharType="end"/>
            </w:r>
          </w:hyperlink>
        </w:p>
        <w:p w14:paraId="7B380EDD" w14:textId="3865E0E2" w:rsidR="00470B88" w:rsidRDefault="0076754B">
          <w:pPr>
            <w:pStyle w:val="TOC1"/>
            <w:tabs>
              <w:tab w:val="right" w:leader="dot" w:pos="9016"/>
            </w:tabs>
            <w:rPr>
              <w:rFonts w:asciiTheme="minorHAnsi" w:eastAsiaTheme="minorEastAsia" w:hAnsiTheme="minorHAnsi"/>
              <w:noProof/>
            </w:rPr>
          </w:pPr>
          <w:hyperlink w:anchor="_Toc102315356" w:history="1">
            <w:r w:rsidR="00470B88" w:rsidRPr="00B47D43">
              <w:rPr>
                <w:rStyle w:val="Hyperlink"/>
                <w:noProof/>
              </w:rPr>
              <w:t>Conclusion</w:t>
            </w:r>
            <w:r w:rsidR="00470B88">
              <w:rPr>
                <w:noProof/>
                <w:webHidden/>
              </w:rPr>
              <w:tab/>
            </w:r>
            <w:r w:rsidR="00470B88">
              <w:rPr>
                <w:noProof/>
                <w:webHidden/>
              </w:rPr>
              <w:fldChar w:fldCharType="begin"/>
            </w:r>
            <w:r w:rsidR="00470B88">
              <w:rPr>
                <w:noProof/>
                <w:webHidden/>
              </w:rPr>
              <w:instrText xml:space="preserve"> PAGEREF _Toc102315356 \h </w:instrText>
            </w:r>
            <w:r w:rsidR="00470B88">
              <w:rPr>
                <w:noProof/>
                <w:webHidden/>
              </w:rPr>
            </w:r>
            <w:r w:rsidR="00470B88">
              <w:rPr>
                <w:noProof/>
                <w:webHidden/>
              </w:rPr>
              <w:fldChar w:fldCharType="separate"/>
            </w:r>
            <w:r w:rsidR="00470B88">
              <w:rPr>
                <w:noProof/>
                <w:webHidden/>
              </w:rPr>
              <w:t>6</w:t>
            </w:r>
            <w:r w:rsidR="00470B88">
              <w:rPr>
                <w:noProof/>
                <w:webHidden/>
              </w:rPr>
              <w:fldChar w:fldCharType="end"/>
            </w:r>
          </w:hyperlink>
        </w:p>
        <w:p w14:paraId="309F2428" w14:textId="748A0A09" w:rsidR="00470B88" w:rsidRDefault="0076754B">
          <w:pPr>
            <w:pStyle w:val="TOC1"/>
            <w:tabs>
              <w:tab w:val="right" w:leader="dot" w:pos="9016"/>
            </w:tabs>
            <w:rPr>
              <w:rFonts w:asciiTheme="minorHAnsi" w:eastAsiaTheme="minorEastAsia" w:hAnsiTheme="minorHAnsi"/>
              <w:noProof/>
            </w:rPr>
          </w:pPr>
          <w:hyperlink w:anchor="_Toc102315357" w:history="1">
            <w:r w:rsidR="00470B88" w:rsidRPr="00B47D43">
              <w:rPr>
                <w:rStyle w:val="Hyperlink"/>
                <w:noProof/>
              </w:rPr>
              <w:t>References</w:t>
            </w:r>
            <w:r w:rsidR="00470B88">
              <w:rPr>
                <w:noProof/>
                <w:webHidden/>
              </w:rPr>
              <w:tab/>
            </w:r>
            <w:r w:rsidR="00470B88">
              <w:rPr>
                <w:noProof/>
                <w:webHidden/>
              </w:rPr>
              <w:fldChar w:fldCharType="begin"/>
            </w:r>
            <w:r w:rsidR="00470B88">
              <w:rPr>
                <w:noProof/>
                <w:webHidden/>
              </w:rPr>
              <w:instrText xml:space="preserve"> PAGEREF _Toc102315357 \h </w:instrText>
            </w:r>
            <w:r w:rsidR="00470B88">
              <w:rPr>
                <w:noProof/>
                <w:webHidden/>
              </w:rPr>
            </w:r>
            <w:r w:rsidR="00470B88">
              <w:rPr>
                <w:noProof/>
                <w:webHidden/>
              </w:rPr>
              <w:fldChar w:fldCharType="separate"/>
            </w:r>
            <w:r w:rsidR="00470B88">
              <w:rPr>
                <w:noProof/>
                <w:webHidden/>
              </w:rPr>
              <w:t>7</w:t>
            </w:r>
            <w:r w:rsidR="00470B88">
              <w:rPr>
                <w:noProof/>
                <w:webHidden/>
              </w:rPr>
              <w:fldChar w:fldCharType="end"/>
            </w:r>
          </w:hyperlink>
        </w:p>
        <w:p w14:paraId="7ED46964" w14:textId="643ACD59" w:rsidR="00E62723" w:rsidRDefault="00E62723">
          <w:r>
            <w:rPr>
              <w:b/>
              <w:bCs/>
              <w:noProof/>
            </w:rPr>
            <w:fldChar w:fldCharType="end"/>
          </w:r>
        </w:p>
      </w:sdtContent>
    </w:sdt>
    <w:p w14:paraId="6443439B" w14:textId="77777777" w:rsidR="00E62723" w:rsidRDefault="00E62723">
      <w:pPr>
        <w:spacing w:line="259" w:lineRule="auto"/>
        <w:jc w:val="left"/>
        <w:rPr>
          <w:rFonts w:eastAsiaTheme="majorEastAsia" w:cstheme="majorBidi"/>
          <w:b/>
          <w:color w:val="000000" w:themeColor="text1"/>
          <w:sz w:val="32"/>
          <w:szCs w:val="40"/>
        </w:rPr>
      </w:pPr>
      <w:r>
        <w:br w:type="page"/>
      </w:r>
    </w:p>
    <w:p w14:paraId="4CA42013" w14:textId="51B33D4B" w:rsidR="0067658E" w:rsidRDefault="004E6000" w:rsidP="0067658E">
      <w:pPr>
        <w:pStyle w:val="Heading1"/>
      </w:pPr>
      <w:bookmarkStart w:id="1" w:name="_Toc102315354"/>
      <w:r>
        <w:lastRenderedPageBreak/>
        <w:t>Introduction</w:t>
      </w:r>
      <w:bookmarkEnd w:id="1"/>
    </w:p>
    <w:p w14:paraId="4C2CEE7F" w14:textId="70FA31E0" w:rsidR="0067658E" w:rsidRDefault="00222963" w:rsidP="004E6000">
      <w:r>
        <w:t xml:space="preserve">A community can be formed from a physical aspect or from an interest aspect and it is the place for those individuals to share a sense of affiliation and an example can be a health service </w:t>
      </w:r>
      <w:r w:rsidRPr="008E5067">
        <w:t xml:space="preserve">or sports club based </w:t>
      </w:r>
      <w:r w:rsidR="00DB4D8A">
        <w:t>i</w:t>
      </w:r>
      <w:r w:rsidRPr="008E5067">
        <w:t xml:space="preserve">n </w:t>
      </w:r>
      <w:r w:rsidR="00DB4D8A">
        <w:t xml:space="preserve">the </w:t>
      </w:r>
      <w:r w:rsidRPr="008E5067">
        <w:t>UK</w:t>
      </w:r>
      <w:r>
        <w:t xml:space="preserve">. Here, </w:t>
      </w:r>
      <w:r w:rsidRPr="007314C3">
        <w:t xml:space="preserve">we take the </w:t>
      </w:r>
      <w:r w:rsidR="007314C3" w:rsidRPr="007314C3">
        <w:t>Tesco Plc and Pfizer Inc</w:t>
      </w:r>
      <w:r w:rsidRPr="007314C3">
        <w:t xml:space="preserve"> as the </w:t>
      </w:r>
      <w:r>
        <w:t xml:space="preserve">report’s focus area as it is said to give importance to the social engagements and group participation of </w:t>
      </w:r>
      <w:r w:rsidR="00DB4D8A">
        <w:t>its</w:t>
      </w:r>
      <w:r>
        <w:t xml:space="preserve"> </w:t>
      </w:r>
      <w:r w:rsidR="007314C3">
        <w:t>stakeholder</w:t>
      </w:r>
      <w:r>
        <w:t xml:space="preserve">s. </w:t>
      </w:r>
      <w:r w:rsidR="000862E4">
        <w:t xml:space="preserve">The entire report </w:t>
      </w:r>
      <w:r w:rsidR="00317C9C">
        <w:t>will help one in forming an</w:t>
      </w:r>
      <w:r w:rsidR="000862E4">
        <w:t xml:space="preserve"> u</w:t>
      </w:r>
      <w:r w:rsidR="0067658E">
        <w:t>nderstand</w:t>
      </w:r>
      <w:r w:rsidR="000862E4">
        <w:t>ing</w:t>
      </w:r>
      <w:r w:rsidR="0067658E">
        <w:t xml:space="preserve"> and evaluat</w:t>
      </w:r>
      <w:r w:rsidR="000862E4">
        <w:t>ion of</w:t>
      </w:r>
      <w:r w:rsidR="0067658E">
        <w:t xml:space="preserve"> the concept of community engagement</w:t>
      </w:r>
      <w:r w:rsidR="000862E4">
        <w:t xml:space="preserve"> and </w:t>
      </w:r>
      <w:r w:rsidR="0067658E">
        <w:t>adop</w:t>
      </w:r>
      <w:r w:rsidR="000862E4">
        <w:t>ting</w:t>
      </w:r>
      <w:r w:rsidR="0067658E">
        <w:t xml:space="preserve"> principles and standards that will enable </w:t>
      </w:r>
      <w:r w:rsidR="000862E4">
        <w:t>one</w:t>
      </w:r>
      <w:r w:rsidR="0067658E">
        <w:t xml:space="preserve"> to engage with stakeholders across different organisations</w:t>
      </w:r>
      <w:r w:rsidR="00317C9C">
        <w:t xml:space="preserve"> and stakeholders</w:t>
      </w:r>
      <w:r w:rsidR="0067658E">
        <w:t>.</w:t>
      </w:r>
      <w:r w:rsidR="000862E4">
        <w:t xml:space="preserve"> </w:t>
      </w:r>
      <w:r w:rsidR="00317C9C">
        <w:t>Then it will continue</w:t>
      </w:r>
      <w:r w:rsidR="000862E4">
        <w:t xml:space="preserve"> discuss</w:t>
      </w:r>
      <w:r w:rsidR="00317C9C">
        <w:t>ing</w:t>
      </w:r>
      <w:r w:rsidR="000862E4">
        <w:t xml:space="preserve"> on the d</w:t>
      </w:r>
      <w:r w:rsidR="0067658E">
        <w:t>evelop</w:t>
      </w:r>
      <w:r w:rsidR="000862E4">
        <w:t>ment</w:t>
      </w:r>
      <w:r w:rsidR="0067658E">
        <w:t xml:space="preserve"> and evaluat</w:t>
      </w:r>
      <w:r w:rsidR="000862E4">
        <w:t>ion of</w:t>
      </w:r>
      <w:r w:rsidR="0067658E">
        <w:t xml:space="preserve"> interpersonal skills that </w:t>
      </w:r>
      <w:r w:rsidR="000862E4">
        <w:t>help in stimulating an individual’s</w:t>
      </w:r>
      <w:r w:rsidR="0067658E">
        <w:t xml:space="preserve"> creative thinking and apply</w:t>
      </w:r>
      <w:r w:rsidR="00DB4D8A">
        <w:t>ing</w:t>
      </w:r>
      <w:r w:rsidR="0067658E">
        <w:t xml:space="preserve"> logical thinking in real-world situations</w:t>
      </w:r>
      <w:r w:rsidR="00FE1954">
        <w:t xml:space="preserve"> and also how different approaches of community engagement varies among organizations. </w:t>
      </w:r>
    </w:p>
    <w:p w14:paraId="02F6B398" w14:textId="13AFFA6F" w:rsidR="00E034E5" w:rsidRDefault="00733497" w:rsidP="00E034E5">
      <w:pPr>
        <w:pStyle w:val="Heading1"/>
      </w:pPr>
      <w:bookmarkStart w:id="2" w:name="_Toc102315355"/>
      <w:r>
        <w:t>Task B</w:t>
      </w:r>
      <w:bookmarkEnd w:id="2"/>
    </w:p>
    <w:p w14:paraId="74ACE944" w14:textId="14F0F47F" w:rsidR="004B574E" w:rsidRDefault="00E50FC0" w:rsidP="00E034E5">
      <w:r>
        <w:t>By community engagement</w:t>
      </w:r>
      <w:r w:rsidR="0021462A">
        <w:t>, one means the involvement among a community that helps in leading to a long-term, sustainable result and also the decision making, procedure, discussion, connection and execution that aims to better involve the people of that certain community</w:t>
      </w:r>
      <w:r w:rsidR="00EE6265">
        <w:t xml:space="preserve"> </w:t>
      </w:r>
      <w:r w:rsidR="00EE6265" w:rsidRPr="00EE6265">
        <w:t>(Kearney and Candy, 2014)</w:t>
      </w:r>
      <w:r w:rsidR="0021462A">
        <w:t>.</w:t>
      </w:r>
      <w:r w:rsidR="00776C17">
        <w:t xml:space="preserve"> The very term that is discussed here can also </w:t>
      </w:r>
      <w:r w:rsidR="003F3C10">
        <w:t xml:space="preserve">be </w:t>
      </w:r>
      <w:r w:rsidR="00776C17">
        <w:t>used while encompassing many types of individuals which include stakeholders, lobby groups and citizen</w:t>
      </w:r>
      <w:r w:rsidR="003F3C10">
        <w:t xml:space="preserve">s. A community can be formed from a physical aspect or from an interest aspect and it is the place for those individuals to share a sense of affiliation and an example can be </w:t>
      </w:r>
      <w:r w:rsidR="008E5067">
        <w:t>a</w:t>
      </w:r>
      <w:r w:rsidR="003F3C10">
        <w:t xml:space="preserve"> </w:t>
      </w:r>
      <w:r w:rsidR="008E5067">
        <w:t xml:space="preserve">health service </w:t>
      </w:r>
      <w:r w:rsidR="003F3C10" w:rsidRPr="008E5067">
        <w:t xml:space="preserve">or sports club based </w:t>
      </w:r>
      <w:r w:rsidR="00DB4D8A">
        <w:t>i</w:t>
      </w:r>
      <w:r w:rsidR="003F3C10" w:rsidRPr="008E5067">
        <w:t xml:space="preserve">n </w:t>
      </w:r>
      <w:r w:rsidR="00DB4D8A">
        <w:t xml:space="preserve">the </w:t>
      </w:r>
      <w:r w:rsidR="003F3C10" w:rsidRPr="008E5067">
        <w:t>UK</w:t>
      </w:r>
      <w:r w:rsidR="00EE6265">
        <w:t xml:space="preserve"> </w:t>
      </w:r>
      <w:r w:rsidR="00EE6265" w:rsidRPr="00EE6265">
        <w:t>(Marsh, 2017)</w:t>
      </w:r>
      <w:r w:rsidR="003F3C10">
        <w:t xml:space="preserve">. </w:t>
      </w:r>
      <w:r w:rsidR="008E5067">
        <w:t xml:space="preserve">Here, we take </w:t>
      </w:r>
      <w:r w:rsidR="00007515">
        <w:t xml:space="preserve">the </w:t>
      </w:r>
      <w:r w:rsidR="00B22CC1" w:rsidRPr="007314C3">
        <w:t xml:space="preserve">Tesco Plc and Pfizer Inc </w:t>
      </w:r>
      <w:r w:rsidR="008E5067">
        <w:t xml:space="preserve">as the report’s focus area as it is said to </w:t>
      </w:r>
      <w:r w:rsidR="00007515">
        <w:t>give importance to</w:t>
      </w:r>
      <w:r w:rsidR="008E5067">
        <w:t xml:space="preserve"> </w:t>
      </w:r>
      <w:r w:rsidR="00007515" w:rsidRPr="005822DD">
        <w:t>the</w:t>
      </w:r>
      <w:r w:rsidR="008E5067" w:rsidRPr="005822DD">
        <w:t xml:space="preserve"> social engagements and group participation</w:t>
      </w:r>
      <w:r w:rsidR="002374AC" w:rsidRPr="005822DD">
        <w:t xml:space="preserve"> of </w:t>
      </w:r>
      <w:r w:rsidR="00DB4D8A" w:rsidRPr="005822DD">
        <w:t>its</w:t>
      </w:r>
      <w:r w:rsidR="002374AC" w:rsidRPr="005822DD">
        <w:t xml:space="preserve"> </w:t>
      </w:r>
      <w:r w:rsidR="0076682D" w:rsidRPr="005822DD">
        <w:t>relevant stakeholders</w:t>
      </w:r>
      <w:r w:rsidR="00EE6265" w:rsidRPr="005822DD">
        <w:t xml:space="preserve"> </w:t>
      </w:r>
      <w:r w:rsidR="005822DD" w:rsidRPr="005822DD">
        <w:t xml:space="preserve">(Tesco PLC, 2022). </w:t>
      </w:r>
      <w:r w:rsidR="00D47317" w:rsidRPr="005822DD">
        <w:t xml:space="preserve">The term community itself emphasizes the scope of collectivism, variety and diversion in the concept </w:t>
      </w:r>
      <w:r w:rsidR="00D47317">
        <w:t>of group engagement</w:t>
      </w:r>
      <w:r w:rsidR="00EE6265">
        <w:t xml:space="preserve"> </w:t>
      </w:r>
      <w:r w:rsidR="00EE6265" w:rsidRPr="00EE6265">
        <w:t>(Marsh, 2017)</w:t>
      </w:r>
      <w:r w:rsidR="00D47317">
        <w:t>.</w:t>
      </w:r>
      <w:r w:rsidR="00542025">
        <w:t xml:space="preserve"> </w:t>
      </w:r>
      <w:r w:rsidR="004B574E">
        <w:t>The limitations of it</w:t>
      </w:r>
      <w:r w:rsidR="00542025">
        <w:t xml:space="preserve"> </w:t>
      </w:r>
      <w:r w:rsidR="0049223A">
        <w:t>are</w:t>
      </w:r>
      <w:r w:rsidR="00542025">
        <w:t xml:space="preserve"> that it</w:t>
      </w:r>
      <w:r w:rsidR="004B574E">
        <w:t xml:space="preserve"> can be time-consuming as well as requires devoted resources such as money, ability variation and time which is not always easy. However, the advantageous side of it overshadows its limitations. The community engagement concept is a widely used one and is popular too and it can be seen to have been applied not only in the UK but in the countries around the world</w:t>
      </w:r>
      <w:r w:rsidR="0012479D">
        <w:t xml:space="preserve"> </w:t>
      </w:r>
      <w:r w:rsidR="0012479D" w:rsidRPr="0012479D">
        <w:t>(Types of Community Engagement, 2022)</w:t>
      </w:r>
      <w:r w:rsidR="004B574E">
        <w:t xml:space="preserve">. Making and executing successful group engagement plans requires a </w:t>
      </w:r>
      <w:r w:rsidR="000241E8">
        <w:t>thorough</w:t>
      </w:r>
      <w:r w:rsidR="004B574E">
        <w:t xml:space="preserve"> understanding of the most recent tools and methodologies and data.</w:t>
      </w:r>
    </w:p>
    <w:p w14:paraId="0E108AD8" w14:textId="6B96399B" w:rsidR="009E5946" w:rsidRDefault="008E5067" w:rsidP="009E5946">
      <w:r>
        <w:t xml:space="preserve">Now, </w:t>
      </w:r>
      <w:r w:rsidRPr="008E5067">
        <w:t>adopting principles and standards that will enable one to engage with stakeholders across different organisations</w:t>
      </w:r>
      <w:r>
        <w:t>, first,</w:t>
      </w:r>
      <w:r w:rsidR="000636E1">
        <w:t xml:space="preserve"> the </w:t>
      </w:r>
      <w:r w:rsidR="000636E1" w:rsidRPr="000254A1">
        <w:rPr>
          <w:i/>
          <w:iCs/>
        </w:rPr>
        <w:t>need for engagement</w:t>
      </w:r>
      <w:r w:rsidR="000636E1">
        <w:t xml:space="preserve"> of stakeholders needs to be understood and it includes the understanding of the business entity, its objectives and engagement processes</w:t>
      </w:r>
      <w:r w:rsidR="00EE6265">
        <w:t xml:space="preserve"> </w:t>
      </w:r>
      <w:r w:rsidR="00EE6265" w:rsidRPr="00EE6265">
        <w:t>(Kearney and Candy, 2014)</w:t>
      </w:r>
      <w:r w:rsidR="000636E1">
        <w:t>. Then</w:t>
      </w:r>
      <w:r>
        <w:t xml:space="preserve"> one needs to </w:t>
      </w:r>
      <w:r w:rsidRPr="000254A1">
        <w:rPr>
          <w:i/>
          <w:iCs/>
        </w:rPr>
        <w:t>identify the stakeholders</w:t>
      </w:r>
      <w:r>
        <w:t xml:space="preserve">. </w:t>
      </w:r>
      <w:r w:rsidR="005D4630">
        <w:t xml:space="preserve">An organization engages with its stakeholders to perform its </w:t>
      </w:r>
      <w:r w:rsidR="005B3A18">
        <w:t>day-to-day</w:t>
      </w:r>
      <w:r w:rsidR="005D4630">
        <w:t xml:space="preserve"> activities and thus it is crucial for one to build an understanding of the stakeholders that are present in the organization to properly identify the relationship they expect from </w:t>
      </w:r>
      <w:r w:rsidR="005D4630">
        <w:lastRenderedPageBreak/>
        <w:t>the organization</w:t>
      </w:r>
      <w:r w:rsidR="00D8738F">
        <w:t xml:space="preserve"> and similarly to identify what the organization expect from them.</w:t>
      </w:r>
      <w:r w:rsidR="0075170A">
        <w:t xml:space="preserve"> For our chosen </w:t>
      </w:r>
      <w:r w:rsidR="0071330D">
        <w:t>companies</w:t>
      </w:r>
      <w:r w:rsidR="0075170A">
        <w:t xml:space="preserve">, the relevant stakeholders would be </w:t>
      </w:r>
      <w:r w:rsidR="005B3A18">
        <w:t xml:space="preserve">the employees, suppliers, consumer group, volunteers, founding members, government, newspaper and media and even the general public. </w:t>
      </w:r>
      <w:r w:rsidR="00790782">
        <w:t>Thirdly</w:t>
      </w:r>
      <w:r w:rsidR="005B3A18">
        <w:t xml:space="preserve">, </w:t>
      </w:r>
      <w:r w:rsidR="0046356B">
        <w:t xml:space="preserve">the </w:t>
      </w:r>
      <w:r w:rsidR="0046356B" w:rsidRPr="000254A1">
        <w:rPr>
          <w:i/>
          <w:iCs/>
        </w:rPr>
        <w:t>director’s duty</w:t>
      </w:r>
      <w:r w:rsidR="0046356B">
        <w:t xml:space="preserve"> </w:t>
      </w:r>
      <w:r w:rsidR="00DB4D8A">
        <w:t>to</w:t>
      </w:r>
      <w:r w:rsidR="0046356B">
        <w:t xml:space="preserve"> the organization needs to be recognized and that is to act with sincerity, honesty and in good faith. The directors of </w:t>
      </w:r>
      <w:r w:rsidR="0071330D">
        <w:t>the company</w:t>
      </w:r>
      <w:r w:rsidR="0046356B">
        <w:t xml:space="preserve"> need to act </w:t>
      </w:r>
      <w:r w:rsidR="00DB4D8A">
        <w:t>in</w:t>
      </w:r>
      <w:r w:rsidR="0046356B">
        <w:t xml:space="preserve"> the best interest of </w:t>
      </w:r>
      <w:r w:rsidR="000D3907">
        <w:t xml:space="preserve">the company which will serve </w:t>
      </w:r>
      <w:r w:rsidR="00DB4D8A">
        <w:t>in</w:t>
      </w:r>
      <w:r w:rsidR="000D3907">
        <w:t xml:space="preserve"> the best interest of the stakeholders as well. Some statutory obligations such as health and safety regulations are some of the duties that rises responsib</w:t>
      </w:r>
      <w:r w:rsidR="00DB4D8A">
        <w:t>ilit</w:t>
      </w:r>
      <w:r w:rsidR="000D3907">
        <w:t>y towards the stakeholders.</w:t>
      </w:r>
      <w:r w:rsidR="00790782">
        <w:t xml:space="preserve"> Fourthly, </w:t>
      </w:r>
      <w:r w:rsidR="00E135E8">
        <w:t xml:space="preserve">to add meaning to the group engagement, </w:t>
      </w:r>
      <w:r w:rsidR="00E135E8" w:rsidRPr="000254A1">
        <w:rPr>
          <w:i/>
          <w:iCs/>
        </w:rPr>
        <w:t>building trust</w:t>
      </w:r>
      <w:r w:rsidR="00E135E8">
        <w:t xml:space="preserve"> is a fundamental concept</w:t>
      </w:r>
      <w:r w:rsidR="0012479D">
        <w:t xml:space="preserve"> </w:t>
      </w:r>
      <w:r w:rsidR="0012479D" w:rsidRPr="0012479D">
        <w:t>(Useful Concepts | Principles of Community Engagement | ATSDR, 2022)</w:t>
      </w:r>
      <w:r w:rsidR="00E135E8">
        <w:t xml:space="preserve">. Trust helps in building a solid foundation between the stakeholders. </w:t>
      </w:r>
      <w:r w:rsidR="0071330D">
        <w:t>The chosen companies</w:t>
      </w:r>
      <w:r w:rsidR="00E135E8">
        <w:t xml:space="preserve"> regularly </w:t>
      </w:r>
      <w:r w:rsidR="0071330D">
        <w:t>communicate</w:t>
      </w:r>
      <w:r w:rsidR="00E135E8">
        <w:t xml:space="preserve"> with its communities to make them feel included in every small </w:t>
      </w:r>
      <w:r w:rsidR="00842DA0">
        <w:t>issue</w:t>
      </w:r>
      <w:r w:rsidR="00E135E8">
        <w:t xml:space="preserve"> and </w:t>
      </w:r>
      <w:r w:rsidR="005938F7">
        <w:t xml:space="preserve">holds </w:t>
      </w:r>
      <w:r w:rsidR="005938F7" w:rsidRPr="00E14C69">
        <w:rPr>
          <w:i/>
          <w:iCs/>
        </w:rPr>
        <w:t>informal programs</w:t>
      </w:r>
      <w:r w:rsidR="00676D6C">
        <w:t xml:space="preserve">, </w:t>
      </w:r>
      <w:r w:rsidR="005938F7" w:rsidRPr="00E14C69">
        <w:rPr>
          <w:i/>
          <w:iCs/>
        </w:rPr>
        <w:t>get together</w:t>
      </w:r>
      <w:r w:rsidR="005938F7">
        <w:t xml:space="preserve"> </w:t>
      </w:r>
      <w:r w:rsidR="00676D6C">
        <w:t xml:space="preserve">and regular </w:t>
      </w:r>
      <w:r w:rsidR="00676D6C" w:rsidRPr="00EE549D">
        <w:rPr>
          <w:i/>
          <w:iCs/>
        </w:rPr>
        <w:t>social media interactions</w:t>
      </w:r>
      <w:r w:rsidR="00676D6C">
        <w:t xml:space="preserve"> </w:t>
      </w:r>
      <w:r w:rsidR="005938F7">
        <w:t xml:space="preserve">to build a trustworthy relationship among the stakeholders. Fifthly, broad research needs to be carried out for </w:t>
      </w:r>
      <w:r w:rsidR="005938F7" w:rsidRPr="000254A1">
        <w:rPr>
          <w:i/>
          <w:iCs/>
        </w:rPr>
        <w:t>planning the consultation</w:t>
      </w:r>
      <w:r w:rsidR="005938F7">
        <w:t xml:space="preserve"> and the consultation stage needs to properly represent the organization and the stakeholders should be responsive, </w:t>
      </w:r>
      <w:r w:rsidR="00DB4D8A">
        <w:t xml:space="preserve">the </w:t>
      </w:r>
      <w:r w:rsidR="005938F7">
        <w:t xml:space="preserve">framework focused, thorough, sensible and tangible. Some of the </w:t>
      </w:r>
      <w:r w:rsidR="000254A1">
        <w:t>well-known</w:t>
      </w:r>
      <w:r w:rsidR="005938F7">
        <w:t xml:space="preserve"> consultation technique</w:t>
      </w:r>
      <w:r w:rsidR="00DB4D8A">
        <w:t>s</w:t>
      </w:r>
      <w:r w:rsidR="005938F7">
        <w:t xml:space="preserve"> the </w:t>
      </w:r>
      <w:r w:rsidR="0071330D">
        <w:t>companies</w:t>
      </w:r>
      <w:r w:rsidR="005938F7">
        <w:t xml:space="preserve"> </w:t>
      </w:r>
      <w:r w:rsidR="0071330D">
        <w:t>follow</w:t>
      </w:r>
      <w:r w:rsidR="005938F7">
        <w:t xml:space="preserve"> are holding focus groups, surveys and workshops.</w:t>
      </w:r>
      <w:r w:rsidR="00E24A8E">
        <w:t xml:space="preserve"> Sixthly, proper </w:t>
      </w:r>
      <w:r w:rsidR="00E24A8E" w:rsidRPr="000254A1">
        <w:rPr>
          <w:i/>
          <w:iCs/>
        </w:rPr>
        <w:t>response and implementation</w:t>
      </w:r>
      <w:r w:rsidR="00E24A8E">
        <w:t xml:space="preserve"> are done by </w:t>
      </w:r>
      <w:r w:rsidR="0071330D">
        <w:t>the companies</w:t>
      </w:r>
      <w:r w:rsidR="005C6684">
        <w:t xml:space="preserve">. In the last step, it is critical to </w:t>
      </w:r>
      <w:r w:rsidR="005C6684" w:rsidRPr="000254A1">
        <w:rPr>
          <w:i/>
          <w:iCs/>
        </w:rPr>
        <w:t>keep track of the data</w:t>
      </w:r>
      <w:r w:rsidR="005C6684">
        <w:t xml:space="preserve"> and understanding gathered throughout the whole process. </w:t>
      </w:r>
      <w:r w:rsidR="00C17E9E" w:rsidRPr="00C17E9E">
        <w:t>It's critical to keep track of the knowledge and information gathered throughout the engagement process. Various international standards can be used as a starting point for developing monitoring and evaluation capacity and organizations should use their expertise and experience in knowledge management systems, as well as in evaluating outputs and outcomes from other business operations, to ensure effective monitoring and evaluation. This job necessitates putting lessons learned into practice and comprehending their consequences for future participation</w:t>
      </w:r>
      <w:r w:rsidR="00C17E9E">
        <w:t>,</w:t>
      </w:r>
      <w:r w:rsidR="00C17E9E" w:rsidRPr="00C17E9E">
        <w:t xml:space="preserve"> </w:t>
      </w:r>
      <w:r w:rsidR="005C6684">
        <w:t>understanding their implications for future engagement are</w:t>
      </w:r>
      <w:r w:rsidR="00C17E9E">
        <w:t xml:space="preserve"> </w:t>
      </w:r>
      <w:r w:rsidR="005C6684">
        <w:t xml:space="preserve">critical aspects </w:t>
      </w:r>
      <w:r w:rsidR="00DB4D8A">
        <w:t>of</w:t>
      </w:r>
      <w:r w:rsidR="005C6684">
        <w:t xml:space="preserve"> this role</w:t>
      </w:r>
      <w:r w:rsidR="0012479D">
        <w:t xml:space="preserve"> </w:t>
      </w:r>
      <w:r w:rsidR="0012479D" w:rsidRPr="0012479D">
        <w:t>(Kearney and Candy, 2014)</w:t>
      </w:r>
      <w:r w:rsidR="005C6684">
        <w:t>.</w:t>
      </w:r>
    </w:p>
    <w:p w14:paraId="6A9FB260" w14:textId="74916201" w:rsidR="00F37FFA" w:rsidRDefault="00353118" w:rsidP="00670367">
      <w:r>
        <w:t>The</w:t>
      </w:r>
      <w:r w:rsidR="00670367">
        <w:t xml:space="preserve"> first case to shed light on is the </w:t>
      </w:r>
      <w:r w:rsidR="00670367" w:rsidRPr="00353118">
        <w:rPr>
          <w:i/>
          <w:iCs/>
        </w:rPr>
        <w:t>Pfizer’s free health program named Friends in Health (TM)</w:t>
      </w:r>
      <w:r w:rsidR="00670367">
        <w:t xml:space="preserve"> where they engaged with the local stakeholders so that the health disparities become less</w:t>
      </w:r>
      <w:r w:rsidR="005822DD">
        <w:t xml:space="preserve"> </w:t>
      </w:r>
      <w:r w:rsidR="005822DD" w:rsidRPr="005822DD">
        <w:t>(Pfizer UK, 2022)</w:t>
      </w:r>
      <w:r w:rsidR="00670367">
        <w:t xml:space="preserve">. Although similar programs are already present at the health industry, it is unique as it is being offered </w:t>
      </w:r>
      <w:r w:rsidR="00354934">
        <w:t>free of cost</w:t>
      </w:r>
      <w:r w:rsidR="00670367">
        <w:t xml:space="preserve"> and also supports the national aim by aiding in reducing health disparities. To run the program </w:t>
      </w:r>
      <w:r w:rsidR="00354934">
        <w:t>successfully</w:t>
      </w:r>
      <w:r w:rsidR="00670367">
        <w:t xml:space="preserve">, they </w:t>
      </w:r>
      <w:r w:rsidR="00354934">
        <w:t>are overcoming struggles like language, societal and cultural differences and it has been proved to be more successful as 1500 of demo patients were resulted in showing more improvements in their health than the ones receiving standard care</w:t>
      </w:r>
      <w:r w:rsidR="00CA3FA0">
        <w:t xml:space="preserve"> </w:t>
      </w:r>
      <w:r w:rsidR="00CA3FA0" w:rsidRPr="00CA3FA0">
        <w:t>(</w:t>
      </w:r>
      <w:proofErr w:type="spellStart"/>
      <w:r w:rsidR="00CA3FA0" w:rsidRPr="00CA3FA0">
        <w:t>perfil</w:t>
      </w:r>
      <w:proofErr w:type="spellEnd"/>
      <w:r w:rsidR="00CA3FA0" w:rsidRPr="00CA3FA0">
        <w:t>, 2022)</w:t>
      </w:r>
      <w:r w:rsidR="00354934">
        <w:t>.</w:t>
      </w:r>
      <w:r w:rsidR="00F42713">
        <w:t xml:space="preserve"> In the model they follow to train the health workers to apply the program, includes training them as consultant of the patient, teacher, coach, interpreter and outreach worker. </w:t>
      </w:r>
      <w:r w:rsidR="00F37FFA">
        <w:t>Again, this model is called the Lay H</w:t>
      </w:r>
      <w:r w:rsidR="007314C3">
        <w:t>ealth</w:t>
      </w:r>
      <w:r w:rsidR="00F37FFA">
        <w:t xml:space="preserve"> Worker model that works as the building bridge between the different communities.</w:t>
      </w:r>
    </w:p>
    <w:p w14:paraId="110E355B" w14:textId="2907EF4A" w:rsidR="0071330D" w:rsidRDefault="0071330D" w:rsidP="00670367">
      <w:r>
        <w:t xml:space="preserve">The next case will be the </w:t>
      </w:r>
      <w:r w:rsidRPr="003667E1">
        <w:rPr>
          <w:i/>
          <w:iCs/>
        </w:rPr>
        <w:t xml:space="preserve">Tesco Plc’s </w:t>
      </w:r>
      <w:r w:rsidR="00A02608" w:rsidRPr="003667E1">
        <w:rPr>
          <w:i/>
          <w:iCs/>
        </w:rPr>
        <w:t>partnering with the local stakeholders</w:t>
      </w:r>
      <w:r w:rsidR="00A02608">
        <w:t xml:space="preserve"> to help a reduced affect of a national concern, named</w:t>
      </w:r>
      <w:r w:rsidR="00E67386">
        <w:t xml:space="preserve"> food</w:t>
      </w:r>
      <w:r w:rsidR="00A02608">
        <w:t xml:space="preserve"> poverty</w:t>
      </w:r>
      <w:r w:rsidR="005822DD">
        <w:t xml:space="preserve"> </w:t>
      </w:r>
      <w:r w:rsidR="005822DD" w:rsidRPr="005822DD">
        <w:t>(Tesco PLC, 2022)</w:t>
      </w:r>
      <w:r w:rsidR="00A02608">
        <w:t>.</w:t>
      </w:r>
      <w:r w:rsidR="007967AD">
        <w:t xml:space="preserve"> </w:t>
      </w:r>
      <w:r w:rsidR="00E67386">
        <w:t xml:space="preserve">It was a successful one as the consumers </w:t>
      </w:r>
      <w:r w:rsidR="00E67386">
        <w:lastRenderedPageBreak/>
        <w:t>and employees of the company donated a huge amount to support those</w:t>
      </w:r>
      <w:r w:rsidR="00211EBD">
        <w:t xml:space="preserve"> living in the UK</w:t>
      </w:r>
      <w:r w:rsidR="00E67386">
        <w:t xml:space="preserve"> when the winter season comes. </w:t>
      </w:r>
      <w:r w:rsidR="00211EBD">
        <w:t xml:space="preserve">Their food collection runs about 3 whole days before Christmas. One can easily participate in the program as Tesco encourages an individual to devote only 3 hours of them to motivate others to donate at their local </w:t>
      </w:r>
      <w:r w:rsidR="00CA3FA0">
        <w:t>Tesco</w:t>
      </w:r>
      <w:r w:rsidR="00211EBD">
        <w:t xml:space="preserve"> stores which in turn gets delivered to those in need through FareShare and Trussell Trust</w:t>
      </w:r>
      <w:r w:rsidR="00CA3FA0">
        <w:t xml:space="preserve"> </w:t>
      </w:r>
      <w:r w:rsidR="00CA3FA0" w:rsidRPr="00CA3FA0">
        <w:t>(Supporting community through food distribution, 2022)</w:t>
      </w:r>
      <w:r w:rsidR="00211EBD">
        <w:t xml:space="preserve">. </w:t>
      </w:r>
    </w:p>
    <w:p w14:paraId="6921B08F" w14:textId="77777777" w:rsidR="0071330D" w:rsidRDefault="0071330D" w:rsidP="0071330D">
      <w:r>
        <w:t xml:space="preserve">There are various interpersonal abilities which can be defined as the abilities that an individual needs to utilize to properly communicate and engage with others in a group engagement </w:t>
      </w:r>
      <w:r w:rsidRPr="00A94C05">
        <w:t>(Interpersonal Skills Definitions and Types, 2022)</w:t>
      </w:r>
      <w:r>
        <w:t xml:space="preserve">. Some of the communication abilities include verbal and nonverbal skills, listening skills, teamwork, negotiation and conflict resolution </w:t>
      </w:r>
      <w:r w:rsidRPr="00A94C05">
        <w:t xml:space="preserve">(De </w:t>
      </w:r>
      <w:proofErr w:type="spellStart"/>
      <w:r w:rsidRPr="00A94C05">
        <w:t>Janasz</w:t>
      </w:r>
      <w:proofErr w:type="spellEnd"/>
      <w:r w:rsidRPr="00A94C05">
        <w:t>, Dowd and Schneider, 2016)</w:t>
      </w:r>
      <w:r>
        <w:t xml:space="preserve">. Using talents and interpersonal skills to think of new solutions to issues is referred to as creative thinking </w:t>
      </w:r>
      <w:r w:rsidRPr="00B76C3B">
        <w:t>(Whiting, 2013)</w:t>
      </w:r>
      <w:r>
        <w:t xml:space="preserve">. Innovative thinking abilities are ways of looking at a problem from many and creative perspectives while utilizing the appropriate tools to analyse it and design a solution </w:t>
      </w:r>
      <w:r w:rsidRPr="00B76C3B">
        <w:t>(Whiting, 2013)</w:t>
      </w:r>
      <w:r>
        <w:t xml:space="preserve">. To reach this aim, an individual must expose oneself to circumstances where a fresh thought is required on a regular basis and surround oneself with like-minded individuals. Using specific strategies, such a procedure may be made simpler. They may help an individual get into the appropriate mentality and provide one the foundation he or she needs to generate fresh ideas on the go. Creative thinking may be prompted by a variety of approaches and these are powerful ways for helping one to generate new ideas, test them in various settings, and rely on feedback from others to make them even more inventive. Now, some of the most effective ways to think creatively </w:t>
      </w:r>
      <w:r w:rsidRPr="00406059">
        <w:t>to realize their</w:t>
      </w:r>
      <w:r w:rsidRPr="00490DC8">
        <w:rPr>
          <w:i/>
          <w:iCs/>
        </w:rPr>
        <w:t xml:space="preserve"> practicality of it</w:t>
      </w:r>
      <w:r>
        <w:t xml:space="preserve"> and they are brainstorming, lateral thinking and mind mapping.</w:t>
      </w:r>
    </w:p>
    <w:p w14:paraId="3DB39522" w14:textId="5C0398EA" w:rsidR="00406059" w:rsidRPr="00F37FFA" w:rsidRDefault="00406059" w:rsidP="00670367">
      <w:r>
        <w:br w:type="page"/>
      </w:r>
    </w:p>
    <w:p w14:paraId="42B1D381" w14:textId="4204656B" w:rsidR="0067658E" w:rsidRDefault="004E6000" w:rsidP="0067658E">
      <w:pPr>
        <w:pStyle w:val="Heading1"/>
      </w:pPr>
      <w:bookmarkStart w:id="3" w:name="_Toc102315356"/>
      <w:r>
        <w:lastRenderedPageBreak/>
        <w:t>Conclusion</w:t>
      </w:r>
      <w:bookmarkEnd w:id="3"/>
      <w:r>
        <w:t xml:space="preserve"> </w:t>
      </w:r>
    </w:p>
    <w:p w14:paraId="713DFA12" w14:textId="434FC06E" w:rsidR="00FB4256" w:rsidRDefault="00167A2E">
      <w:r>
        <w:t>By community engagement, one means the involvement among a community that helps in leading to a long-term, sustainable result and also the decision making, procedure, discussion, connection and execution that aims to better involve the people of that certain community. The very term that is discussed here can also be used while encompassing many types of individuals which includ</w:t>
      </w:r>
      <w:r w:rsidR="00DB4D8A">
        <w:t>ing</w:t>
      </w:r>
      <w:r>
        <w:t xml:space="preserve"> stakeholders, lobby groups and citizens. To adopt</w:t>
      </w:r>
      <w:r w:rsidRPr="008E5067">
        <w:t xml:space="preserve"> principles and standards that will enable one to engage with stakeholders across different organisations</w:t>
      </w:r>
      <w:r>
        <w:t xml:space="preserve">, first, the need for engagement of stakeholders needs to be understood and it includes the understanding of the business entity, its objectives and engagement processes. Then one needs to identify the stakeholders. Thirdly, the director’s duty </w:t>
      </w:r>
      <w:r w:rsidR="00DB4D8A">
        <w:t>to</w:t>
      </w:r>
      <w:r>
        <w:t xml:space="preserve"> the organization needs to be recognized and that is to act with sincerity, honesty and in good faith. Fourthly, to add meaning to the group engagement, building trust is a fundamental concept. Fifthly, broad research needs to be carried out for planning the consultation and the consultation stage needs to properly represent the organization and the stakeholders. Sixthly, proper response and implementation are done and lastly, it is critical to keep track of the data and understanding gathered throughout the whole process.</w:t>
      </w:r>
      <w:r w:rsidR="00561C36">
        <w:t xml:space="preserve"> </w:t>
      </w:r>
      <w:r w:rsidR="009152B2">
        <w:t xml:space="preserve">Two cases one is </w:t>
      </w:r>
      <w:r w:rsidR="009152B2" w:rsidRPr="00741086">
        <w:t>Pfizer’s free health program named Friends in Health (TM) working to reduce the number of health disparities another case is Tesco Plc’s partnering with the local stakeholders</w:t>
      </w:r>
      <w:r w:rsidR="009152B2">
        <w:t xml:space="preserve"> </w:t>
      </w:r>
      <w:r w:rsidR="00741086">
        <w:t xml:space="preserve">working </w:t>
      </w:r>
      <w:r w:rsidR="009152B2">
        <w:t xml:space="preserve">to </w:t>
      </w:r>
      <w:r w:rsidR="00741086">
        <w:t>have</w:t>
      </w:r>
      <w:r w:rsidR="009152B2">
        <w:t xml:space="preserve"> a reduced effect of a national concern, named food poverty. Both of the programs are a successful one through partnering with local communities. </w:t>
      </w:r>
      <w:r w:rsidR="00561C36">
        <w:t>Again, there are various interpersonal abilities which can be defined as the abilities that an individual needs to utilize to properly communicate and engage with others in a group engagement. Brainstorming, lateral thinking and mind mapping are some of the practical ways to apply the skills.</w:t>
      </w:r>
    </w:p>
    <w:p w14:paraId="475FF150" w14:textId="46B975BC" w:rsidR="00085FAD" w:rsidRPr="00085FAD" w:rsidRDefault="00085FAD" w:rsidP="00085FAD"/>
    <w:p w14:paraId="53E687CF" w14:textId="4DF4FA39" w:rsidR="00085FAD" w:rsidRPr="00085FAD" w:rsidRDefault="00085FAD" w:rsidP="00085FAD"/>
    <w:p w14:paraId="4A30375F" w14:textId="36C9091C" w:rsidR="00085FAD" w:rsidRPr="00085FAD" w:rsidRDefault="00085FAD" w:rsidP="00085FAD"/>
    <w:p w14:paraId="596F4997" w14:textId="1D671E91" w:rsidR="00085FAD" w:rsidRPr="00085FAD" w:rsidRDefault="00085FAD" w:rsidP="00085FAD"/>
    <w:p w14:paraId="180C6C0E" w14:textId="2F9A2496" w:rsidR="00085FAD" w:rsidRDefault="00085FAD" w:rsidP="00085FAD"/>
    <w:p w14:paraId="477A5D9E" w14:textId="3C66490B" w:rsidR="00085FAD" w:rsidRDefault="00085FAD" w:rsidP="00085FAD"/>
    <w:p w14:paraId="6B7984F0" w14:textId="77777777" w:rsidR="00085FAD" w:rsidRDefault="00085FAD">
      <w:pPr>
        <w:spacing w:line="259" w:lineRule="auto"/>
        <w:jc w:val="left"/>
      </w:pPr>
      <w:r>
        <w:br w:type="page"/>
      </w:r>
    </w:p>
    <w:p w14:paraId="3B0D123F" w14:textId="5D5C8D7D" w:rsidR="00085FAD" w:rsidRDefault="00085FAD" w:rsidP="00085FAD">
      <w:pPr>
        <w:pStyle w:val="Heading1"/>
      </w:pPr>
      <w:bookmarkStart w:id="4" w:name="_Toc102315357"/>
      <w:r w:rsidRPr="00085FAD">
        <w:lastRenderedPageBreak/>
        <w:t>References</w:t>
      </w:r>
      <w:bookmarkEnd w:id="4"/>
    </w:p>
    <w:p w14:paraId="43E2EAC1" w14:textId="595992A9" w:rsidR="005822DD" w:rsidRPr="005822DD" w:rsidRDefault="005822DD" w:rsidP="00CF170B">
      <w:pPr>
        <w:pStyle w:val="ListParagraph"/>
        <w:numPr>
          <w:ilvl w:val="0"/>
          <w:numId w:val="2"/>
        </w:numPr>
        <w:rPr>
          <w:rFonts w:cs="Times New Roman"/>
          <w:color w:val="000000" w:themeColor="text1"/>
          <w:szCs w:val="22"/>
          <w:shd w:val="clear" w:color="auto" w:fill="FFFFFF"/>
        </w:rPr>
      </w:pPr>
      <w:r w:rsidRPr="005822DD">
        <w:rPr>
          <w:rFonts w:cs="Times New Roman"/>
          <w:color w:val="000000" w:themeColor="text1"/>
          <w:szCs w:val="22"/>
          <w:shd w:val="clear" w:color="auto" w:fill="FFFFFF"/>
        </w:rPr>
        <w:t>Pfizer.co.uk. 2022. Pfizer UK. [online] Available at: &lt;https://www.pfizer.co.uk/homepage&gt; [Accessed 1 May 2022].</w:t>
      </w:r>
    </w:p>
    <w:p w14:paraId="143BB035" w14:textId="46FBC5E0" w:rsidR="009E01DB" w:rsidRPr="00217437" w:rsidRDefault="009E01D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 xml:space="preserve">De </w:t>
      </w:r>
      <w:proofErr w:type="spellStart"/>
      <w:r w:rsidRPr="00217437">
        <w:rPr>
          <w:rFonts w:cs="Times New Roman"/>
          <w:color w:val="000000" w:themeColor="text1"/>
          <w:szCs w:val="22"/>
          <w:shd w:val="clear" w:color="auto" w:fill="FFFFFF"/>
        </w:rPr>
        <w:t>Janasz</w:t>
      </w:r>
      <w:proofErr w:type="spellEnd"/>
      <w:r w:rsidRPr="00217437">
        <w:rPr>
          <w:rFonts w:cs="Times New Roman"/>
          <w:color w:val="000000" w:themeColor="text1"/>
          <w:szCs w:val="22"/>
          <w:shd w:val="clear" w:color="auto" w:fill="FFFFFF"/>
        </w:rPr>
        <w:t>, S., Dowd, K. and Schneider, B., 2016. </w:t>
      </w:r>
      <w:r w:rsidRPr="00217437">
        <w:rPr>
          <w:rFonts w:cs="Times New Roman"/>
          <w:i/>
          <w:iCs/>
          <w:color w:val="000000" w:themeColor="text1"/>
          <w:szCs w:val="22"/>
          <w:shd w:val="clear" w:color="auto" w:fill="FFFFFF"/>
        </w:rPr>
        <w:t>Interpersonal skills in organizations</w:t>
      </w:r>
      <w:r w:rsidRPr="00217437">
        <w:rPr>
          <w:rFonts w:cs="Times New Roman"/>
          <w:color w:val="000000" w:themeColor="text1"/>
          <w:szCs w:val="22"/>
          <w:shd w:val="clear" w:color="auto" w:fill="FFFFFF"/>
        </w:rPr>
        <w:t>.</w:t>
      </w:r>
    </w:p>
    <w:p w14:paraId="129E6277" w14:textId="2D905D45" w:rsidR="009E01DB" w:rsidRPr="00217437" w:rsidRDefault="009E01D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2022. </w:t>
      </w:r>
      <w:r w:rsidRPr="00217437">
        <w:rPr>
          <w:rFonts w:cs="Times New Roman"/>
          <w:i/>
          <w:iCs/>
          <w:color w:val="000000" w:themeColor="text1"/>
          <w:szCs w:val="22"/>
          <w:shd w:val="clear" w:color="auto" w:fill="FFFFFF"/>
        </w:rPr>
        <w:t>Interpersonal Skills Definitions and Types</w:t>
      </w:r>
      <w:r w:rsidRPr="00217437">
        <w:rPr>
          <w:rFonts w:cs="Times New Roman"/>
          <w:color w:val="000000" w:themeColor="text1"/>
          <w:szCs w:val="22"/>
          <w:shd w:val="clear" w:color="auto" w:fill="FFFFFF"/>
        </w:rPr>
        <w:t>. [online] Available at: &lt;https://www.mygreatlearning.com/blog/what-are-interpersonal-skills/&gt; [Accessed 29 April 2022].</w:t>
      </w:r>
    </w:p>
    <w:p w14:paraId="1656DF02" w14:textId="5400DC0A" w:rsidR="00CF170B" w:rsidRPr="00217437"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Kearney, J. and Candy, D., 2014. Partnerships and Processes of Engagement. </w:t>
      </w:r>
      <w:r w:rsidRPr="00217437">
        <w:rPr>
          <w:rFonts w:cs="Times New Roman"/>
          <w:i/>
          <w:iCs/>
          <w:color w:val="000000" w:themeColor="text1"/>
          <w:szCs w:val="22"/>
          <w:shd w:val="clear" w:color="auto" w:fill="FFFFFF"/>
        </w:rPr>
        <w:t>Journal of Community Practice</w:t>
      </w:r>
      <w:r w:rsidRPr="00217437">
        <w:rPr>
          <w:rFonts w:cs="Times New Roman"/>
          <w:color w:val="000000" w:themeColor="text1"/>
          <w:szCs w:val="22"/>
          <w:shd w:val="clear" w:color="auto" w:fill="FFFFFF"/>
        </w:rPr>
        <w:t>, 12(3-4), pp.181-201.</w:t>
      </w:r>
    </w:p>
    <w:p w14:paraId="40063C42" w14:textId="7768A0DD" w:rsidR="00CF170B" w:rsidRPr="00217437"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Marsh, G., 2017. </w:t>
      </w:r>
      <w:r w:rsidRPr="00217437">
        <w:rPr>
          <w:rFonts w:cs="Times New Roman"/>
          <w:i/>
          <w:iCs/>
          <w:color w:val="000000" w:themeColor="text1"/>
          <w:szCs w:val="22"/>
          <w:shd w:val="clear" w:color="auto" w:fill="FFFFFF"/>
        </w:rPr>
        <w:t>Community engagement</w:t>
      </w:r>
      <w:r w:rsidRPr="00217437">
        <w:rPr>
          <w:rFonts w:cs="Times New Roman"/>
          <w:color w:val="000000" w:themeColor="text1"/>
          <w:szCs w:val="22"/>
          <w:shd w:val="clear" w:color="auto" w:fill="FFFFFF"/>
        </w:rPr>
        <w:t>.</w:t>
      </w:r>
    </w:p>
    <w:p w14:paraId="4587671A" w14:textId="1FB6B704" w:rsidR="00CF170B" w:rsidRPr="00217437"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Rawlinson, J., 2017. Creative Thinking and Brainstorming.</w:t>
      </w:r>
    </w:p>
    <w:p w14:paraId="4858B3F0" w14:textId="0D6DBA0E" w:rsidR="00CF170B" w:rsidRPr="00217437"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Student Life. 2022. </w:t>
      </w:r>
      <w:r w:rsidRPr="00217437">
        <w:rPr>
          <w:rFonts w:cs="Times New Roman"/>
          <w:i/>
          <w:iCs/>
          <w:color w:val="000000" w:themeColor="text1"/>
          <w:szCs w:val="22"/>
          <w:shd w:val="clear" w:color="auto" w:fill="FFFFFF"/>
        </w:rPr>
        <w:t>Types of Community Engagement</w:t>
      </w:r>
      <w:r w:rsidRPr="00217437">
        <w:rPr>
          <w:rFonts w:cs="Times New Roman"/>
          <w:color w:val="000000" w:themeColor="text1"/>
          <w:szCs w:val="22"/>
          <w:shd w:val="clear" w:color="auto" w:fill="FFFFFF"/>
        </w:rPr>
        <w:t>. [online] Available at: &lt;https://students.morris.umn.edu/community-engagement/types-community-engagement&gt; [Accessed 29 April 2022].</w:t>
      </w:r>
    </w:p>
    <w:p w14:paraId="094483CB" w14:textId="3C8B3747" w:rsidR="00CF170B" w:rsidRDefault="00CF170B" w:rsidP="00CF170B">
      <w:pPr>
        <w:pStyle w:val="ListParagraph"/>
        <w:numPr>
          <w:ilvl w:val="0"/>
          <w:numId w:val="2"/>
        </w:numPr>
        <w:rPr>
          <w:rFonts w:cs="Times New Roman"/>
          <w:color w:val="000000" w:themeColor="text1"/>
          <w:szCs w:val="22"/>
          <w:shd w:val="clear" w:color="auto" w:fill="FFFFFF"/>
        </w:rPr>
      </w:pPr>
      <w:r w:rsidRPr="00217437">
        <w:rPr>
          <w:rFonts w:cs="Times New Roman"/>
          <w:color w:val="000000" w:themeColor="text1"/>
          <w:szCs w:val="22"/>
          <w:shd w:val="clear" w:color="auto" w:fill="FFFFFF"/>
        </w:rPr>
        <w:t>Atsdr.cdc.gov. 2022. </w:t>
      </w:r>
      <w:r w:rsidRPr="00217437">
        <w:rPr>
          <w:rFonts w:cs="Times New Roman"/>
          <w:i/>
          <w:iCs/>
          <w:color w:val="000000" w:themeColor="text1"/>
          <w:szCs w:val="22"/>
          <w:shd w:val="clear" w:color="auto" w:fill="FFFFFF"/>
        </w:rPr>
        <w:t>Useful Concepts | Principles of Community Engagement | ATSDR</w:t>
      </w:r>
      <w:r w:rsidRPr="00217437">
        <w:rPr>
          <w:rFonts w:cs="Times New Roman"/>
          <w:color w:val="000000" w:themeColor="text1"/>
          <w:szCs w:val="22"/>
          <w:shd w:val="clear" w:color="auto" w:fill="FFFFFF"/>
        </w:rPr>
        <w:t>. [online] Available at: &lt;https://www.atsdr.cdc.gov/communityengagement/pce_useful.html&gt; [Accessed 29 April 2022].</w:t>
      </w:r>
    </w:p>
    <w:p w14:paraId="43D48479" w14:textId="3073B962" w:rsidR="005822DD" w:rsidRDefault="005822DD" w:rsidP="00CF170B">
      <w:pPr>
        <w:pStyle w:val="ListParagraph"/>
        <w:numPr>
          <w:ilvl w:val="0"/>
          <w:numId w:val="2"/>
        </w:numPr>
        <w:rPr>
          <w:rFonts w:cs="Times New Roman"/>
          <w:color w:val="000000" w:themeColor="text1"/>
          <w:szCs w:val="22"/>
          <w:shd w:val="clear" w:color="auto" w:fill="FFFFFF"/>
        </w:rPr>
      </w:pPr>
      <w:r w:rsidRPr="005822DD">
        <w:rPr>
          <w:rFonts w:cs="Times New Roman"/>
          <w:color w:val="000000" w:themeColor="text1"/>
          <w:szCs w:val="22"/>
          <w:shd w:val="clear" w:color="auto" w:fill="FFFFFF"/>
        </w:rPr>
        <w:t>2022. Tesco PLC. [online] Available at: &lt;https://www.tescoplc.com/&gt; [Accessed 1 May 2022].</w:t>
      </w:r>
    </w:p>
    <w:p w14:paraId="629BB3B9" w14:textId="473D4EA8" w:rsidR="00CA3FA0" w:rsidRDefault="00CA3FA0" w:rsidP="00CF170B">
      <w:pPr>
        <w:pStyle w:val="ListParagraph"/>
        <w:numPr>
          <w:ilvl w:val="0"/>
          <w:numId w:val="2"/>
        </w:numPr>
        <w:rPr>
          <w:rFonts w:cs="Times New Roman"/>
          <w:color w:val="000000" w:themeColor="text1"/>
          <w:szCs w:val="22"/>
          <w:shd w:val="clear" w:color="auto" w:fill="FFFFFF"/>
        </w:rPr>
      </w:pPr>
      <w:r w:rsidRPr="00CA3FA0">
        <w:rPr>
          <w:rFonts w:cs="Times New Roman"/>
          <w:color w:val="000000" w:themeColor="text1"/>
          <w:szCs w:val="22"/>
          <w:shd w:val="clear" w:color="auto" w:fill="FFFFFF"/>
        </w:rPr>
        <w:t>Tesco PLC. 2022. Supporting community through food distribution. [online] Available at: &lt;https://www.tescoplc.com/sustainability/taking-action/community/supporting-communities-with-food-distribution/&gt; [Accessed 1 May 2022].</w:t>
      </w:r>
    </w:p>
    <w:p w14:paraId="15FF4FB0" w14:textId="79BFBAA0" w:rsidR="00CA3FA0" w:rsidRPr="00217437" w:rsidRDefault="00CA3FA0" w:rsidP="00CF170B">
      <w:pPr>
        <w:pStyle w:val="ListParagraph"/>
        <w:numPr>
          <w:ilvl w:val="0"/>
          <w:numId w:val="2"/>
        </w:numPr>
        <w:rPr>
          <w:rFonts w:cs="Times New Roman"/>
          <w:color w:val="000000" w:themeColor="text1"/>
          <w:szCs w:val="22"/>
          <w:shd w:val="clear" w:color="auto" w:fill="FFFFFF"/>
        </w:rPr>
      </w:pPr>
      <w:proofErr w:type="spellStart"/>
      <w:r w:rsidRPr="00CA3FA0">
        <w:rPr>
          <w:rFonts w:cs="Times New Roman"/>
          <w:color w:val="000000" w:themeColor="text1"/>
          <w:szCs w:val="22"/>
          <w:shd w:val="clear" w:color="auto" w:fill="FFFFFF"/>
        </w:rPr>
        <w:t>perfil</w:t>
      </w:r>
      <w:proofErr w:type="spellEnd"/>
      <w:r w:rsidRPr="00CA3FA0">
        <w:rPr>
          <w:rFonts w:cs="Times New Roman"/>
          <w:color w:val="000000" w:themeColor="text1"/>
          <w:szCs w:val="22"/>
          <w:shd w:val="clear" w:color="auto" w:fill="FFFFFF"/>
        </w:rPr>
        <w:t xml:space="preserve">, V., 2022. Amigos </w:t>
      </w:r>
      <w:proofErr w:type="spellStart"/>
      <w:r w:rsidRPr="00CA3FA0">
        <w:rPr>
          <w:rFonts w:cs="Times New Roman"/>
          <w:color w:val="000000" w:themeColor="text1"/>
          <w:szCs w:val="22"/>
          <w:shd w:val="clear" w:color="auto" w:fill="FFFFFF"/>
        </w:rPr>
        <w:t>en</w:t>
      </w:r>
      <w:proofErr w:type="spellEnd"/>
      <w:r w:rsidRPr="00CA3FA0">
        <w:rPr>
          <w:rFonts w:cs="Times New Roman"/>
          <w:color w:val="000000" w:themeColor="text1"/>
          <w:szCs w:val="22"/>
          <w:shd w:val="clear" w:color="auto" w:fill="FFFFFF"/>
        </w:rPr>
        <w:t xml:space="preserve"> </w:t>
      </w:r>
      <w:proofErr w:type="spellStart"/>
      <w:r w:rsidRPr="00CA3FA0">
        <w:rPr>
          <w:rFonts w:cs="Times New Roman"/>
          <w:color w:val="000000" w:themeColor="text1"/>
          <w:szCs w:val="22"/>
          <w:shd w:val="clear" w:color="auto" w:fill="FFFFFF"/>
        </w:rPr>
        <w:t>Salud</w:t>
      </w:r>
      <w:proofErr w:type="spellEnd"/>
      <w:r w:rsidRPr="00CA3FA0">
        <w:rPr>
          <w:rFonts w:cs="Times New Roman"/>
          <w:color w:val="000000" w:themeColor="text1"/>
          <w:szCs w:val="22"/>
          <w:shd w:val="clear" w:color="auto" w:fill="FFFFFF"/>
        </w:rPr>
        <w:t>. [online] Amigosensaludargentina.blogspot.com. Available at: &lt;https://amigosensaludargentina.blogspot.com/&gt; [Accessed 1 May 2022].</w:t>
      </w:r>
    </w:p>
    <w:p w14:paraId="1DBA8154" w14:textId="229B743F" w:rsidR="00CF170B" w:rsidRDefault="00CF170B" w:rsidP="005822DD">
      <w:pPr>
        <w:rPr>
          <w:rFonts w:cs="Times New Roman"/>
          <w:color w:val="FF0000"/>
          <w:szCs w:val="22"/>
        </w:rPr>
      </w:pPr>
    </w:p>
    <w:p w14:paraId="40C7656F" w14:textId="77777777" w:rsidR="005822DD" w:rsidRPr="005822DD" w:rsidRDefault="005822DD" w:rsidP="005822DD">
      <w:pPr>
        <w:rPr>
          <w:rFonts w:cs="Times New Roman"/>
          <w:color w:val="FF0000"/>
          <w:szCs w:val="22"/>
        </w:rPr>
      </w:pPr>
    </w:p>
    <w:sectPr w:rsidR="005822DD" w:rsidRPr="005822DD" w:rsidSect="00E62723">
      <w:footerReference w:type="default" r:id="rId8"/>
      <w:pgSz w:w="11906" w:h="16838" w:code="9"/>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492402" w14:textId="77777777" w:rsidR="0076754B" w:rsidRDefault="0076754B" w:rsidP="00E62723">
      <w:pPr>
        <w:spacing w:after="0" w:line="240" w:lineRule="auto"/>
      </w:pPr>
      <w:r>
        <w:separator/>
      </w:r>
    </w:p>
  </w:endnote>
  <w:endnote w:type="continuationSeparator" w:id="0">
    <w:p w14:paraId="37407F4F" w14:textId="77777777" w:rsidR="0076754B" w:rsidRDefault="0076754B" w:rsidP="00E62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3682157"/>
      <w:docPartObj>
        <w:docPartGallery w:val="Page Numbers (Bottom of Page)"/>
        <w:docPartUnique/>
      </w:docPartObj>
    </w:sdtPr>
    <w:sdtEndPr>
      <w:rPr>
        <w:noProof/>
      </w:rPr>
    </w:sdtEndPr>
    <w:sdtContent>
      <w:p w14:paraId="0131B50D" w14:textId="4BC0E989" w:rsidR="00E62723" w:rsidRDefault="00E627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E4907F" w14:textId="77777777" w:rsidR="00E62723" w:rsidRDefault="00E62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F1405" w14:textId="77777777" w:rsidR="0076754B" w:rsidRDefault="0076754B" w:rsidP="00E62723">
      <w:pPr>
        <w:spacing w:after="0" w:line="240" w:lineRule="auto"/>
      </w:pPr>
      <w:r>
        <w:separator/>
      </w:r>
    </w:p>
  </w:footnote>
  <w:footnote w:type="continuationSeparator" w:id="0">
    <w:p w14:paraId="227E0C82" w14:textId="77777777" w:rsidR="0076754B" w:rsidRDefault="0076754B" w:rsidP="00E627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847F3"/>
    <w:multiLevelType w:val="hybridMultilevel"/>
    <w:tmpl w:val="FE802CF2"/>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204F37BF"/>
    <w:multiLevelType w:val="hybridMultilevel"/>
    <w:tmpl w:val="A37088F2"/>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zNLM0sTQwtDA1MTNR0lEKTi0uzszPAykwqQUAQc9vuSwAAAA="/>
  </w:docVars>
  <w:rsids>
    <w:rsidRoot w:val="00AE7577"/>
    <w:rsid w:val="00007515"/>
    <w:rsid w:val="000241E8"/>
    <w:rsid w:val="000254A1"/>
    <w:rsid w:val="000350B9"/>
    <w:rsid w:val="000636E1"/>
    <w:rsid w:val="00085FAD"/>
    <w:rsid w:val="000862E4"/>
    <w:rsid w:val="00087414"/>
    <w:rsid w:val="000A121E"/>
    <w:rsid w:val="000D3907"/>
    <w:rsid w:val="0012479D"/>
    <w:rsid w:val="00167A2E"/>
    <w:rsid w:val="00211EBD"/>
    <w:rsid w:val="0021462A"/>
    <w:rsid w:val="00215C77"/>
    <w:rsid w:val="00217437"/>
    <w:rsid w:val="00222963"/>
    <w:rsid w:val="00231887"/>
    <w:rsid w:val="002374AC"/>
    <w:rsid w:val="002B2B95"/>
    <w:rsid w:val="00312B1B"/>
    <w:rsid w:val="00315997"/>
    <w:rsid w:val="00317C9C"/>
    <w:rsid w:val="00346F2C"/>
    <w:rsid w:val="00353118"/>
    <w:rsid w:val="00354934"/>
    <w:rsid w:val="003667E1"/>
    <w:rsid w:val="003A715E"/>
    <w:rsid w:val="003F3C10"/>
    <w:rsid w:val="00406059"/>
    <w:rsid w:val="0046356B"/>
    <w:rsid w:val="00464B50"/>
    <w:rsid w:val="00470A87"/>
    <w:rsid w:val="00470B88"/>
    <w:rsid w:val="004818B6"/>
    <w:rsid w:val="00490DC8"/>
    <w:rsid w:val="0049223A"/>
    <w:rsid w:val="004B574E"/>
    <w:rsid w:val="004E6000"/>
    <w:rsid w:val="00524ADC"/>
    <w:rsid w:val="00542025"/>
    <w:rsid w:val="00561C36"/>
    <w:rsid w:val="005822DD"/>
    <w:rsid w:val="005938F7"/>
    <w:rsid w:val="005B3A18"/>
    <w:rsid w:val="005C6684"/>
    <w:rsid w:val="005D4630"/>
    <w:rsid w:val="005F0CE8"/>
    <w:rsid w:val="00670367"/>
    <w:rsid w:val="0067658E"/>
    <w:rsid w:val="00676D6C"/>
    <w:rsid w:val="0068247A"/>
    <w:rsid w:val="00704152"/>
    <w:rsid w:val="0071330D"/>
    <w:rsid w:val="007314C3"/>
    <w:rsid w:val="00733497"/>
    <w:rsid w:val="00741086"/>
    <w:rsid w:val="0075170A"/>
    <w:rsid w:val="0076682D"/>
    <w:rsid w:val="0076754B"/>
    <w:rsid w:val="00776C17"/>
    <w:rsid w:val="00790782"/>
    <w:rsid w:val="007967AD"/>
    <w:rsid w:val="00797354"/>
    <w:rsid w:val="007D3E22"/>
    <w:rsid w:val="007F01FF"/>
    <w:rsid w:val="00842DA0"/>
    <w:rsid w:val="00867CE7"/>
    <w:rsid w:val="00886079"/>
    <w:rsid w:val="008B09ED"/>
    <w:rsid w:val="008E5067"/>
    <w:rsid w:val="009152B2"/>
    <w:rsid w:val="00963D5C"/>
    <w:rsid w:val="009C4922"/>
    <w:rsid w:val="009D07FE"/>
    <w:rsid w:val="009E01DB"/>
    <w:rsid w:val="009E5946"/>
    <w:rsid w:val="00A02608"/>
    <w:rsid w:val="00A26619"/>
    <w:rsid w:val="00A56644"/>
    <w:rsid w:val="00A67B85"/>
    <w:rsid w:val="00A70CA0"/>
    <w:rsid w:val="00A77300"/>
    <w:rsid w:val="00A94C05"/>
    <w:rsid w:val="00AC4A04"/>
    <w:rsid w:val="00AD24FD"/>
    <w:rsid w:val="00AE7577"/>
    <w:rsid w:val="00B22CC1"/>
    <w:rsid w:val="00B76C3B"/>
    <w:rsid w:val="00BB6C0A"/>
    <w:rsid w:val="00C17E9E"/>
    <w:rsid w:val="00CA3FA0"/>
    <w:rsid w:val="00CD4580"/>
    <w:rsid w:val="00CE01A0"/>
    <w:rsid w:val="00CF170B"/>
    <w:rsid w:val="00D10A4B"/>
    <w:rsid w:val="00D47317"/>
    <w:rsid w:val="00D8738F"/>
    <w:rsid w:val="00DB4D8A"/>
    <w:rsid w:val="00DC5C19"/>
    <w:rsid w:val="00DE7293"/>
    <w:rsid w:val="00E034E5"/>
    <w:rsid w:val="00E135E8"/>
    <w:rsid w:val="00E14C69"/>
    <w:rsid w:val="00E24A8E"/>
    <w:rsid w:val="00E50FC0"/>
    <w:rsid w:val="00E62723"/>
    <w:rsid w:val="00E67386"/>
    <w:rsid w:val="00EE549D"/>
    <w:rsid w:val="00EE6265"/>
    <w:rsid w:val="00F37FFA"/>
    <w:rsid w:val="00F42713"/>
    <w:rsid w:val="00F54B14"/>
    <w:rsid w:val="00FA09F2"/>
    <w:rsid w:val="00FA740B"/>
    <w:rsid w:val="00FB1AE8"/>
    <w:rsid w:val="00FB4256"/>
    <w:rsid w:val="00FE195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82B9B"/>
  <w15:chartTrackingRefBased/>
  <w15:docId w15:val="{5035C25F-86EE-4856-B896-72643256D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E6000"/>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67658E"/>
    <w:pPr>
      <w:keepNext/>
      <w:keepLines/>
      <w:spacing w:before="240" w:after="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4E6000"/>
    <w:pPr>
      <w:keepNext/>
      <w:keepLines/>
      <w:spacing w:before="40" w:after="0"/>
      <w:outlineLvl w:val="1"/>
    </w:pPr>
    <w:rPr>
      <w:rFonts w:eastAsiaTheme="majorEastAsia"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E6000"/>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67658E"/>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4E6000"/>
    <w:rPr>
      <w:rFonts w:ascii="Times New Roman" w:eastAsiaTheme="majorEastAsia" w:hAnsi="Times New Roman" w:cstheme="majorBidi"/>
      <w:color w:val="2F5496" w:themeColor="accent1" w:themeShade="BF"/>
      <w:sz w:val="26"/>
      <w:szCs w:val="33"/>
      <w:lang w:val="en-GB"/>
    </w:rPr>
  </w:style>
  <w:style w:type="paragraph" w:styleId="TOCHeading">
    <w:name w:val="TOC Heading"/>
    <w:basedOn w:val="Heading1"/>
    <w:next w:val="Normal"/>
    <w:uiPriority w:val="39"/>
    <w:unhideWhenUsed/>
    <w:qFormat/>
    <w:rsid w:val="00E62723"/>
    <w:pPr>
      <w:spacing w:line="259" w:lineRule="auto"/>
      <w:jc w:val="left"/>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E62723"/>
    <w:pPr>
      <w:spacing w:after="100"/>
    </w:pPr>
  </w:style>
  <w:style w:type="character" w:styleId="Hyperlink">
    <w:name w:val="Hyperlink"/>
    <w:basedOn w:val="DefaultParagraphFont"/>
    <w:uiPriority w:val="99"/>
    <w:unhideWhenUsed/>
    <w:rsid w:val="00E62723"/>
    <w:rPr>
      <w:color w:val="0563C1" w:themeColor="hyperlink"/>
      <w:u w:val="single"/>
    </w:rPr>
  </w:style>
  <w:style w:type="paragraph" w:styleId="Header">
    <w:name w:val="header"/>
    <w:basedOn w:val="Normal"/>
    <w:link w:val="HeaderChar"/>
    <w:uiPriority w:val="99"/>
    <w:unhideWhenUsed/>
    <w:rsid w:val="00E62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723"/>
    <w:rPr>
      <w:rFonts w:ascii="Times New Roman" w:hAnsi="Times New Roman"/>
      <w:lang w:val="en-GB"/>
    </w:rPr>
  </w:style>
  <w:style w:type="paragraph" w:styleId="Footer">
    <w:name w:val="footer"/>
    <w:basedOn w:val="Normal"/>
    <w:link w:val="FooterChar"/>
    <w:uiPriority w:val="99"/>
    <w:unhideWhenUsed/>
    <w:rsid w:val="00E62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723"/>
    <w:rPr>
      <w:rFonts w:ascii="Times New Roman" w:hAnsi="Times New Roman"/>
      <w:lang w:val="en-GB"/>
    </w:rPr>
  </w:style>
  <w:style w:type="paragraph" w:styleId="ListParagraph">
    <w:name w:val="List Paragraph"/>
    <w:basedOn w:val="Normal"/>
    <w:uiPriority w:val="34"/>
    <w:qFormat/>
    <w:rsid w:val="00CF17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558349">
      <w:bodyDiv w:val="1"/>
      <w:marLeft w:val="0"/>
      <w:marRight w:val="0"/>
      <w:marTop w:val="0"/>
      <w:marBottom w:val="0"/>
      <w:divBdr>
        <w:top w:val="none" w:sz="0" w:space="0" w:color="auto"/>
        <w:left w:val="none" w:sz="0" w:space="0" w:color="auto"/>
        <w:bottom w:val="none" w:sz="0" w:space="0" w:color="auto"/>
        <w:right w:val="none" w:sz="0" w:space="0" w:color="auto"/>
      </w:divBdr>
      <w:divsChild>
        <w:div w:id="9339754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FBC4A6-6885-864B-A425-9107BD433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1884</Words>
  <Characters>10742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Tasnim</dc:creator>
  <cp:keywords/>
  <dc:description/>
  <cp:lastModifiedBy>Microsoft Office User</cp:lastModifiedBy>
  <cp:revision>3</cp:revision>
  <dcterms:created xsi:type="dcterms:W3CDTF">2022-05-12T19:06:00Z</dcterms:created>
  <dcterms:modified xsi:type="dcterms:W3CDTF">2022-05-12T19:10:00Z</dcterms:modified>
</cp:coreProperties>
</file>