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8BC8F" w14:textId="4C32861A" w:rsidR="008C7FEB" w:rsidRDefault="008C7FEB" w:rsidP="008C7FEB">
      <w:pPr>
        <w:jc w:val="left"/>
        <w:rPr>
          <w:b/>
          <w:bCs/>
          <w:sz w:val="28"/>
          <w:szCs w:val="28"/>
        </w:rPr>
      </w:pPr>
      <w:r w:rsidRPr="008C7FEB">
        <w:rPr>
          <w:b/>
          <w:bCs/>
          <w:noProof/>
          <w:sz w:val="28"/>
          <w:szCs w:val="28"/>
        </w:rPr>
        <w:drawing>
          <wp:inline distT="0" distB="0" distL="0" distR="0" wp14:anchorId="494F6352" wp14:editId="05A20C65">
            <wp:extent cx="3362794" cy="1295581"/>
            <wp:effectExtent l="0" t="0" r="0" b="0"/>
            <wp:docPr id="2059045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45739" name=""/>
                    <pic:cNvPicPr/>
                  </pic:nvPicPr>
                  <pic:blipFill>
                    <a:blip r:embed="rId7"/>
                    <a:stretch>
                      <a:fillRect/>
                    </a:stretch>
                  </pic:blipFill>
                  <pic:spPr>
                    <a:xfrm>
                      <a:off x="0" y="0"/>
                      <a:ext cx="3362794" cy="1295581"/>
                    </a:xfrm>
                    <a:prstGeom prst="rect">
                      <a:avLst/>
                    </a:prstGeom>
                  </pic:spPr>
                </pic:pic>
              </a:graphicData>
            </a:graphic>
          </wp:inline>
        </w:drawing>
      </w:r>
    </w:p>
    <w:p w14:paraId="6040D701" w14:textId="77777777" w:rsidR="008C7FEB" w:rsidRDefault="008C7FEB" w:rsidP="008C7FEB">
      <w:pPr>
        <w:rPr>
          <w:b/>
          <w:bCs/>
          <w:sz w:val="28"/>
          <w:szCs w:val="28"/>
        </w:rPr>
      </w:pPr>
    </w:p>
    <w:p w14:paraId="1AA0BB10" w14:textId="77777777" w:rsidR="008C7FEB" w:rsidRDefault="008C7FEB" w:rsidP="008C7FEB">
      <w:pPr>
        <w:rPr>
          <w:b/>
          <w:bCs/>
          <w:sz w:val="28"/>
          <w:szCs w:val="28"/>
        </w:rPr>
      </w:pPr>
    </w:p>
    <w:p w14:paraId="19F1B14B" w14:textId="34CE0FCC" w:rsidR="008C7FEB" w:rsidRPr="008C7FEB" w:rsidRDefault="008C7FEB" w:rsidP="008C7FEB">
      <w:pPr>
        <w:jc w:val="center"/>
        <w:rPr>
          <w:b/>
          <w:bCs/>
          <w:sz w:val="32"/>
          <w:szCs w:val="32"/>
        </w:rPr>
      </w:pPr>
      <w:r w:rsidRPr="008C7FEB">
        <w:rPr>
          <w:b/>
          <w:bCs/>
          <w:sz w:val="32"/>
          <w:szCs w:val="32"/>
        </w:rPr>
        <w:t>BMIH6007</w:t>
      </w:r>
    </w:p>
    <w:p w14:paraId="5EF71BE3" w14:textId="77777777" w:rsidR="008C7FEB" w:rsidRPr="008C7FEB" w:rsidRDefault="008C7FEB" w:rsidP="008C7FEB">
      <w:pPr>
        <w:jc w:val="center"/>
        <w:rPr>
          <w:b/>
          <w:bCs/>
          <w:sz w:val="32"/>
          <w:szCs w:val="32"/>
        </w:rPr>
      </w:pPr>
    </w:p>
    <w:p w14:paraId="496580C4" w14:textId="2E4F38DB" w:rsidR="008C7FEB" w:rsidRPr="008C7FEB" w:rsidRDefault="008C7FEB" w:rsidP="008C7FEB">
      <w:pPr>
        <w:jc w:val="center"/>
        <w:rPr>
          <w:b/>
          <w:bCs/>
          <w:sz w:val="32"/>
          <w:szCs w:val="32"/>
        </w:rPr>
      </w:pPr>
      <w:r w:rsidRPr="008C7FEB">
        <w:rPr>
          <w:b/>
          <w:bCs/>
          <w:sz w:val="32"/>
          <w:szCs w:val="32"/>
        </w:rPr>
        <w:t>International Meetings Management for the</w:t>
      </w:r>
    </w:p>
    <w:p w14:paraId="5609C135" w14:textId="77777777" w:rsidR="008C7FEB" w:rsidRPr="008C7FEB" w:rsidRDefault="008C7FEB" w:rsidP="008C7FEB">
      <w:pPr>
        <w:jc w:val="center"/>
        <w:rPr>
          <w:b/>
          <w:bCs/>
          <w:sz w:val="32"/>
          <w:szCs w:val="32"/>
        </w:rPr>
      </w:pPr>
      <w:r w:rsidRPr="008C7FEB">
        <w:rPr>
          <w:b/>
          <w:bCs/>
          <w:sz w:val="32"/>
          <w:szCs w:val="32"/>
        </w:rPr>
        <w:t>Hotel Industry</w:t>
      </w:r>
    </w:p>
    <w:p w14:paraId="77D12A7E" w14:textId="77777777" w:rsidR="008C7FEB" w:rsidRPr="008C7FEB" w:rsidRDefault="008C7FEB" w:rsidP="008C7FEB">
      <w:pPr>
        <w:jc w:val="center"/>
        <w:rPr>
          <w:b/>
          <w:bCs/>
          <w:sz w:val="28"/>
          <w:szCs w:val="28"/>
        </w:rPr>
      </w:pPr>
    </w:p>
    <w:p w14:paraId="4B440B98" w14:textId="77777777" w:rsidR="008C7FEB" w:rsidRPr="008C7FEB" w:rsidRDefault="008C7FEB" w:rsidP="008C7FEB">
      <w:pPr>
        <w:jc w:val="center"/>
        <w:rPr>
          <w:b/>
          <w:bCs/>
          <w:sz w:val="28"/>
          <w:szCs w:val="28"/>
        </w:rPr>
      </w:pPr>
      <w:r w:rsidRPr="008C7FEB">
        <w:rPr>
          <w:b/>
          <w:bCs/>
          <w:sz w:val="28"/>
          <w:szCs w:val="28"/>
        </w:rPr>
        <w:t>LEVEL 6</w:t>
      </w:r>
    </w:p>
    <w:p w14:paraId="0C7D96EC" w14:textId="074375BE" w:rsidR="008C7FEB" w:rsidRPr="008C7FEB" w:rsidRDefault="008C7FEB" w:rsidP="008C7FEB">
      <w:pPr>
        <w:jc w:val="center"/>
        <w:rPr>
          <w:b/>
          <w:bCs/>
          <w:sz w:val="28"/>
          <w:szCs w:val="28"/>
        </w:rPr>
      </w:pPr>
    </w:p>
    <w:p w14:paraId="491380E6" w14:textId="77777777" w:rsidR="008C7FEB" w:rsidRPr="008C7FEB" w:rsidRDefault="008C7FEB" w:rsidP="008C7FEB">
      <w:pPr>
        <w:jc w:val="center"/>
        <w:rPr>
          <w:b/>
          <w:bCs/>
          <w:sz w:val="28"/>
          <w:szCs w:val="28"/>
        </w:rPr>
      </w:pPr>
      <w:r w:rsidRPr="008C7FEB">
        <w:rPr>
          <w:b/>
          <w:bCs/>
          <w:sz w:val="28"/>
          <w:szCs w:val="28"/>
        </w:rPr>
        <w:t>Winter Term 2025</w:t>
      </w:r>
    </w:p>
    <w:p w14:paraId="0C44D4FE" w14:textId="77777777" w:rsidR="008C7FEB" w:rsidRDefault="008C7FEB" w:rsidP="008C7FEB">
      <w:pPr>
        <w:jc w:val="center"/>
        <w:rPr>
          <w:b/>
          <w:bCs/>
          <w:sz w:val="28"/>
          <w:szCs w:val="28"/>
        </w:rPr>
      </w:pPr>
    </w:p>
    <w:p w14:paraId="61FD78C8" w14:textId="52826A64" w:rsidR="008C7FEB" w:rsidRDefault="008C7FEB" w:rsidP="008C7FEB">
      <w:pPr>
        <w:jc w:val="center"/>
        <w:rPr>
          <w:b/>
          <w:bCs/>
          <w:sz w:val="28"/>
          <w:szCs w:val="28"/>
        </w:rPr>
      </w:pPr>
      <w:r>
        <w:rPr>
          <w:b/>
          <w:bCs/>
          <w:sz w:val="28"/>
          <w:szCs w:val="28"/>
        </w:rPr>
        <w:t>Student name:</w:t>
      </w:r>
      <w:r w:rsidR="00707B50">
        <w:rPr>
          <w:b/>
          <w:bCs/>
          <w:sz w:val="28"/>
          <w:szCs w:val="28"/>
        </w:rPr>
        <w:t xml:space="preserve"> Lalani de silva</w:t>
      </w:r>
    </w:p>
    <w:p w14:paraId="17D53B1A" w14:textId="1BCE3281" w:rsidR="008C7FEB" w:rsidRDefault="008C7FEB" w:rsidP="008C7FEB">
      <w:pPr>
        <w:jc w:val="center"/>
        <w:rPr>
          <w:b/>
          <w:bCs/>
          <w:sz w:val="28"/>
          <w:szCs w:val="28"/>
        </w:rPr>
      </w:pPr>
      <w:r>
        <w:rPr>
          <w:b/>
          <w:bCs/>
          <w:sz w:val="28"/>
          <w:szCs w:val="28"/>
        </w:rPr>
        <w:t xml:space="preserve">ID: </w:t>
      </w:r>
      <w:r w:rsidR="00707B50">
        <w:rPr>
          <w:b/>
          <w:bCs/>
          <w:sz w:val="28"/>
          <w:szCs w:val="28"/>
        </w:rPr>
        <w:t>2230713</w:t>
      </w:r>
    </w:p>
    <w:p w14:paraId="116C30ED" w14:textId="77777777" w:rsidR="008C7FEB" w:rsidRPr="008C7FEB" w:rsidRDefault="008C7FEB" w:rsidP="008C7FEB">
      <w:pPr>
        <w:jc w:val="center"/>
        <w:rPr>
          <w:b/>
          <w:bCs/>
          <w:sz w:val="28"/>
          <w:szCs w:val="28"/>
        </w:rPr>
      </w:pPr>
    </w:p>
    <w:p w14:paraId="7EA613D1" w14:textId="47ABDB28" w:rsidR="002A47C2" w:rsidRPr="008C7FEB" w:rsidRDefault="008C7FEB" w:rsidP="008C7FEB">
      <w:pPr>
        <w:jc w:val="center"/>
        <w:rPr>
          <w:b/>
          <w:bCs/>
          <w:sz w:val="28"/>
          <w:szCs w:val="28"/>
        </w:rPr>
      </w:pPr>
      <w:r w:rsidRPr="008C7FEB">
        <w:rPr>
          <w:b/>
          <w:bCs/>
          <w:sz w:val="28"/>
          <w:szCs w:val="28"/>
        </w:rPr>
        <w:t>Module Lead: Kathryn Flynn</w:t>
      </w:r>
    </w:p>
    <w:p w14:paraId="4508F816" w14:textId="77777777" w:rsidR="002A47C2" w:rsidRDefault="002A47C2">
      <w:pPr>
        <w:spacing w:line="259" w:lineRule="auto"/>
        <w:jc w:val="left"/>
      </w:pPr>
      <w:r>
        <w:br w:type="page"/>
      </w:r>
    </w:p>
    <w:p w14:paraId="7DC9DF60" w14:textId="445326EC" w:rsidR="002A47C2" w:rsidRDefault="002A47C2" w:rsidP="002A47C2">
      <w:r>
        <w:lastRenderedPageBreak/>
        <w:t xml:space="preserve">Slide 1: </w:t>
      </w:r>
    </w:p>
    <w:p w14:paraId="4F7D3C90" w14:textId="72AD2B6D" w:rsidR="002A47C2" w:rsidRDefault="008C7FEB" w:rsidP="002A47C2">
      <w:r>
        <w:rPr>
          <w:noProof/>
        </w:rPr>
        <w:drawing>
          <wp:inline distT="0" distB="0" distL="0" distR="0" wp14:anchorId="399C027A" wp14:editId="2544B0F5">
            <wp:extent cx="5731510" cy="3223895"/>
            <wp:effectExtent l="0" t="0" r="2540" b="0"/>
            <wp:docPr id="659173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48B6A80" w14:textId="6635CAF9" w:rsidR="002A47C2" w:rsidRDefault="002A47C2" w:rsidP="002A47C2">
      <w:r>
        <w:t>Good day! I am presenting as an event planner for the MICE industry, introducing my original event titled Diversity by Design: Transforming Inclusion in the Workplace. The event presents focus on equality diversity and inclusion (EDI) themes for professional workplace environments that matter in contemporary workforce development. Organizations today must understand EDI's importance because it helps them innovate while keeping talent and building better reputations according to Deloitte (2021) and Brown &amp; James (2020). The feasibility assessment for hosting the event examines the intersection between event thematic content and event context with the analysis of market demand and operational requirements and financial forecasting. Studies conclude that establishments becoming more inclusive results in better performance outcomes against their competitors by a 35% margin (McKinsey &amp; Company, 2022). I will present potential risks along with risk control measures and link this event to relevant industry trends through practical implementation approaches (Allen, 2023). We must unite efforts to create workplaces where equality and inclusion become realistic organizational ideals.</w:t>
      </w:r>
    </w:p>
    <w:p w14:paraId="33817775" w14:textId="3B452D7D" w:rsidR="002A47C2" w:rsidRDefault="002A47C2" w:rsidP="002A47C2">
      <w:pPr>
        <w:spacing w:line="259" w:lineRule="auto"/>
        <w:jc w:val="left"/>
      </w:pPr>
      <w:r>
        <w:br w:type="page"/>
      </w:r>
    </w:p>
    <w:p w14:paraId="08D09DDF" w14:textId="77777777" w:rsidR="002A47C2" w:rsidRDefault="002A47C2" w:rsidP="002A47C2">
      <w:r>
        <w:lastRenderedPageBreak/>
        <w:t xml:space="preserve">Slide 2: </w:t>
      </w:r>
    </w:p>
    <w:p w14:paraId="1532A171" w14:textId="0B45C720" w:rsidR="008C7FEB" w:rsidRDefault="008C7FEB" w:rsidP="002A47C2">
      <w:r>
        <w:rPr>
          <w:noProof/>
        </w:rPr>
        <w:drawing>
          <wp:inline distT="0" distB="0" distL="0" distR="0" wp14:anchorId="36BF42AD" wp14:editId="1C207C13">
            <wp:extent cx="5731510" cy="3223895"/>
            <wp:effectExtent l="0" t="0" r="2540" b="0"/>
            <wp:docPr id="1552666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43A8C17" w14:textId="2EACCA80" w:rsidR="002A47C2" w:rsidRDefault="002A47C2" w:rsidP="002A47C2">
      <w:r>
        <w:t>Diversity by Design will use workshops combined with keynote presentations and panel sessions to deliver practical EDI strategies to professionals. The combined event held at Manchester Central Convention Complex delivers hybrid programming to serve audiences both in person and online so everyone feels welcome (VisitBritain, 2023). The one-day program will welcome 500 participants who can join interactive sessions focused on leadership development and inclusive recruitment methods and workplace culture improvement strategies. During Design Thinking workshops participants will work to create EDI solutions that fit their needs (Diversity Best Practices, 2023). Many similar training events miss essential practical aspects which this specific meeting specifically aims to rectify (Harvard Business Review, 2023). According to CIPD research inclusivity represents an organizational necessity required for success (CIPD, 2023). Through networking opportunities and actionable insights this event works directly toward achieving United Nations Global Compact SDG 10 on inequality reduction (CIP, 2023c). The event embraces hybrid delivery which matches modern standards for accessible inclusive professional development options (Forbes Insights, 2022).</w:t>
      </w:r>
    </w:p>
    <w:p w14:paraId="35E167B8" w14:textId="77777777" w:rsidR="002A47C2" w:rsidRDefault="002A47C2">
      <w:pPr>
        <w:spacing w:line="259" w:lineRule="auto"/>
        <w:jc w:val="left"/>
      </w:pPr>
      <w:r>
        <w:br w:type="page"/>
      </w:r>
    </w:p>
    <w:p w14:paraId="0BDD7FEB" w14:textId="77777777" w:rsidR="002A47C2" w:rsidRDefault="002A47C2" w:rsidP="002A47C2">
      <w:r>
        <w:lastRenderedPageBreak/>
        <w:t xml:space="preserve">Slide 3: </w:t>
      </w:r>
    </w:p>
    <w:p w14:paraId="0482D001" w14:textId="5975550E" w:rsidR="008C7FEB" w:rsidRDefault="008C7FEB" w:rsidP="002A47C2">
      <w:r>
        <w:rPr>
          <w:noProof/>
        </w:rPr>
        <w:drawing>
          <wp:inline distT="0" distB="0" distL="0" distR="0" wp14:anchorId="02B95832" wp14:editId="71F6978A">
            <wp:extent cx="5731510" cy="3223895"/>
            <wp:effectExtent l="0" t="0" r="2540" b="0"/>
            <wp:docPr id="18024550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B811E8E" w14:textId="3B7E14F5" w:rsidR="002A47C2" w:rsidRDefault="002A47C2" w:rsidP="002A47C2">
      <w:r>
        <w:t>This event targets HR leaders together with senior executives as well as DEI consultants and policymakers and academics form additional target audiences. Deloitte (2021) shows that employees and executives agree diversity boosts innovation through performance by 74% (Deloitte, 2021). Unlike Diversity Live summits this event boasts workshops in addition to hybrid virtual options (McKinsey &amp; Company, 2022). Organizations are increasing investments in EDI-focused training because they find talent retention along with a competitive edge (PwC, 2024). Traditional marketing at the HR Context event will run digital advertisements on LinkedIn and establish partnerships with the respected CIPD organization which specializes in workplace inclusion service (CIPD, 2023). The occurrence of professional development workshops integrated with networking functions presents itself as a growing trend which industry reports have noted (Eventbrite, 2024). The positioning of useful know-how as the central theme enables professional interest in workplace-relevant solutions (Korn Ferry, 2023).</w:t>
      </w:r>
    </w:p>
    <w:p w14:paraId="337E12AA" w14:textId="4D882755" w:rsidR="002A47C2" w:rsidRDefault="002A47C2" w:rsidP="002A47C2">
      <w:pPr>
        <w:spacing w:line="259" w:lineRule="auto"/>
        <w:jc w:val="left"/>
      </w:pPr>
      <w:r>
        <w:br w:type="page"/>
      </w:r>
    </w:p>
    <w:p w14:paraId="069EDEE0" w14:textId="77777777" w:rsidR="002A47C2" w:rsidRDefault="002A47C2" w:rsidP="002A47C2">
      <w:r>
        <w:lastRenderedPageBreak/>
        <w:t xml:space="preserve">Slide 4: </w:t>
      </w:r>
    </w:p>
    <w:p w14:paraId="0710D890" w14:textId="213D2425" w:rsidR="008C7FEB" w:rsidRPr="008C7FEB" w:rsidRDefault="008C7FEB" w:rsidP="002A47C2">
      <w:r>
        <w:rPr>
          <w:noProof/>
        </w:rPr>
        <w:drawing>
          <wp:inline distT="0" distB="0" distL="0" distR="0" wp14:anchorId="6C5634A0" wp14:editId="3686F1CA">
            <wp:extent cx="5731510" cy="3223895"/>
            <wp:effectExtent l="0" t="0" r="2540" b="0"/>
            <wp:docPr id="13241042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47BDBD1" w14:textId="36EE8D88" w:rsidR="002A47C2" w:rsidRDefault="002A47C2" w:rsidP="002A47C2">
      <w:r>
        <w:t>The selection process of a suitable venue demands priority for successful implementation. Manchester Central Convention Complex meets the demands of 500 individuals while enabling hybrid event formats (Manchester Central, 2024). The venue serves all abilities through its accessible features which meet the needs of disabled visitors (VisitBritain, 2023). A trained combination of event managers together with DEI experts as well as interpreters and technical support staff will be essential to operational success. Because of its EDI focus the event collaborates with diverse local catering vendors to provide several dining choices (UK Hospitality, 2023). Attendees whether attending physically or online can engage with live streams and use virtual breakout rooms and real-time audience tools through the selected technology resources (Allen, 2023). British Event Professionals (2023) explain that the planning stage requires effortless arrangements for parking spaces with appropriate seating areas and clear on-site safety measures. The implemented operational measures support an efficient event operation that maintains commitment to both inclusivity and accessibility according to Diversity Best Practices (2023).</w:t>
      </w:r>
    </w:p>
    <w:p w14:paraId="78B860D6" w14:textId="77777777" w:rsidR="002A47C2" w:rsidRDefault="002A47C2">
      <w:pPr>
        <w:spacing w:line="259" w:lineRule="auto"/>
        <w:jc w:val="left"/>
      </w:pPr>
      <w:r>
        <w:br w:type="page"/>
      </w:r>
    </w:p>
    <w:p w14:paraId="733BD98B" w14:textId="77777777" w:rsidR="002A47C2" w:rsidRDefault="002A47C2" w:rsidP="002A47C2">
      <w:r>
        <w:lastRenderedPageBreak/>
        <w:t xml:space="preserve">Slide 5: </w:t>
      </w:r>
    </w:p>
    <w:p w14:paraId="2A596F35" w14:textId="5F2FF8E5" w:rsidR="008C7FEB" w:rsidRDefault="008C7FEB" w:rsidP="002A47C2">
      <w:r>
        <w:rPr>
          <w:noProof/>
        </w:rPr>
        <w:drawing>
          <wp:inline distT="0" distB="0" distL="0" distR="0" wp14:anchorId="7FD738F6" wp14:editId="17BC86AA">
            <wp:extent cx="5731510" cy="3223895"/>
            <wp:effectExtent l="0" t="0" r="2540" b="0"/>
            <wp:docPr id="21273911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A15A401" w14:textId="0C54ABCA" w:rsidR="002A47C2" w:rsidRDefault="002A47C2" w:rsidP="002A47C2">
      <w:r>
        <w:t xml:space="preserve">The event objectives include both cost effectiveness with profit generation. The event's £40,000 expense budget includes venue costs alongside catering expenses and marketing expenses speaker fees along with technology expenditures (Eventbrite, 2024). Tickets priced at £100 with additional sponsorships will generate combined revenue of £60,000 that creates a £20,000 profit (UK Hospitality, 2023) while serving attendees. The financial estimates stem from market evidence showing that professionals will invest in superior diversity equity inclusion training according to Forbes Insights (2022). The success of the event depends heavily on sponsors who focus on diversity along with local business partners (McKinsey &amp; Company, 2022). A contingency fund </w:t>
      </w:r>
      <w:proofErr w:type="spellStart"/>
      <w:r>
        <w:t>totaling</w:t>
      </w:r>
      <w:proofErr w:type="spellEnd"/>
      <w:r>
        <w:t xml:space="preserve"> £3000 stands ready to address unexpected costs including technical requirements or instant resource requirements (Allen, 2023). A financial management plan strikes equilibrium between funding sustainability and accomplishment of participant value delivery alongside support for the wider EDI movement (Harvard Business Review, 2023).</w:t>
      </w:r>
    </w:p>
    <w:p w14:paraId="0B41939B" w14:textId="53B039E2" w:rsidR="002A47C2" w:rsidRDefault="002A47C2" w:rsidP="002A47C2">
      <w:pPr>
        <w:spacing w:line="259" w:lineRule="auto"/>
        <w:jc w:val="left"/>
      </w:pPr>
      <w:r>
        <w:br w:type="page"/>
      </w:r>
    </w:p>
    <w:p w14:paraId="6DC86198" w14:textId="77777777" w:rsidR="002A47C2" w:rsidRDefault="002A47C2" w:rsidP="002A47C2">
      <w:r>
        <w:lastRenderedPageBreak/>
        <w:t xml:space="preserve">Slide 6: </w:t>
      </w:r>
    </w:p>
    <w:p w14:paraId="6FAA7CD7" w14:textId="092014DA" w:rsidR="008C7FEB" w:rsidRDefault="008C7FEB" w:rsidP="002A47C2">
      <w:r>
        <w:rPr>
          <w:noProof/>
        </w:rPr>
        <w:drawing>
          <wp:inline distT="0" distB="0" distL="0" distR="0" wp14:anchorId="1600F724" wp14:editId="480F8DB7">
            <wp:extent cx="5731510" cy="3223895"/>
            <wp:effectExtent l="0" t="0" r="2540" b="0"/>
            <wp:docPr id="21205220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E1E995E" w14:textId="3B8CD232" w:rsidR="002A47C2" w:rsidRDefault="002A47C2" w:rsidP="002A47C2">
      <w:r>
        <w:t xml:space="preserve">The decision to host Diversity by Design represents a sound strategic choice for success. Research by PwC (2024) demonstrates that companies which dedicate funds to diversity </w:t>
      </w:r>
      <w:proofErr w:type="spellStart"/>
      <w:r>
        <w:t>fulfillment</w:t>
      </w:r>
      <w:proofErr w:type="spellEnd"/>
      <w:r>
        <w:t xml:space="preserve"> achieve elevated employee engagement levels and new innovative thinking in their operations. Manchester serves perfectly as an event location because it gives convenient transport options while offering an energetic business ambience and serving as a major venue for forward-thinking gatherings (VisitBritain, 2023). Through its hybrid format this event extends its audience reach because participants from anywhere around the world can join virtually according to UK Government (2022). 87% of companies now identify diversity as a business imperative according to CIPD (2023) research. This event delivers practical tools to solve critical business needs because competitors do not provide the same focus according to Harvard Business Review (2023). Eventbrite (2024) concluded that the established budget generates financial returns confirming its practical business viability. The event drives organizational advancement alongside social progress through its capability to create inclusive workplaces (McKinsey &amp; Company, 2022).</w:t>
      </w:r>
    </w:p>
    <w:p w14:paraId="24689C3C" w14:textId="77777777" w:rsidR="002A47C2" w:rsidRDefault="002A47C2">
      <w:pPr>
        <w:spacing w:line="259" w:lineRule="auto"/>
        <w:jc w:val="left"/>
      </w:pPr>
      <w:r>
        <w:br w:type="page"/>
      </w:r>
    </w:p>
    <w:p w14:paraId="51CE9A22" w14:textId="77777777" w:rsidR="002A47C2" w:rsidRDefault="002A47C2" w:rsidP="002A47C2">
      <w:r>
        <w:lastRenderedPageBreak/>
        <w:t xml:space="preserve">Slide 7: </w:t>
      </w:r>
    </w:p>
    <w:p w14:paraId="6418FBBE" w14:textId="24E4CCD4" w:rsidR="008C7FEB" w:rsidRDefault="008C7FEB" w:rsidP="002A47C2">
      <w:r>
        <w:rPr>
          <w:noProof/>
        </w:rPr>
        <w:drawing>
          <wp:inline distT="0" distB="0" distL="0" distR="0" wp14:anchorId="4E37E108" wp14:editId="0FA8569D">
            <wp:extent cx="5731510" cy="3223895"/>
            <wp:effectExtent l="0" t="0" r="2540" b="0"/>
            <wp:docPr id="2564083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DFBF725" w14:textId="77777777" w:rsidR="002A47C2" w:rsidRDefault="002A47C2" w:rsidP="002A47C2">
      <w:r>
        <w:t>Every project needs risk management and this initiative requires special attention. Possible difficulties which might arise during the session comprise poor participant turnout together with equipment breakdowns as well as unexpected speaker no-shows (Allen, 2023). The marketing effort targeting broad audience categories will begin eight months in advance through email advertisements and digital communication according to Forbes Insights (2022). The project team comprises both technical competence and numerous system evaluation sessions to address risks (UK Government, 2022). The organization will retain a group of backup speakers who will step in when presenters need to withdraw from the schedule (Diversity Best Practices, 2023). The risk management plan developed will tackle unexpected obstacles to guarantee both success and impact for the event (Allen, 2023). British Event Professionals (2023) finds these proactive measures as industry best practices that show dedication towards delivering a fluid event experience across all participants.</w:t>
      </w:r>
    </w:p>
    <w:p w14:paraId="46453CC1" w14:textId="666BDF7A" w:rsidR="002A47C2" w:rsidRDefault="002A47C2" w:rsidP="002A47C2"/>
    <w:p w14:paraId="58BD99CD" w14:textId="596347A1" w:rsidR="002A47C2" w:rsidRDefault="002A47C2" w:rsidP="002A47C2">
      <w:pPr>
        <w:spacing w:line="259" w:lineRule="auto"/>
        <w:jc w:val="left"/>
      </w:pPr>
      <w:r>
        <w:br w:type="page"/>
      </w:r>
    </w:p>
    <w:p w14:paraId="69388AC2" w14:textId="77777777" w:rsidR="002A47C2" w:rsidRDefault="002A47C2" w:rsidP="002A47C2">
      <w:r>
        <w:lastRenderedPageBreak/>
        <w:t xml:space="preserve">Slide 8: </w:t>
      </w:r>
    </w:p>
    <w:p w14:paraId="56E62520" w14:textId="5F40E95B" w:rsidR="008C7FEB" w:rsidRDefault="008C7FEB" w:rsidP="002A47C2">
      <w:r>
        <w:rPr>
          <w:noProof/>
        </w:rPr>
        <w:drawing>
          <wp:inline distT="0" distB="0" distL="0" distR="0" wp14:anchorId="33F1F9DC" wp14:editId="33E26779">
            <wp:extent cx="5731510" cy="3223895"/>
            <wp:effectExtent l="0" t="0" r="2540" b="0"/>
            <wp:docPr id="16230972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2185BF6" w14:textId="16D6C91A" w:rsidR="002A47C2" w:rsidRDefault="002A47C2" w:rsidP="002A47C2">
      <w:r>
        <w:t xml:space="preserve">Various substantial benefits are expected from this upcoming event. The execution of Diversity by Design generates tangible adaptions for organizational EDI programs which authority organizations to create better work environments and business outcomes (CIPD, 2023). Delegates will depart this event equipped to execute socially equitable hiring standards and develop heterogeneous management pathways at PwC (2024). Through networking initiatives at this event people can meet experts in their field who will help them address their Diversity and Inclusion issues according to McKinsey &amp; Company (2022). Through the event the organizers aim to increase business awareness of inclusion's fundamental importance for organizational success (Harvard Business Review, 2023). A post-event survey function as the main instrument for gathering feedback that </w:t>
      </w:r>
      <w:proofErr w:type="spellStart"/>
      <w:r>
        <w:t>analyzes</w:t>
      </w:r>
      <w:proofErr w:type="spellEnd"/>
      <w:r>
        <w:t xml:space="preserve"> impact alongside finding recommendations for improvement (Eventbrite, 2024). This event helps to establish workplaces which recognize diversity as a powerful asset that matches global development principles for sustainability and equality (UN Global Compact, 2023).</w:t>
      </w:r>
    </w:p>
    <w:p w14:paraId="48EDA544" w14:textId="77777777" w:rsidR="002A47C2" w:rsidRDefault="002A47C2">
      <w:pPr>
        <w:spacing w:line="259" w:lineRule="auto"/>
        <w:jc w:val="left"/>
      </w:pPr>
      <w:r>
        <w:br w:type="page"/>
      </w:r>
    </w:p>
    <w:p w14:paraId="7E941658" w14:textId="772320C3" w:rsidR="002A47C2" w:rsidRDefault="002A47C2" w:rsidP="002A47C2">
      <w:r>
        <w:lastRenderedPageBreak/>
        <w:t xml:space="preserve">Slide 9: </w:t>
      </w:r>
    </w:p>
    <w:p w14:paraId="7BA14F74" w14:textId="4866444E" w:rsidR="008C7FEB" w:rsidRDefault="008C7FEB" w:rsidP="002A47C2">
      <w:r>
        <w:rPr>
          <w:noProof/>
        </w:rPr>
        <w:drawing>
          <wp:inline distT="0" distB="0" distL="0" distR="0" wp14:anchorId="133902B3" wp14:editId="6E7FB227">
            <wp:extent cx="5731510" cy="3223895"/>
            <wp:effectExtent l="0" t="0" r="2540" b="0"/>
            <wp:docPr id="7067208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9B9C566" w14:textId="3723099D" w:rsidR="002A47C2" w:rsidRDefault="002A47C2" w:rsidP="002A47C2">
      <w:r>
        <w:t xml:space="preserve">At this point I urge all readers to start working actively for more inclusive workplaces. The </w:t>
      </w:r>
      <w:proofErr w:type="spellStart"/>
      <w:r>
        <w:t>firststep</w:t>
      </w:r>
      <w:proofErr w:type="spellEnd"/>
      <w:r>
        <w:t xml:space="preserve"> must begin with promoting diversity among your workforce while advocating broader organizational changes (CIPD, 2023). Diversity by Design provides essential tools which grant access to vital insights for implementing this vision. I strongly recommend that you along with your coworkers support this event to increase its impact. This initiative welcomes financial support from sponsors or professional network redistribution of its outreach message (Harvard Business Review, 2023). When organisations work </w:t>
      </w:r>
      <w:proofErr w:type="gramStart"/>
      <w:r>
        <w:t>together</w:t>
      </w:r>
      <w:proofErr w:type="gramEnd"/>
      <w:r>
        <w:t xml:space="preserve"> we can build inclusive cultures which promote innovation alongside employee health while generating sustainable business growth (McKinsey &amp; Company 2022). You can find information about event registration and details along with sponsorship opportunities at our demo website www.diversitybydesign2025.com Start with us to experience a transformative change toward equitable and inclusive practice. We should create diversity though deliberate planning rather than accidental occurrences. The event is waiting for you. I thank you in advance for your attendance.</w:t>
      </w:r>
    </w:p>
    <w:p w14:paraId="563497A3" w14:textId="77777777" w:rsidR="002A47C2" w:rsidRDefault="002A47C2">
      <w:pPr>
        <w:spacing w:line="259" w:lineRule="auto"/>
        <w:jc w:val="left"/>
      </w:pPr>
      <w:r>
        <w:br w:type="page"/>
      </w:r>
    </w:p>
    <w:p w14:paraId="173A6AE1" w14:textId="018FC09F" w:rsidR="00A51C89" w:rsidRDefault="002A47C2" w:rsidP="002A47C2">
      <w:r>
        <w:lastRenderedPageBreak/>
        <w:t>Slide 10:</w:t>
      </w:r>
    </w:p>
    <w:p w14:paraId="230250EB" w14:textId="560F8E7A" w:rsidR="008C7FEB" w:rsidRDefault="008C7FEB" w:rsidP="002A47C2">
      <w:r>
        <w:rPr>
          <w:noProof/>
        </w:rPr>
        <w:drawing>
          <wp:inline distT="0" distB="0" distL="0" distR="0" wp14:anchorId="7E4788C9" wp14:editId="0CE2A925">
            <wp:extent cx="5731510" cy="3223895"/>
            <wp:effectExtent l="0" t="0" r="2540" b="0"/>
            <wp:docPr id="13219269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C2E664F" w14:textId="48BFD23A" w:rsidR="002A47C2" w:rsidRPr="002A47C2" w:rsidRDefault="002A47C2" w:rsidP="002A47C2">
      <w:pPr>
        <w:rPr>
          <w:lang w:val="en-SG"/>
        </w:rPr>
      </w:pPr>
      <w:r w:rsidRPr="002A47C2">
        <w:rPr>
          <w:lang w:val="en-SG"/>
        </w:rPr>
        <w:t xml:space="preserve">Allen, J. (2023). </w:t>
      </w:r>
      <w:r w:rsidRPr="002A47C2">
        <w:rPr>
          <w:i/>
          <w:iCs/>
          <w:lang w:val="en-SG"/>
        </w:rPr>
        <w:t>Event Risk Management Guide.</w:t>
      </w:r>
    </w:p>
    <w:p w14:paraId="0B17A3CB" w14:textId="3BA9E392" w:rsidR="002A47C2" w:rsidRPr="002A47C2" w:rsidRDefault="002A47C2" w:rsidP="002A47C2">
      <w:pPr>
        <w:rPr>
          <w:lang w:val="en-SG"/>
        </w:rPr>
      </w:pPr>
      <w:r w:rsidRPr="002A47C2">
        <w:rPr>
          <w:lang w:val="en-SG"/>
        </w:rPr>
        <w:t xml:space="preserve">Brown, K., &amp; James, C. (2020). </w:t>
      </w:r>
      <w:r w:rsidRPr="002A47C2">
        <w:rPr>
          <w:i/>
          <w:iCs/>
          <w:lang w:val="en-SG"/>
        </w:rPr>
        <w:t>The Inclusion Imperative.</w:t>
      </w:r>
    </w:p>
    <w:p w14:paraId="24F353FA" w14:textId="67C84579" w:rsidR="002A47C2" w:rsidRPr="002A47C2" w:rsidRDefault="002A47C2" w:rsidP="002A47C2">
      <w:pPr>
        <w:rPr>
          <w:lang w:val="en-SG"/>
        </w:rPr>
      </w:pPr>
      <w:r w:rsidRPr="002A47C2">
        <w:rPr>
          <w:lang w:val="en-SG"/>
        </w:rPr>
        <w:t xml:space="preserve">Chartered Institute of Personnel and Development (CIPD). (2023). </w:t>
      </w:r>
      <w:r w:rsidRPr="002A47C2">
        <w:rPr>
          <w:i/>
          <w:iCs/>
          <w:lang w:val="en-SG"/>
        </w:rPr>
        <w:t>Diversity and Inclusion at Work.</w:t>
      </w:r>
    </w:p>
    <w:p w14:paraId="25E95E43" w14:textId="35EB6824" w:rsidR="002A47C2" w:rsidRPr="002A47C2" w:rsidRDefault="002A47C2" w:rsidP="002A47C2">
      <w:pPr>
        <w:rPr>
          <w:lang w:val="en-SG"/>
        </w:rPr>
      </w:pPr>
      <w:r w:rsidRPr="002A47C2">
        <w:rPr>
          <w:lang w:val="en-SG"/>
        </w:rPr>
        <w:t xml:space="preserve">Deloitte. (2021). </w:t>
      </w:r>
      <w:r w:rsidRPr="002A47C2">
        <w:rPr>
          <w:i/>
          <w:iCs/>
          <w:lang w:val="en-SG"/>
        </w:rPr>
        <w:t>Global Human Capital Trends.</w:t>
      </w:r>
    </w:p>
    <w:p w14:paraId="04D1EBE9" w14:textId="1F0F999C" w:rsidR="002A47C2" w:rsidRPr="002A47C2" w:rsidRDefault="002A47C2" w:rsidP="002A47C2">
      <w:pPr>
        <w:rPr>
          <w:lang w:val="en-SG"/>
        </w:rPr>
      </w:pPr>
      <w:r w:rsidRPr="002A47C2">
        <w:rPr>
          <w:lang w:val="en-SG"/>
        </w:rPr>
        <w:t xml:space="preserve">Eventbrite. (2024). </w:t>
      </w:r>
      <w:r w:rsidRPr="002A47C2">
        <w:rPr>
          <w:i/>
          <w:iCs/>
          <w:lang w:val="en-SG"/>
        </w:rPr>
        <w:t>Revenue Models for Hybrid Events.</w:t>
      </w:r>
    </w:p>
    <w:p w14:paraId="04540CA2" w14:textId="3069B574" w:rsidR="002A47C2" w:rsidRPr="002A47C2" w:rsidRDefault="002A47C2" w:rsidP="002A47C2">
      <w:pPr>
        <w:rPr>
          <w:lang w:val="en-SG"/>
        </w:rPr>
      </w:pPr>
      <w:r w:rsidRPr="002A47C2">
        <w:rPr>
          <w:lang w:val="en-SG"/>
        </w:rPr>
        <w:t xml:space="preserve">Harvard Business Review. (2023). </w:t>
      </w:r>
      <w:r w:rsidRPr="002A47C2">
        <w:rPr>
          <w:i/>
          <w:iCs/>
          <w:lang w:val="en-SG"/>
        </w:rPr>
        <w:t>Building Inclusive Workplaces.</w:t>
      </w:r>
    </w:p>
    <w:p w14:paraId="2775652A" w14:textId="6B8D8E7B" w:rsidR="002A47C2" w:rsidRPr="002A47C2" w:rsidRDefault="002A47C2" w:rsidP="002A47C2">
      <w:pPr>
        <w:rPr>
          <w:lang w:val="en-SG"/>
        </w:rPr>
      </w:pPr>
      <w:r w:rsidRPr="002A47C2">
        <w:rPr>
          <w:lang w:val="en-SG"/>
        </w:rPr>
        <w:t xml:space="preserve">McKinsey &amp; Company. (2022). </w:t>
      </w:r>
      <w:r w:rsidRPr="002A47C2">
        <w:rPr>
          <w:i/>
          <w:iCs/>
          <w:lang w:val="en-SG"/>
        </w:rPr>
        <w:t>Diversity Wins: How Inclusion Matters.</w:t>
      </w:r>
    </w:p>
    <w:p w14:paraId="5DB6CC94" w14:textId="1CFAA45C" w:rsidR="002A47C2" w:rsidRPr="002A47C2" w:rsidRDefault="002A47C2" w:rsidP="002A47C2">
      <w:pPr>
        <w:rPr>
          <w:lang w:val="en-SG"/>
        </w:rPr>
      </w:pPr>
      <w:r w:rsidRPr="002A47C2">
        <w:rPr>
          <w:lang w:val="en-SG"/>
        </w:rPr>
        <w:t xml:space="preserve">Manchester Central. (2024). </w:t>
      </w:r>
      <w:r w:rsidRPr="002A47C2">
        <w:rPr>
          <w:i/>
          <w:iCs/>
          <w:lang w:val="en-SG"/>
        </w:rPr>
        <w:t>Event Venue Guide.</w:t>
      </w:r>
    </w:p>
    <w:p w14:paraId="48D33F2E" w14:textId="0BAA2051" w:rsidR="002A47C2" w:rsidRPr="002A47C2" w:rsidRDefault="002A47C2" w:rsidP="002A47C2">
      <w:pPr>
        <w:rPr>
          <w:lang w:val="en-SG"/>
        </w:rPr>
      </w:pPr>
      <w:r w:rsidRPr="002A47C2">
        <w:rPr>
          <w:lang w:val="en-SG"/>
        </w:rPr>
        <w:t xml:space="preserve">UK Government. (2022). </w:t>
      </w:r>
      <w:r w:rsidRPr="002A47C2">
        <w:rPr>
          <w:i/>
          <w:iCs/>
          <w:lang w:val="en-SG"/>
        </w:rPr>
        <w:t>Guidelines for Hybrid Event Planning.</w:t>
      </w:r>
    </w:p>
    <w:p w14:paraId="6B2B9363" w14:textId="11173197" w:rsidR="002A47C2" w:rsidRPr="002A47C2" w:rsidRDefault="002A47C2" w:rsidP="002A47C2">
      <w:pPr>
        <w:rPr>
          <w:lang w:val="en-SG"/>
        </w:rPr>
      </w:pPr>
      <w:r w:rsidRPr="002A47C2">
        <w:rPr>
          <w:lang w:val="en-SG"/>
        </w:rPr>
        <w:t xml:space="preserve">UK Hospitality. (2023). </w:t>
      </w:r>
      <w:r w:rsidRPr="002A47C2">
        <w:rPr>
          <w:i/>
          <w:iCs/>
          <w:lang w:val="en-SG"/>
        </w:rPr>
        <w:t>Event Budgeting Strategies.</w:t>
      </w:r>
    </w:p>
    <w:p w14:paraId="01C22857" w14:textId="25C88806" w:rsidR="002A47C2" w:rsidRPr="002A47C2" w:rsidRDefault="002A47C2" w:rsidP="002A47C2">
      <w:pPr>
        <w:rPr>
          <w:lang w:val="en-SG"/>
        </w:rPr>
      </w:pPr>
      <w:r w:rsidRPr="002A47C2">
        <w:rPr>
          <w:lang w:val="en-SG"/>
        </w:rPr>
        <w:t xml:space="preserve">VisitBritain. (2023). </w:t>
      </w:r>
      <w:r w:rsidRPr="002A47C2">
        <w:rPr>
          <w:i/>
          <w:iCs/>
          <w:lang w:val="en-SG"/>
        </w:rPr>
        <w:t>Best Practices in Event Venues for Accessibility.</w:t>
      </w:r>
    </w:p>
    <w:p w14:paraId="10925053" w14:textId="08F61DFC" w:rsidR="002A47C2" w:rsidRPr="002A47C2" w:rsidRDefault="002A47C2" w:rsidP="002A47C2">
      <w:pPr>
        <w:rPr>
          <w:lang w:val="en-SG"/>
        </w:rPr>
      </w:pPr>
      <w:r w:rsidRPr="002A47C2">
        <w:rPr>
          <w:lang w:val="en-SG"/>
        </w:rPr>
        <w:t xml:space="preserve">PwC. (2024). </w:t>
      </w:r>
      <w:r w:rsidRPr="002A47C2">
        <w:rPr>
          <w:i/>
          <w:iCs/>
          <w:lang w:val="en-SG"/>
        </w:rPr>
        <w:t>The Business Case for Diversity.</w:t>
      </w:r>
    </w:p>
    <w:p w14:paraId="582034E7" w14:textId="56AC0FA8" w:rsidR="002A47C2" w:rsidRPr="002A47C2" w:rsidRDefault="002A47C2" w:rsidP="002A47C2">
      <w:pPr>
        <w:rPr>
          <w:lang w:val="en-SG"/>
        </w:rPr>
      </w:pPr>
      <w:r w:rsidRPr="002A47C2">
        <w:rPr>
          <w:lang w:val="en-SG"/>
        </w:rPr>
        <w:t xml:space="preserve">Korn Ferry. (2023). </w:t>
      </w:r>
      <w:r w:rsidRPr="002A47C2">
        <w:rPr>
          <w:i/>
          <w:iCs/>
          <w:lang w:val="en-SG"/>
        </w:rPr>
        <w:t>Driving Diversity and Inclusion at Work.</w:t>
      </w:r>
    </w:p>
    <w:p w14:paraId="669A6DF6" w14:textId="42A9CDE4" w:rsidR="002A47C2" w:rsidRPr="002A47C2" w:rsidRDefault="002A47C2" w:rsidP="002A47C2">
      <w:pPr>
        <w:rPr>
          <w:lang w:val="en-SG"/>
        </w:rPr>
      </w:pPr>
      <w:r w:rsidRPr="002A47C2">
        <w:rPr>
          <w:lang w:val="en-SG"/>
        </w:rPr>
        <w:lastRenderedPageBreak/>
        <w:t xml:space="preserve">World Economic Forum. (2022). </w:t>
      </w:r>
      <w:r w:rsidRPr="002A47C2">
        <w:rPr>
          <w:i/>
          <w:iCs/>
          <w:lang w:val="en-SG"/>
        </w:rPr>
        <w:t>Global Gender Gap Report.</w:t>
      </w:r>
    </w:p>
    <w:p w14:paraId="4D7973B9" w14:textId="15EAB1E6" w:rsidR="002A47C2" w:rsidRPr="002A47C2" w:rsidRDefault="002A47C2" w:rsidP="002A47C2">
      <w:pPr>
        <w:rPr>
          <w:lang w:val="en-SG"/>
        </w:rPr>
      </w:pPr>
      <w:r w:rsidRPr="002A47C2">
        <w:rPr>
          <w:lang w:val="en-SG"/>
        </w:rPr>
        <w:t xml:space="preserve">Institute for Diversity and Ethics in Sport (TIDES). (2023). </w:t>
      </w:r>
      <w:r w:rsidRPr="002A47C2">
        <w:rPr>
          <w:i/>
          <w:iCs/>
          <w:lang w:val="en-SG"/>
        </w:rPr>
        <w:t>Diversity and Inclusion Progress in Sports.</w:t>
      </w:r>
    </w:p>
    <w:p w14:paraId="475955A0" w14:textId="052D1F48" w:rsidR="002A47C2" w:rsidRPr="002A47C2" w:rsidRDefault="002A47C2" w:rsidP="002A47C2">
      <w:pPr>
        <w:rPr>
          <w:lang w:val="en-SG"/>
        </w:rPr>
      </w:pPr>
      <w:r w:rsidRPr="002A47C2">
        <w:rPr>
          <w:lang w:val="en-SG"/>
        </w:rPr>
        <w:t xml:space="preserve">Forbes Insights. (2022). </w:t>
      </w:r>
      <w:r w:rsidRPr="002A47C2">
        <w:rPr>
          <w:i/>
          <w:iCs/>
          <w:lang w:val="en-SG"/>
        </w:rPr>
        <w:t>Diversity and Inclusion: Driving Workplace Innovation.</w:t>
      </w:r>
    </w:p>
    <w:p w14:paraId="4936B7A9" w14:textId="5CF03802" w:rsidR="002A47C2" w:rsidRPr="002A47C2" w:rsidRDefault="002A47C2" w:rsidP="002A47C2">
      <w:pPr>
        <w:rPr>
          <w:lang w:val="en-SG"/>
        </w:rPr>
      </w:pPr>
      <w:r w:rsidRPr="002A47C2">
        <w:rPr>
          <w:lang w:val="en-SG"/>
        </w:rPr>
        <w:t xml:space="preserve">Diversity Best Practices. (2023). </w:t>
      </w:r>
      <w:r w:rsidRPr="002A47C2">
        <w:rPr>
          <w:i/>
          <w:iCs/>
          <w:lang w:val="en-SG"/>
        </w:rPr>
        <w:t>Best Practices in Corporate Inclusion.</w:t>
      </w:r>
    </w:p>
    <w:p w14:paraId="5330B4BF" w14:textId="2DF58BB6" w:rsidR="002A47C2" w:rsidRPr="002A47C2" w:rsidRDefault="002A47C2" w:rsidP="002A47C2">
      <w:pPr>
        <w:rPr>
          <w:lang w:val="en-SG"/>
        </w:rPr>
      </w:pPr>
      <w:r w:rsidRPr="002A47C2">
        <w:rPr>
          <w:lang w:val="en-SG"/>
        </w:rPr>
        <w:t xml:space="preserve">Society for Human Resource Management (SHRM). (2024). </w:t>
      </w:r>
      <w:r w:rsidRPr="002A47C2">
        <w:rPr>
          <w:i/>
          <w:iCs/>
          <w:lang w:val="en-SG"/>
        </w:rPr>
        <w:t>The Evolution of DEI Programs.</w:t>
      </w:r>
    </w:p>
    <w:p w14:paraId="0E92E1E0" w14:textId="5009BE2F" w:rsidR="002A47C2" w:rsidRPr="002A47C2" w:rsidRDefault="002A47C2" w:rsidP="002A47C2">
      <w:pPr>
        <w:rPr>
          <w:lang w:val="en-SG"/>
        </w:rPr>
      </w:pPr>
      <w:r w:rsidRPr="002A47C2">
        <w:rPr>
          <w:lang w:val="en-SG"/>
        </w:rPr>
        <w:t xml:space="preserve">British Event Professionals. (2023). </w:t>
      </w:r>
      <w:r w:rsidRPr="002A47C2">
        <w:rPr>
          <w:i/>
          <w:iCs/>
          <w:lang w:val="en-SG"/>
        </w:rPr>
        <w:t>Sustainable and Inclusive Event Design.</w:t>
      </w:r>
    </w:p>
    <w:p w14:paraId="7C8E8194" w14:textId="37A096F0" w:rsidR="002A47C2" w:rsidRDefault="002A47C2" w:rsidP="002A47C2">
      <w:r w:rsidRPr="002A47C2">
        <w:rPr>
          <w:lang w:val="en-SG"/>
        </w:rPr>
        <w:t xml:space="preserve">UN Global Compact. (2023). </w:t>
      </w:r>
      <w:r w:rsidRPr="002A47C2">
        <w:rPr>
          <w:i/>
          <w:iCs/>
          <w:lang w:val="en-SG"/>
        </w:rPr>
        <w:t>The SDGs and Inclusive Workplaces.</w:t>
      </w:r>
    </w:p>
    <w:sectPr w:rsidR="002A47C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73C4E9" w14:textId="77777777" w:rsidR="00701C47" w:rsidRDefault="00701C47" w:rsidP="008C7FEB">
      <w:pPr>
        <w:spacing w:after="0" w:line="240" w:lineRule="auto"/>
      </w:pPr>
      <w:r>
        <w:separator/>
      </w:r>
    </w:p>
  </w:endnote>
  <w:endnote w:type="continuationSeparator" w:id="0">
    <w:p w14:paraId="4D1AEEDF" w14:textId="77777777" w:rsidR="00701C47" w:rsidRDefault="00701C47" w:rsidP="008C7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8461802"/>
      <w:docPartObj>
        <w:docPartGallery w:val="Page Numbers (Bottom of Page)"/>
        <w:docPartUnique/>
      </w:docPartObj>
    </w:sdtPr>
    <w:sdtEndPr>
      <w:rPr>
        <w:color w:val="7F7F7F" w:themeColor="background1" w:themeShade="7F"/>
        <w:spacing w:val="60"/>
      </w:rPr>
    </w:sdtEndPr>
    <w:sdtContent>
      <w:p w14:paraId="61A27422" w14:textId="6703FF19" w:rsidR="008C7FEB" w:rsidRDefault="008C7FE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723CFA" w14:textId="77777777" w:rsidR="008C7FEB" w:rsidRDefault="008C7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E4F41" w14:textId="77777777" w:rsidR="00701C47" w:rsidRDefault="00701C47" w:rsidP="008C7FEB">
      <w:pPr>
        <w:spacing w:after="0" w:line="240" w:lineRule="auto"/>
      </w:pPr>
      <w:r>
        <w:separator/>
      </w:r>
    </w:p>
  </w:footnote>
  <w:footnote w:type="continuationSeparator" w:id="0">
    <w:p w14:paraId="566DEE45" w14:textId="77777777" w:rsidR="00701C47" w:rsidRDefault="00701C47" w:rsidP="008C7F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C7F5F"/>
    <w:multiLevelType w:val="hybridMultilevel"/>
    <w:tmpl w:val="F71A4178"/>
    <w:lvl w:ilvl="0" w:tplc="3EB04BA2">
      <w:numFmt w:val="bullet"/>
      <w:lvlText w:val=""/>
      <w:lvlJc w:val="left"/>
      <w:pPr>
        <w:ind w:left="720" w:hanging="360"/>
      </w:pPr>
      <w:rPr>
        <w:rFonts w:ascii="Times New Roman" w:eastAsiaTheme="minorHAnsi" w:hAnsi="Times New Roman" w:cs="Times New Roman"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3A1A2D45"/>
    <w:multiLevelType w:val="hybridMultilevel"/>
    <w:tmpl w:val="C374B24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476915952">
    <w:abstractNumId w:val="1"/>
  </w:num>
  <w:num w:numId="2" w16cid:durableId="1853640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7C2"/>
    <w:rsid w:val="00071D7D"/>
    <w:rsid w:val="0009660C"/>
    <w:rsid w:val="001A1004"/>
    <w:rsid w:val="00260B00"/>
    <w:rsid w:val="00276239"/>
    <w:rsid w:val="002A47C2"/>
    <w:rsid w:val="0032068E"/>
    <w:rsid w:val="00351E3A"/>
    <w:rsid w:val="003A5534"/>
    <w:rsid w:val="003C018C"/>
    <w:rsid w:val="003F2DBC"/>
    <w:rsid w:val="00512F6C"/>
    <w:rsid w:val="005616AD"/>
    <w:rsid w:val="00701C47"/>
    <w:rsid w:val="00707B50"/>
    <w:rsid w:val="0078611C"/>
    <w:rsid w:val="007D7D2B"/>
    <w:rsid w:val="008C7FEB"/>
    <w:rsid w:val="00922B1D"/>
    <w:rsid w:val="009C69BF"/>
    <w:rsid w:val="00A1461C"/>
    <w:rsid w:val="00A51C89"/>
    <w:rsid w:val="00B62765"/>
    <w:rsid w:val="00CD2966"/>
    <w:rsid w:val="00EC3FCF"/>
    <w:rsid w:val="00F738CD"/>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D551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61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51E3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461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5616AD"/>
    <w:pPr>
      <w:keepNext/>
      <w:keepLines/>
      <w:spacing w:before="40" w:after="0" w:line="480" w:lineRule="auto"/>
      <w:outlineLvl w:val="2"/>
    </w:pPr>
    <w:rPr>
      <w:rFonts w:eastAsiaTheme="majorEastAsia" w:cstheme="majorBidi"/>
      <w:color w:val="1F3763" w:themeColor="accent1" w:themeShade="7F"/>
      <w:szCs w:val="24"/>
    </w:rPr>
  </w:style>
  <w:style w:type="paragraph" w:styleId="Heading4">
    <w:name w:val="heading 4"/>
    <w:basedOn w:val="Normal"/>
    <w:link w:val="Heading4Char"/>
    <w:uiPriority w:val="9"/>
    <w:unhideWhenUsed/>
    <w:qFormat/>
    <w:rsid w:val="00260B00"/>
    <w:pPr>
      <w:widowControl w:val="0"/>
      <w:autoSpaceDE w:val="0"/>
      <w:autoSpaceDN w:val="0"/>
      <w:spacing w:before="160" w:after="0"/>
      <w:ind w:left="100"/>
      <w:outlineLvl w:val="3"/>
    </w:pPr>
    <w:rPr>
      <w:rFonts w:eastAsia="Times New Roman" w:cs="Times New Roman"/>
      <w:b/>
      <w:bCs/>
      <w:kern w:val="0"/>
      <w:szCs w:val="24"/>
      <w:lang w:val="en-US"/>
      <w14:ligatures w14:val="none"/>
    </w:rPr>
  </w:style>
  <w:style w:type="paragraph" w:styleId="Heading5">
    <w:name w:val="heading 5"/>
    <w:basedOn w:val="Normal"/>
    <w:next w:val="Normal"/>
    <w:link w:val="Heading5Char"/>
    <w:uiPriority w:val="9"/>
    <w:semiHidden/>
    <w:unhideWhenUsed/>
    <w:qFormat/>
    <w:rsid w:val="002A47C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A47C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A47C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A47C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A47C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E3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A1461C"/>
    <w:rPr>
      <w:rFonts w:ascii="Times New Roman" w:eastAsiaTheme="majorEastAsia" w:hAnsi="Times New Roman" w:cstheme="majorBidi"/>
      <w:color w:val="2F5496" w:themeColor="accent1" w:themeShade="BF"/>
      <w:sz w:val="28"/>
      <w:szCs w:val="26"/>
      <w:lang w:val="en-GB"/>
    </w:rPr>
  </w:style>
  <w:style w:type="character" w:customStyle="1" w:styleId="Heading3Char">
    <w:name w:val="Heading 3 Char"/>
    <w:basedOn w:val="DefaultParagraphFont"/>
    <w:link w:val="Heading3"/>
    <w:uiPriority w:val="9"/>
    <w:rsid w:val="005616AD"/>
    <w:rPr>
      <w:rFonts w:ascii="Times New Roman" w:eastAsiaTheme="majorEastAsia" w:hAnsi="Times New Roman"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260B00"/>
    <w:rPr>
      <w:rFonts w:ascii="Times New Roman" w:eastAsia="Times New Roman" w:hAnsi="Times New Roman" w:cs="Times New Roman"/>
      <w:b/>
      <w:bCs/>
      <w:kern w:val="0"/>
      <w:sz w:val="24"/>
      <w:szCs w:val="24"/>
      <w:lang w:val="en-US"/>
      <w14:ligatures w14:val="none"/>
    </w:rPr>
  </w:style>
  <w:style w:type="character" w:customStyle="1" w:styleId="Heading5Char">
    <w:name w:val="Heading 5 Char"/>
    <w:basedOn w:val="DefaultParagraphFont"/>
    <w:link w:val="Heading5"/>
    <w:uiPriority w:val="9"/>
    <w:semiHidden/>
    <w:rsid w:val="002A47C2"/>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2A47C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2A47C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2A47C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2A47C2"/>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2A47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7C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A47C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7C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A47C2"/>
    <w:pPr>
      <w:spacing w:before="160"/>
      <w:jc w:val="center"/>
    </w:pPr>
    <w:rPr>
      <w:i/>
      <w:iCs/>
      <w:color w:val="404040" w:themeColor="text1" w:themeTint="BF"/>
    </w:rPr>
  </w:style>
  <w:style w:type="character" w:customStyle="1" w:styleId="QuoteChar">
    <w:name w:val="Quote Char"/>
    <w:basedOn w:val="DefaultParagraphFont"/>
    <w:link w:val="Quote"/>
    <w:uiPriority w:val="29"/>
    <w:rsid w:val="002A47C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2A47C2"/>
    <w:pPr>
      <w:ind w:left="720"/>
      <w:contextualSpacing/>
    </w:pPr>
  </w:style>
  <w:style w:type="character" w:styleId="IntenseEmphasis">
    <w:name w:val="Intense Emphasis"/>
    <w:basedOn w:val="DefaultParagraphFont"/>
    <w:uiPriority w:val="21"/>
    <w:qFormat/>
    <w:rsid w:val="002A47C2"/>
    <w:rPr>
      <w:i/>
      <w:iCs/>
      <w:color w:val="2F5496" w:themeColor="accent1" w:themeShade="BF"/>
    </w:rPr>
  </w:style>
  <w:style w:type="paragraph" w:styleId="IntenseQuote">
    <w:name w:val="Intense Quote"/>
    <w:basedOn w:val="Normal"/>
    <w:next w:val="Normal"/>
    <w:link w:val="IntenseQuoteChar"/>
    <w:uiPriority w:val="30"/>
    <w:qFormat/>
    <w:rsid w:val="002A47C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A47C2"/>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2A47C2"/>
    <w:rPr>
      <w:b/>
      <w:bCs/>
      <w:smallCaps/>
      <w:color w:val="2F5496" w:themeColor="accent1" w:themeShade="BF"/>
      <w:spacing w:val="5"/>
    </w:rPr>
  </w:style>
  <w:style w:type="paragraph" w:styleId="Header">
    <w:name w:val="header"/>
    <w:basedOn w:val="Normal"/>
    <w:link w:val="HeaderChar"/>
    <w:uiPriority w:val="99"/>
    <w:unhideWhenUsed/>
    <w:rsid w:val="008C7F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FEB"/>
    <w:rPr>
      <w:rFonts w:ascii="Times New Roman" w:hAnsi="Times New Roman"/>
      <w:sz w:val="24"/>
      <w:lang w:val="en-GB"/>
    </w:rPr>
  </w:style>
  <w:style w:type="paragraph" w:styleId="Footer">
    <w:name w:val="footer"/>
    <w:basedOn w:val="Normal"/>
    <w:link w:val="FooterChar"/>
    <w:uiPriority w:val="99"/>
    <w:unhideWhenUsed/>
    <w:rsid w:val="008C7F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FEB"/>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8298374">
      <w:bodyDiv w:val="1"/>
      <w:marLeft w:val="0"/>
      <w:marRight w:val="0"/>
      <w:marTop w:val="0"/>
      <w:marBottom w:val="0"/>
      <w:divBdr>
        <w:top w:val="none" w:sz="0" w:space="0" w:color="auto"/>
        <w:left w:val="none" w:sz="0" w:space="0" w:color="auto"/>
        <w:bottom w:val="none" w:sz="0" w:space="0" w:color="auto"/>
        <w:right w:val="none" w:sz="0" w:space="0" w:color="auto"/>
      </w:divBdr>
    </w:div>
    <w:div w:id="211721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1800</Words>
  <Characters>10261</Characters>
  <Application>Microsoft Office Word</Application>
  <DocSecurity>0</DocSecurity>
  <Lines>85</Lines>
  <Paragraphs>24</Paragraphs>
  <ScaleCrop>false</ScaleCrop>
  <Company/>
  <LinksUpToDate>false</LinksUpToDate>
  <CharactersWithSpaces>12037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2025-01-27T08:07:00Z</dcterms:created>
  <dcterms:modified xsi:type="dcterms:W3CDTF">2025-02-03T16:40:00Z</dcterms:modified>
</cp:coreProperties>
</file>