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902109" w14:textId="77777777" w:rsidR="00DA29AF" w:rsidRDefault="00AF4788" w:rsidP="00AF4788">
      <w:pPr>
        <w:jc w:val="right"/>
        <w:rPr>
          <w:u w:val="single"/>
        </w:rPr>
      </w:pPr>
      <w:r>
        <w:rPr>
          <w:u w:val="single"/>
        </w:rPr>
        <w:t>Laura Jane Evans</w:t>
      </w:r>
    </w:p>
    <w:p w14:paraId="625008C5" w14:textId="77777777" w:rsidR="00AF4788" w:rsidRDefault="00AF4788" w:rsidP="00AF4788">
      <w:pPr>
        <w:jc w:val="right"/>
        <w:rPr>
          <w:u w:val="single"/>
        </w:rPr>
      </w:pPr>
      <w:r>
        <w:rPr>
          <w:u w:val="single"/>
        </w:rPr>
        <w:t>Death and Dying: HPHI5013</w:t>
      </w:r>
    </w:p>
    <w:p w14:paraId="336D57BE" w14:textId="77777777" w:rsidR="00AF4788" w:rsidRDefault="00AF4788" w:rsidP="00AF4788">
      <w:pPr>
        <w:jc w:val="right"/>
        <w:rPr>
          <w:u w:val="single"/>
        </w:rPr>
      </w:pPr>
      <w:r>
        <w:rPr>
          <w:u w:val="single"/>
        </w:rPr>
        <w:t>Image Portfolio</w:t>
      </w:r>
    </w:p>
    <w:p w14:paraId="04CBD644" w14:textId="77777777" w:rsidR="00AF4788" w:rsidRDefault="00AF4788" w:rsidP="00AF4788">
      <w:pPr>
        <w:jc w:val="right"/>
        <w:rPr>
          <w:u w:val="single"/>
        </w:rPr>
      </w:pPr>
    </w:p>
    <w:p w14:paraId="1AE791B2" w14:textId="77777777" w:rsidR="00AF4788" w:rsidRDefault="000E56B7" w:rsidP="00AF4788">
      <w:r>
        <w:t xml:space="preserve">The image I will be analysing is </w:t>
      </w:r>
      <w:r w:rsidR="00CB684F">
        <w:t xml:space="preserve">the tomb </w:t>
      </w:r>
      <w:r>
        <w:t xml:space="preserve">of </w:t>
      </w:r>
      <w:r w:rsidR="005625C7">
        <w:t xml:space="preserve">John </w:t>
      </w:r>
      <w:proofErr w:type="spellStart"/>
      <w:r w:rsidR="005625C7">
        <w:t>Fitz</w:t>
      </w:r>
      <w:r w:rsidR="00C85A56">
        <w:t>a</w:t>
      </w:r>
      <w:r w:rsidR="005625C7">
        <w:t>lan</w:t>
      </w:r>
      <w:proofErr w:type="spellEnd"/>
      <w:r w:rsidR="005625C7">
        <w:t xml:space="preserve">, the fourteenth Earl of Arundel. The monument can be found in the </w:t>
      </w:r>
      <w:proofErr w:type="spellStart"/>
      <w:r w:rsidR="005625C7">
        <w:t>Fitz</w:t>
      </w:r>
      <w:r w:rsidR="00C85A56">
        <w:t>a</w:t>
      </w:r>
      <w:r w:rsidR="005625C7">
        <w:t>lan</w:t>
      </w:r>
      <w:proofErr w:type="spellEnd"/>
      <w:r w:rsidR="005625C7">
        <w:t xml:space="preserve"> Chapel in West Sussex. </w:t>
      </w:r>
      <w:r w:rsidR="00EC2AE8">
        <w:t>He was most remembered for his military prowess and his role in defending Henry VI’s interests in France, holding a series of regional commands in Northern France.</w:t>
      </w:r>
      <w:r w:rsidR="00EC2AE8">
        <w:rPr>
          <w:rStyle w:val="FootnoteReference"/>
        </w:rPr>
        <w:footnoteReference w:id="1"/>
      </w:r>
      <w:r w:rsidR="00A13E1A">
        <w:t xml:space="preserve"> John </w:t>
      </w:r>
      <w:proofErr w:type="spellStart"/>
      <w:r w:rsidR="00A13E1A">
        <w:t>Fitz</w:t>
      </w:r>
      <w:r w:rsidR="00C85A56">
        <w:t>a</w:t>
      </w:r>
      <w:r w:rsidR="00A13E1A">
        <w:t>lan</w:t>
      </w:r>
      <w:proofErr w:type="spellEnd"/>
      <w:r w:rsidR="00A13E1A">
        <w:t xml:space="preserve"> was shot in the foot while leading an attack on the fortress of </w:t>
      </w:r>
      <w:proofErr w:type="spellStart"/>
      <w:r w:rsidR="00A13E1A">
        <w:t>Gerberoy</w:t>
      </w:r>
      <w:proofErr w:type="spellEnd"/>
      <w:r w:rsidR="00A13E1A">
        <w:t xml:space="preserve"> in 1434, taken prisoner and later died of his injuries.</w:t>
      </w:r>
      <w:r w:rsidR="00A13E1A">
        <w:rPr>
          <w:rStyle w:val="FootnoteReference"/>
        </w:rPr>
        <w:footnoteReference w:id="2"/>
      </w:r>
      <w:r w:rsidR="00A13E1A">
        <w:t xml:space="preserve"> </w:t>
      </w:r>
      <w:r w:rsidR="00D95FBB">
        <w:t xml:space="preserve">His bones were later retrieved </w:t>
      </w:r>
      <w:r w:rsidR="00C85A56">
        <w:t xml:space="preserve">by </w:t>
      </w:r>
      <w:proofErr w:type="spellStart"/>
      <w:r w:rsidR="00C85A56">
        <w:t>Fulk</w:t>
      </w:r>
      <w:proofErr w:type="spellEnd"/>
      <w:r w:rsidR="00C85A56">
        <w:t xml:space="preserve"> </w:t>
      </w:r>
      <w:proofErr w:type="spellStart"/>
      <w:r w:rsidR="00C85A56">
        <w:t>Eyton</w:t>
      </w:r>
      <w:proofErr w:type="spellEnd"/>
      <w:r w:rsidR="00C85A56">
        <w:t xml:space="preserve"> on the request of William </w:t>
      </w:r>
      <w:proofErr w:type="spellStart"/>
      <w:r w:rsidR="00C85A56">
        <w:t>Fitzalan</w:t>
      </w:r>
      <w:proofErr w:type="spellEnd"/>
      <w:r w:rsidR="00982356">
        <w:t xml:space="preserve">, his brother and heir, </w:t>
      </w:r>
      <w:r w:rsidR="00C85A56">
        <w:t xml:space="preserve"> around 1450.</w:t>
      </w:r>
      <w:r w:rsidR="00C85A56">
        <w:rPr>
          <w:rStyle w:val="FootnoteReference"/>
        </w:rPr>
        <w:footnoteReference w:id="3"/>
      </w:r>
      <w:r w:rsidR="00C85A56">
        <w:t xml:space="preserve"> </w:t>
      </w:r>
    </w:p>
    <w:p w14:paraId="40CD2CD6" w14:textId="77777777" w:rsidR="00982356" w:rsidRDefault="00982356" w:rsidP="00AF4788">
      <w:r>
        <w:tab/>
      </w:r>
      <w:r w:rsidR="0037028A">
        <w:t xml:space="preserve">His tomb is called a double decker tomb, with an effigy of the individual on top and a cadaver placed underneath. Ernest </w:t>
      </w:r>
      <w:proofErr w:type="spellStart"/>
      <w:r w:rsidR="0037028A">
        <w:t>Kantorowicz</w:t>
      </w:r>
      <w:proofErr w:type="spellEnd"/>
      <w:r w:rsidR="0037028A">
        <w:t xml:space="preserve"> developed the theory that the double representation of the deceased represented two aspects of the owner: his status of the individual and the morality of that individual.</w:t>
      </w:r>
      <w:r w:rsidR="0037028A">
        <w:rPr>
          <w:rStyle w:val="FootnoteReference"/>
        </w:rPr>
        <w:footnoteReference w:id="4"/>
      </w:r>
      <w:r w:rsidR="001216C8">
        <w:t xml:space="preserve"> The effigy of John </w:t>
      </w:r>
      <w:proofErr w:type="spellStart"/>
      <w:r w:rsidR="001216C8">
        <w:t>Fitzalan</w:t>
      </w:r>
      <w:proofErr w:type="spellEnd"/>
      <w:r w:rsidR="000219D0">
        <w:t xml:space="preserve"> is</w:t>
      </w:r>
      <w:r w:rsidR="001216C8">
        <w:t xml:space="preserve"> in full plate armour, wearing a Lancastrian collar of SS</w:t>
      </w:r>
      <w:r w:rsidR="000C6C4B">
        <w:t>.</w:t>
      </w:r>
      <w:r w:rsidR="000219D0">
        <w:rPr>
          <w:rStyle w:val="FootnoteReference"/>
        </w:rPr>
        <w:footnoteReference w:id="5"/>
      </w:r>
      <w:r w:rsidR="00723335">
        <w:t xml:space="preserve"> In the fifteenth century the Livery collar was regarded as a symbol of royal power and often associated the individual with the king.</w:t>
      </w:r>
      <w:r w:rsidR="00723335">
        <w:rPr>
          <w:rStyle w:val="FootnoteReference"/>
        </w:rPr>
        <w:footnoteReference w:id="6"/>
      </w:r>
      <w:r w:rsidR="00723335">
        <w:t xml:space="preserve"> Although many historians have stated that the collars were statements of political loyalties to Lancaster or York, Ward believes they are symbols of loyalty to the crown and loyalty on the battlefield.</w:t>
      </w:r>
      <w:r w:rsidR="00723335">
        <w:rPr>
          <w:rStyle w:val="FootnoteReference"/>
        </w:rPr>
        <w:footnoteReference w:id="7"/>
      </w:r>
      <w:r w:rsidR="00723335">
        <w:t xml:space="preserve"> </w:t>
      </w:r>
      <w:r w:rsidR="00EF7C21">
        <w:t xml:space="preserve">The effigy of John </w:t>
      </w:r>
      <w:proofErr w:type="spellStart"/>
      <w:r w:rsidR="00EF7C21">
        <w:t>Fitzalan</w:t>
      </w:r>
      <w:proofErr w:type="spellEnd"/>
      <w:r w:rsidR="00EF7C21">
        <w:t xml:space="preserve"> dressed in full armour not only emphasises his skills at war but also represents his death in a way since he died as a warrior in enemy lands</w:t>
      </w:r>
      <w:r w:rsidR="00001A4F">
        <w:t xml:space="preserve"> who was loyal to the end</w:t>
      </w:r>
      <w:r w:rsidR="00EF7C21">
        <w:t xml:space="preserve">. </w:t>
      </w:r>
      <w:r w:rsidR="00934F69">
        <w:t xml:space="preserve">The head of the effigy is supported by two angels and at his feet rests a horse, the badge of the </w:t>
      </w:r>
      <w:proofErr w:type="spellStart"/>
      <w:r w:rsidR="00934F69">
        <w:t>Fitzalan</w:t>
      </w:r>
      <w:proofErr w:type="spellEnd"/>
      <w:r w:rsidR="00934F69">
        <w:t xml:space="preserve"> family.</w:t>
      </w:r>
      <w:r w:rsidR="00934F69">
        <w:rPr>
          <w:rStyle w:val="FootnoteReference"/>
        </w:rPr>
        <w:footnoteReference w:id="8"/>
      </w:r>
      <w:r w:rsidR="00001A4F">
        <w:t xml:space="preserve"> </w:t>
      </w:r>
      <w:r w:rsidR="00885927">
        <w:t xml:space="preserve">The angels could represent his soul passing on </w:t>
      </w:r>
      <w:r w:rsidR="00E95604">
        <w:t xml:space="preserve">to purgatory while his body remains in wait for the resurrection. </w:t>
      </w:r>
    </w:p>
    <w:p w14:paraId="1A3DD90C" w14:textId="77777777" w:rsidR="002D2483" w:rsidRDefault="00E95604" w:rsidP="00AF4788">
      <w:r>
        <w:tab/>
        <w:t>While his effigy reminds the viewer of his deeds and of his family, none of this can be seen on the cadaver underneath. The cadaver is not entirely decayed yet, the skin is stretched taut over the bones and sinews and its ribs are jutting out from its chest.</w:t>
      </w:r>
      <w:r>
        <w:rPr>
          <w:rStyle w:val="FootnoteReference"/>
        </w:rPr>
        <w:footnoteReference w:id="9"/>
      </w:r>
      <w:r>
        <w:t xml:space="preserve"> Its mouth and eyes are partially open, leaving a connection between the viewer and the cadaver as if it any moment it will speak.</w:t>
      </w:r>
      <w:r>
        <w:rPr>
          <w:rStyle w:val="FootnoteReference"/>
        </w:rPr>
        <w:footnoteReference w:id="10"/>
      </w:r>
      <w:r>
        <w:t xml:space="preserve"> </w:t>
      </w:r>
      <w:r w:rsidR="00B30CF8">
        <w:t xml:space="preserve">The cadaver hints slightly at the condition John </w:t>
      </w:r>
      <w:proofErr w:type="spellStart"/>
      <w:r w:rsidR="00B30CF8">
        <w:t>Fitzalan’s</w:t>
      </w:r>
      <w:proofErr w:type="spellEnd"/>
      <w:r w:rsidR="00B30CF8">
        <w:t xml:space="preserve"> remains when brought back to England. Barker comments on how the cadaver is pulling the shroud over its groin, </w:t>
      </w:r>
      <w:r w:rsidR="002D2483">
        <w:t>initially thought to be protecting its</w:t>
      </w:r>
      <w:r w:rsidR="00B30CF8">
        <w:t xml:space="preserve"> modesty, but it could possible symbolise the amputation of his injured foot performed by the French</w:t>
      </w:r>
      <w:r w:rsidR="002D2483">
        <w:t xml:space="preserve"> which </w:t>
      </w:r>
      <w:r w:rsidR="00B30CF8">
        <w:t>proved fatal.</w:t>
      </w:r>
      <w:r w:rsidR="00B30CF8">
        <w:rPr>
          <w:rStyle w:val="FootnoteReference"/>
        </w:rPr>
        <w:footnoteReference w:id="11"/>
      </w:r>
      <w:r w:rsidR="002652EE">
        <w:t xml:space="preserve"> </w:t>
      </w:r>
      <w:r w:rsidR="00AF564D">
        <w:t>This could have been done in the effort to console</w:t>
      </w:r>
      <w:r w:rsidR="002D2483">
        <w:t xml:space="preserve"> the</w:t>
      </w:r>
      <w:r w:rsidR="00AF564D">
        <w:t xml:space="preserve"> family </w:t>
      </w:r>
      <w:r w:rsidR="00AF564D">
        <w:lastRenderedPageBreak/>
        <w:t>members who were forced to grieve without a body.</w:t>
      </w:r>
      <w:r w:rsidR="00AF564D">
        <w:rPr>
          <w:rStyle w:val="FootnoteReference"/>
        </w:rPr>
        <w:footnoteReference w:id="12"/>
      </w:r>
      <w:r w:rsidR="00AF564D">
        <w:t xml:space="preserve"> Cadaver tombs presented the viewer with a warning against pride, they depicted the ultimate fate of the human body as opposed to the immortal soul.</w:t>
      </w:r>
      <w:r w:rsidR="00AF564D">
        <w:rPr>
          <w:rStyle w:val="FootnoteReference"/>
        </w:rPr>
        <w:footnoteReference w:id="13"/>
      </w:r>
      <w:r w:rsidR="00AF564D">
        <w:t xml:space="preserve"> John </w:t>
      </w:r>
      <w:proofErr w:type="spellStart"/>
      <w:r w:rsidR="00AF564D">
        <w:t>Fitzalan</w:t>
      </w:r>
      <w:proofErr w:type="spellEnd"/>
      <w:r w:rsidR="00AF564D">
        <w:t xml:space="preserve"> arrogantly refused treatment from his enemy</w:t>
      </w:r>
      <w:r w:rsidR="008046DC">
        <w:t xml:space="preserve"> and his pride is what eventually led to his leg being amputated and his death.</w:t>
      </w:r>
      <w:r w:rsidR="008046DC">
        <w:rPr>
          <w:rStyle w:val="FootnoteReference"/>
        </w:rPr>
        <w:footnoteReference w:id="14"/>
      </w:r>
      <w:r w:rsidR="008046DC">
        <w:t xml:space="preserve"> The displaying of the cadaver is similar to that of the bodies of saints. The open arcades allow the viewer to clearly see the cadaver, perhaps </w:t>
      </w:r>
      <w:r w:rsidR="00187787">
        <w:t>to</w:t>
      </w:r>
      <w:r w:rsidR="008046DC">
        <w:t xml:space="preserve"> appear pious, and humble like the examples set by saints.</w:t>
      </w:r>
      <w:r w:rsidR="008046DC">
        <w:rPr>
          <w:rStyle w:val="FootnoteReference"/>
        </w:rPr>
        <w:footnoteReference w:id="15"/>
      </w:r>
      <w:r w:rsidR="008046DC">
        <w:t xml:space="preserve">  </w:t>
      </w:r>
      <w:r w:rsidR="00187787">
        <w:t xml:space="preserve">Displaying the corrupting corpse of the individual in a similar fashion as saints emphasises the corruption of the body through sin. In many </w:t>
      </w:r>
      <w:r w:rsidR="002D2483">
        <w:t>saints’</w:t>
      </w:r>
      <w:r w:rsidR="00187787">
        <w:t xml:space="preserve"> lives, when the body of the saint is exhumed it is discovered that the body is uncorrupted </w:t>
      </w:r>
      <w:proofErr w:type="gramStart"/>
      <w:r w:rsidR="00187787">
        <w:t>and also</w:t>
      </w:r>
      <w:proofErr w:type="gramEnd"/>
      <w:r w:rsidR="00187787">
        <w:t xml:space="preserve"> sweet smelling.</w:t>
      </w:r>
      <w:r w:rsidR="00187787">
        <w:rPr>
          <w:rStyle w:val="FootnoteReference"/>
        </w:rPr>
        <w:footnoteReference w:id="16"/>
      </w:r>
      <w:r w:rsidR="002D2483">
        <w:t xml:space="preserve"> However, John </w:t>
      </w:r>
      <w:proofErr w:type="spellStart"/>
      <w:r w:rsidR="002D2483">
        <w:t>Fitzalan</w:t>
      </w:r>
      <w:proofErr w:type="spellEnd"/>
      <w:r w:rsidR="002D2483">
        <w:t xml:space="preserve"> was a knight which required him to kill and therefore commit sins that he would later atone for in purgatory, so his corpse is shown to be corrupted. </w:t>
      </w:r>
    </w:p>
    <w:p w14:paraId="51BC69E4" w14:textId="77777777" w:rsidR="000F7DE3" w:rsidRDefault="002D2483" w:rsidP="002D2483">
      <w:pPr>
        <w:ind w:firstLine="720"/>
      </w:pPr>
      <w:r>
        <w:t>The cadaver shown naked in its shrouds represents mortality, in death everyone is equal regardless of the finery presented on the effigy above.</w:t>
      </w:r>
      <w:r>
        <w:rPr>
          <w:rStyle w:val="FootnoteReference"/>
        </w:rPr>
        <w:footnoteReference w:id="17"/>
      </w:r>
      <w:r>
        <w:t xml:space="preserve"> The double decker tomb also signifies the resurrection, </w:t>
      </w:r>
      <w:r w:rsidR="00836832">
        <w:t>the body will be resurrected as a result of Christ’s victory over death and encourages the viewer to have faith in the resurrection.</w:t>
      </w:r>
      <w:r w:rsidR="00836832">
        <w:rPr>
          <w:rStyle w:val="FootnoteReference"/>
        </w:rPr>
        <w:footnoteReference w:id="18"/>
      </w:r>
      <w:r w:rsidR="00836832">
        <w:t xml:space="preserve"> John </w:t>
      </w:r>
      <w:proofErr w:type="spellStart"/>
      <w:r w:rsidR="00836832">
        <w:t>Fitzalan’s</w:t>
      </w:r>
      <w:proofErr w:type="spellEnd"/>
      <w:r w:rsidR="00836832">
        <w:t xml:space="preserve"> tomb was made without the body, not uncommon in medieval times as they served as a reminder to the owner of their inevitable death and encouraged them to plan a ‘good death’.</w:t>
      </w:r>
      <w:r w:rsidR="00836832">
        <w:rPr>
          <w:rStyle w:val="FootnoteReference"/>
        </w:rPr>
        <w:footnoteReference w:id="19"/>
      </w:r>
      <w:r w:rsidR="00836832">
        <w:t xml:space="preserve"> The Family of John </w:t>
      </w:r>
      <w:proofErr w:type="spellStart"/>
      <w:r w:rsidR="00836832">
        <w:t>Fitzalan</w:t>
      </w:r>
      <w:proofErr w:type="spellEnd"/>
      <w:r w:rsidR="00836832">
        <w:t xml:space="preserve"> may have built the tomb to emphasises the importance of planning and preparing for death. His death was not planned and therefore restricted his efforts in obtaining a ‘good death’ but with a tomb being build regardless of a body allows the family to pray on his behalf until the retrieval of his bones. The tomb not only represents him in death but allows the family to act on his behalf and aid him in the afterlife.</w:t>
      </w:r>
    </w:p>
    <w:p w14:paraId="44372313" w14:textId="77777777" w:rsidR="00221442" w:rsidRDefault="00221442" w:rsidP="002D2483">
      <w:pPr>
        <w:ind w:firstLine="720"/>
      </w:pPr>
    </w:p>
    <w:p w14:paraId="1249622D" w14:textId="77777777" w:rsidR="00221442" w:rsidRPr="00673D2C" w:rsidRDefault="00221442" w:rsidP="002D2483">
      <w:pPr>
        <w:ind w:firstLine="720"/>
        <w:rPr>
          <w:u w:val="single"/>
        </w:rPr>
      </w:pPr>
      <w:r w:rsidRPr="00673D2C">
        <w:rPr>
          <w:u w:val="single"/>
        </w:rPr>
        <w:t xml:space="preserve">Bibliography </w:t>
      </w:r>
    </w:p>
    <w:p w14:paraId="24481CC2" w14:textId="77777777" w:rsidR="00221442" w:rsidRDefault="00221442" w:rsidP="00221442"/>
    <w:p w14:paraId="7D841218" w14:textId="77777777" w:rsidR="00221442" w:rsidRDefault="00221442" w:rsidP="00221442">
      <w:r>
        <w:t xml:space="preserve">Barker, J. ‘Stone </w:t>
      </w:r>
      <w:proofErr w:type="gramStart"/>
      <w:r>
        <w:t>And</w:t>
      </w:r>
      <w:proofErr w:type="gramEnd"/>
      <w:r>
        <w:t xml:space="preserve"> Bones: The Corpse, The Effigy And The Viewer In Late-Medieval Tomb Sculptures’, in Adams, A. Barker, J. (ed.) </w:t>
      </w:r>
      <w:r>
        <w:rPr>
          <w:i/>
        </w:rPr>
        <w:t xml:space="preserve">Revisiting The Monument: Fifty Years Since </w:t>
      </w:r>
      <w:proofErr w:type="spellStart"/>
      <w:r>
        <w:rPr>
          <w:i/>
        </w:rPr>
        <w:t>Pafonsky’s</w:t>
      </w:r>
      <w:proofErr w:type="spellEnd"/>
      <w:r>
        <w:rPr>
          <w:i/>
        </w:rPr>
        <w:t xml:space="preserve"> Tomb Sculpture </w:t>
      </w:r>
      <w:r>
        <w:t xml:space="preserve">(London: The </w:t>
      </w:r>
      <w:proofErr w:type="spellStart"/>
      <w:r>
        <w:t>Courtauld</w:t>
      </w:r>
      <w:proofErr w:type="spellEnd"/>
      <w:r>
        <w:t xml:space="preserve"> Institute Of Art, 2016).</w:t>
      </w:r>
    </w:p>
    <w:p w14:paraId="4EB717D5" w14:textId="77777777" w:rsidR="00221442" w:rsidRDefault="00221442" w:rsidP="00221442"/>
    <w:p w14:paraId="611A1C9F" w14:textId="77777777" w:rsidR="00221442" w:rsidRDefault="00221442" w:rsidP="00221442">
      <w:r>
        <w:t xml:space="preserve">Ward, M. </w:t>
      </w:r>
      <w:r>
        <w:rPr>
          <w:i/>
        </w:rPr>
        <w:t xml:space="preserve">The Livery Collar </w:t>
      </w:r>
      <w:proofErr w:type="gramStart"/>
      <w:r>
        <w:rPr>
          <w:i/>
        </w:rPr>
        <w:t>In</w:t>
      </w:r>
      <w:proofErr w:type="gramEnd"/>
      <w:r>
        <w:rPr>
          <w:i/>
        </w:rPr>
        <w:t xml:space="preserve"> Late Medieval England And Wales: Politics, Identity And Affinity</w:t>
      </w:r>
      <w:r w:rsidR="00FF6F89">
        <w:rPr>
          <w:i/>
        </w:rPr>
        <w:t xml:space="preserve">. </w:t>
      </w:r>
      <w:r w:rsidR="00FF6F89">
        <w:t xml:space="preserve">2016, </w:t>
      </w:r>
      <w:hyperlink r:id="rId6" w:history="1">
        <w:r w:rsidR="00FF6F89" w:rsidRPr="0080186D">
          <w:rPr>
            <w:rStyle w:val="Hyperlink"/>
          </w:rPr>
          <w:t>http://blogs.nottingham.ac.uk/historypastandpresent/2016/07/13/livery-loyalty-medieval-england/</w:t>
        </w:r>
      </w:hyperlink>
      <w:r w:rsidR="00FF6F89">
        <w:t xml:space="preserve"> [Accessed 19</w:t>
      </w:r>
      <w:r w:rsidR="00FF6F89" w:rsidRPr="00FF6F89">
        <w:rPr>
          <w:vertAlign w:val="superscript"/>
        </w:rPr>
        <w:t>th</w:t>
      </w:r>
      <w:r w:rsidR="00FF6F89">
        <w:t xml:space="preserve"> January 2019].</w:t>
      </w:r>
    </w:p>
    <w:p w14:paraId="41C8DC39" w14:textId="77777777" w:rsidR="00FF6F89" w:rsidRDefault="00FF6F89" w:rsidP="00221442"/>
    <w:p w14:paraId="51B55617" w14:textId="77777777" w:rsidR="00FF6F89" w:rsidRDefault="00FF6F89" w:rsidP="00221442">
      <w:r>
        <w:t xml:space="preserve">Cohen, K. </w:t>
      </w:r>
      <w:r>
        <w:rPr>
          <w:i/>
        </w:rPr>
        <w:t xml:space="preserve">Metamorphosis </w:t>
      </w:r>
      <w:proofErr w:type="gramStart"/>
      <w:r>
        <w:rPr>
          <w:i/>
        </w:rPr>
        <w:t>Of</w:t>
      </w:r>
      <w:proofErr w:type="gramEnd"/>
      <w:r>
        <w:rPr>
          <w:i/>
        </w:rPr>
        <w:t xml:space="preserve"> A Death Symbol: The </w:t>
      </w:r>
      <w:proofErr w:type="spellStart"/>
      <w:r>
        <w:rPr>
          <w:i/>
        </w:rPr>
        <w:t>Transi</w:t>
      </w:r>
      <w:proofErr w:type="spellEnd"/>
      <w:r>
        <w:rPr>
          <w:i/>
        </w:rPr>
        <w:t xml:space="preserve">-Tomb In The Late Middle Ages And The Renaissance </w:t>
      </w:r>
      <w:r>
        <w:t>(Berkeley, Los Angeles And London: The University Press Of California Press, 1973).</w:t>
      </w:r>
    </w:p>
    <w:p w14:paraId="34B492F6" w14:textId="77777777" w:rsidR="00FF6F89" w:rsidRDefault="00FF6F89" w:rsidP="00221442"/>
    <w:p w14:paraId="0E76C2B5" w14:textId="77777777" w:rsidR="00FF6F89" w:rsidRPr="00FF6F89" w:rsidRDefault="00FF6F89" w:rsidP="00221442">
      <w:proofErr w:type="spellStart"/>
      <w:r>
        <w:t>Ooosterwijk</w:t>
      </w:r>
      <w:proofErr w:type="spellEnd"/>
      <w:r>
        <w:t xml:space="preserve">, S. ‘Food For Worms-Food For Thought: The Appearance And Interpretation Of The ‘Verminous Cadaver In Britain And Europe’, </w:t>
      </w:r>
      <w:r>
        <w:rPr>
          <w:i/>
        </w:rPr>
        <w:t xml:space="preserve">Church Monuments, </w:t>
      </w:r>
      <w:r>
        <w:t>20 (2005), 44-80, 133-140.</w:t>
      </w:r>
    </w:p>
    <w:p w14:paraId="7D185D56" w14:textId="77777777" w:rsidR="00221442" w:rsidRDefault="00221442" w:rsidP="00221442"/>
    <w:p w14:paraId="2AC1A64D" w14:textId="77777777" w:rsidR="00221442" w:rsidRPr="00221442" w:rsidRDefault="00221442" w:rsidP="00221442"/>
    <w:p w14:paraId="6215ADC4" w14:textId="77777777" w:rsidR="00EF7C21" w:rsidRDefault="00EF7C21" w:rsidP="00AF4788">
      <w:r>
        <w:tab/>
      </w:r>
      <w:bookmarkStart w:id="0" w:name="_GoBack"/>
      <w:bookmarkEnd w:id="0"/>
    </w:p>
    <w:p w14:paraId="74B81137" w14:textId="77777777" w:rsidR="008F47D1" w:rsidRPr="00AF4788" w:rsidRDefault="008F47D1" w:rsidP="00AF4788">
      <w:r>
        <w:tab/>
      </w:r>
    </w:p>
    <w:sectPr w:rsidR="008F47D1" w:rsidRPr="00AF47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7DAB2" w14:textId="77777777" w:rsidR="000D7A30" w:rsidRDefault="000D7A30" w:rsidP="00EC2AE8">
      <w:pPr>
        <w:spacing w:after="0" w:line="240" w:lineRule="auto"/>
      </w:pPr>
      <w:r>
        <w:separator/>
      </w:r>
    </w:p>
  </w:endnote>
  <w:endnote w:type="continuationSeparator" w:id="0">
    <w:p w14:paraId="342B92B6" w14:textId="77777777" w:rsidR="000D7A30" w:rsidRDefault="000D7A30" w:rsidP="00EC2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D0CAA" w14:textId="77777777" w:rsidR="000D7A30" w:rsidRDefault="000D7A30" w:rsidP="00EC2AE8">
      <w:pPr>
        <w:spacing w:after="0" w:line="240" w:lineRule="auto"/>
      </w:pPr>
      <w:r>
        <w:separator/>
      </w:r>
    </w:p>
  </w:footnote>
  <w:footnote w:type="continuationSeparator" w:id="0">
    <w:p w14:paraId="5696B7DF" w14:textId="77777777" w:rsidR="000D7A30" w:rsidRDefault="000D7A30" w:rsidP="00EC2AE8">
      <w:pPr>
        <w:spacing w:after="0" w:line="240" w:lineRule="auto"/>
      </w:pPr>
      <w:r>
        <w:continuationSeparator/>
      </w:r>
    </w:p>
  </w:footnote>
  <w:footnote w:id="1">
    <w:p w14:paraId="73AC7139" w14:textId="77777777" w:rsidR="00EC2AE8" w:rsidRPr="00EC2AE8" w:rsidRDefault="00EC2AE8">
      <w:pPr>
        <w:pStyle w:val="FootnoteText"/>
      </w:pPr>
      <w:r>
        <w:rPr>
          <w:rStyle w:val="FootnoteReference"/>
        </w:rPr>
        <w:footnoteRef/>
      </w:r>
      <w:r>
        <w:t xml:space="preserve"> Jessica Barker, ‘Stone </w:t>
      </w:r>
      <w:proofErr w:type="gramStart"/>
      <w:r>
        <w:t>And</w:t>
      </w:r>
      <w:proofErr w:type="gramEnd"/>
      <w:r>
        <w:t xml:space="preserve"> Bone: The Corpse, The Effigy And The Viewer In Late-Medieval Tomb Sculptures’, in </w:t>
      </w:r>
      <w:r>
        <w:rPr>
          <w:i/>
        </w:rPr>
        <w:t xml:space="preserve">Revisiting The Monument: Fifty Years Since </w:t>
      </w:r>
      <w:proofErr w:type="spellStart"/>
      <w:r>
        <w:rPr>
          <w:i/>
        </w:rPr>
        <w:t>Panofksy’s</w:t>
      </w:r>
      <w:proofErr w:type="spellEnd"/>
      <w:r>
        <w:rPr>
          <w:i/>
        </w:rPr>
        <w:t xml:space="preserve"> Tomb Sculpture, </w:t>
      </w:r>
      <w:r>
        <w:t xml:space="preserve">ed. By Ann Adams, Jessica Barker (London: The </w:t>
      </w:r>
      <w:proofErr w:type="spellStart"/>
      <w:r>
        <w:t>Courtauld</w:t>
      </w:r>
      <w:proofErr w:type="spellEnd"/>
      <w:r>
        <w:t xml:space="preserve"> Institute </w:t>
      </w:r>
      <w:proofErr w:type="gramStart"/>
      <w:r>
        <w:t>Of</w:t>
      </w:r>
      <w:proofErr w:type="gramEnd"/>
      <w:r>
        <w:t xml:space="preserve"> Art, 2016) p. 126.</w:t>
      </w:r>
    </w:p>
  </w:footnote>
  <w:footnote w:id="2">
    <w:p w14:paraId="39809C42" w14:textId="77777777" w:rsidR="00A13E1A" w:rsidRDefault="00A13E1A">
      <w:pPr>
        <w:pStyle w:val="FootnoteText"/>
      </w:pPr>
      <w:r>
        <w:rPr>
          <w:rStyle w:val="FootnoteReference"/>
        </w:rPr>
        <w:footnoteRef/>
      </w:r>
      <w:r>
        <w:t xml:space="preserve"> Barker, p. 126.</w:t>
      </w:r>
    </w:p>
  </w:footnote>
  <w:footnote w:id="3">
    <w:p w14:paraId="15F74FE5" w14:textId="77777777" w:rsidR="00C85A56" w:rsidRDefault="00C85A56">
      <w:pPr>
        <w:pStyle w:val="FootnoteText"/>
      </w:pPr>
      <w:r>
        <w:rPr>
          <w:rStyle w:val="FootnoteReference"/>
        </w:rPr>
        <w:footnoteRef/>
      </w:r>
      <w:r>
        <w:t xml:space="preserve"> Ibid.</w:t>
      </w:r>
    </w:p>
  </w:footnote>
  <w:footnote w:id="4">
    <w:p w14:paraId="4BC0B558" w14:textId="77777777" w:rsidR="0037028A" w:rsidRPr="0037028A" w:rsidRDefault="0037028A">
      <w:pPr>
        <w:pStyle w:val="FootnoteText"/>
      </w:pPr>
      <w:r>
        <w:rPr>
          <w:rStyle w:val="FootnoteReference"/>
        </w:rPr>
        <w:footnoteRef/>
      </w:r>
      <w:r>
        <w:t xml:space="preserve"> Kathleen Cohen, </w:t>
      </w:r>
      <w:r>
        <w:rPr>
          <w:i/>
        </w:rPr>
        <w:t xml:space="preserve">Metamorphosis </w:t>
      </w:r>
      <w:proofErr w:type="gramStart"/>
      <w:r>
        <w:rPr>
          <w:i/>
        </w:rPr>
        <w:t>Of</w:t>
      </w:r>
      <w:proofErr w:type="gramEnd"/>
      <w:r>
        <w:rPr>
          <w:i/>
        </w:rPr>
        <w:t xml:space="preserve"> A Death Symbol: The </w:t>
      </w:r>
      <w:proofErr w:type="spellStart"/>
      <w:r>
        <w:rPr>
          <w:i/>
        </w:rPr>
        <w:t>Transi</w:t>
      </w:r>
      <w:proofErr w:type="spellEnd"/>
      <w:r>
        <w:rPr>
          <w:i/>
        </w:rPr>
        <w:t>-Tomb In The Later Middle Ages And The Renaissance</w:t>
      </w:r>
      <w:r>
        <w:t xml:space="preserve"> (Berkeley, Los Angeles And London: The University Press Of California Press, 1973) p. 40.</w:t>
      </w:r>
    </w:p>
  </w:footnote>
  <w:footnote w:id="5">
    <w:p w14:paraId="3AF9D0CD" w14:textId="77777777" w:rsidR="000219D0" w:rsidRDefault="000219D0">
      <w:pPr>
        <w:pStyle w:val="FootnoteText"/>
      </w:pPr>
      <w:r>
        <w:rPr>
          <w:rStyle w:val="FootnoteReference"/>
        </w:rPr>
        <w:footnoteRef/>
      </w:r>
      <w:r>
        <w:t xml:space="preserve"> Barker, p. 127.</w:t>
      </w:r>
    </w:p>
  </w:footnote>
  <w:footnote w:id="6">
    <w:p w14:paraId="1CCC2E87" w14:textId="77777777" w:rsidR="00723335" w:rsidRPr="00723335" w:rsidRDefault="00723335">
      <w:pPr>
        <w:pStyle w:val="FootnoteText"/>
      </w:pPr>
      <w:r>
        <w:rPr>
          <w:rStyle w:val="FootnoteReference"/>
        </w:rPr>
        <w:footnoteRef/>
      </w:r>
      <w:r>
        <w:t xml:space="preserve"> Matthew Ward. </w:t>
      </w:r>
      <w:r>
        <w:rPr>
          <w:i/>
        </w:rPr>
        <w:t xml:space="preserve">The Livery Collar In Late Medieval England And Wales: Politics, Identity And Affinity, </w:t>
      </w:r>
      <w:r>
        <w:t>2016, &lt;</w:t>
      </w:r>
      <w:r w:rsidRPr="00723335">
        <w:t xml:space="preserve"> </w:t>
      </w:r>
      <w:hyperlink r:id="rId1" w:history="1">
        <w:r w:rsidRPr="001523A9">
          <w:rPr>
            <w:rStyle w:val="Hyperlink"/>
          </w:rPr>
          <w:t>http://blogs.nottingham.ac.uk/historypastandpresent/2016/07/13/livery-loyalty-medieval-england/</w:t>
        </w:r>
      </w:hyperlink>
      <w:r>
        <w:t>&gt; [Accessed 19</w:t>
      </w:r>
      <w:r w:rsidRPr="00723335">
        <w:rPr>
          <w:vertAlign w:val="superscript"/>
        </w:rPr>
        <w:t>th</w:t>
      </w:r>
      <w:r>
        <w:t xml:space="preserve"> January 2019].</w:t>
      </w:r>
    </w:p>
  </w:footnote>
  <w:footnote w:id="7">
    <w:p w14:paraId="6021B3A7" w14:textId="77777777" w:rsidR="00723335" w:rsidRDefault="00723335">
      <w:pPr>
        <w:pStyle w:val="FootnoteText"/>
      </w:pPr>
      <w:r>
        <w:rPr>
          <w:rStyle w:val="FootnoteReference"/>
        </w:rPr>
        <w:footnoteRef/>
      </w:r>
      <w:r>
        <w:t xml:space="preserve"> Ward, 2016.</w:t>
      </w:r>
    </w:p>
  </w:footnote>
  <w:footnote w:id="8">
    <w:p w14:paraId="07F5F9DE" w14:textId="77777777" w:rsidR="00934F69" w:rsidRDefault="00934F69">
      <w:pPr>
        <w:pStyle w:val="FootnoteText"/>
      </w:pPr>
      <w:r>
        <w:rPr>
          <w:rStyle w:val="FootnoteReference"/>
        </w:rPr>
        <w:footnoteRef/>
      </w:r>
      <w:r>
        <w:t xml:space="preserve"> Barker, p. 127.</w:t>
      </w:r>
    </w:p>
  </w:footnote>
  <w:footnote w:id="9">
    <w:p w14:paraId="027F7838" w14:textId="77777777" w:rsidR="00E95604" w:rsidRDefault="00E95604">
      <w:pPr>
        <w:pStyle w:val="FootnoteText"/>
      </w:pPr>
      <w:r>
        <w:rPr>
          <w:rStyle w:val="FootnoteReference"/>
        </w:rPr>
        <w:footnoteRef/>
      </w:r>
      <w:r>
        <w:t xml:space="preserve"> Ibid. </w:t>
      </w:r>
    </w:p>
  </w:footnote>
  <w:footnote w:id="10">
    <w:p w14:paraId="6F33A327" w14:textId="77777777" w:rsidR="00E95604" w:rsidRDefault="00E95604">
      <w:pPr>
        <w:pStyle w:val="FootnoteText"/>
      </w:pPr>
      <w:r>
        <w:rPr>
          <w:rStyle w:val="FootnoteReference"/>
        </w:rPr>
        <w:footnoteRef/>
      </w:r>
      <w:r>
        <w:t xml:space="preserve"> Ibid</w:t>
      </w:r>
      <w:r w:rsidR="00AE636C">
        <w:t>, pp. 127-128.</w:t>
      </w:r>
    </w:p>
  </w:footnote>
  <w:footnote w:id="11">
    <w:p w14:paraId="2B0712D2" w14:textId="77777777" w:rsidR="00B30CF8" w:rsidRDefault="00B30CF8">
      <w:pPr>
        <w:pStyle w:val="FootnoteText"/>
      </w:pPr>
      <w:r>
        <w:rPr>
          <w:rStyle w:val="FootnoteReference"/>
        </w:rPr>
        <w:footnoteRef/>
      </w:r>
      <w:r>
        <w:t xml:space="preserve"> Ibid, p. 126.</w:t>
      </w:r>
    </w:p>
  </w:footnote>
  <w:footnote w:id="12">
    <w:p w14:paraId="4969D23D" w14:textId="77777777" w:rsidR="00AF564D" w:rsidRDefault="00AF564D">
      <w:pPr>
        <w:pStyle w:val="FootnoteText"/>
      </w:pPr>
      <w:r>
        <w:rPr>
          <w:rStyle w:val="FootnoteReference"/>
        </w:rPr>
        <w:footnoteRef/>
      </w:r>
      <w:r>
        <w:t xml:space="preserve"> Ibid, p. 129.</w:t>
      </w:r>
    </w:p>
  </w:footnote>
  <w:footnote w:id="13">
    <w:p w14:paraId="7BB340BA" w14:textId="77777777" w:rsidR="00AF564D" w:rsidRPr="00AF564D" w:rsidRDefault="00AF564D">
      <w:pPr>
        <w:pStyle w:val="FootnoteText"/>
      </w:pPr>
      <w:r>
        <w:rPr>
          <w:rStyle w:val="FootnoteReference"/>
        </w:rPr>
        <w:footnoteRef/>
      </w:r>
      <w:r>
        <w:t xml:space="preserve"> Sophie </w:t>
      </w:r>
      <w:proofErr w:type="spellStart"/>
      <w:r>
        <w:t>Oosterwijk</w:t>
      </w:r>
      <w:proofErr w:type="spellEnd"/>
      <w:r>
        <w:t xml:space="preserve">, ‘Food </w:t>
      </w:r>
      <w:proofErr w:type="gramStart"/>
      <w:r>
        <w:t>For</w:t>
      </w:r>
      <w:proofErr w:type="gramEnd"/>
      <w:r>
        <w:t xml:space="preserve"> Worms- Food For Thought: The Appearance And Interpretation Of The ‘Verminous Cadaver In Britain And Europe’ </w:t>
      </w:r>
      <w:r>
        <w:rPr>
          <w:i/>
        </w:rPr>
        <w:t xml:space="preserve">Church Monuments, </w:t>
      </w:r>
      <w:r>
        <w:t>20 (2005), 40-80, 133-140. p. 45.</w:t>
      </w:r>
    </w:p>
  </w:footnote>
  <w:footnote w:id="14">
    <w:p w14:paraId="26C72638" w14:textId="77777777" w:rsidR="008046DC" w:rsidRDefault="008046DC">
      <w:pPr>
        <w:pStyle w:val="FootnoteText"/>
      </w:pPr>
      <w:r>
        <w:rPr>
          <w:rStyle w:val="FootnoteReference"/>
        </w:rPr>
        <w:footnoteRef/>
      </w:r>
      <w:r>
        <w:t xml:space="preserve"> Barker, p. 126.</w:t>
      </w:r>
    </w:p>
  </w:footnote>
  <w:footnote w:id="15">
    <w:p w14:paraId="4111F58E" w14:textId="77777777" w:rsidR="008046DC" w:rsidRDefault="008046DC">
      <w:pPr>
        <w:pStyle w:val="FootnoteText"/>
      </w:pPr>
      <w:r>
        <w:rPr>
          <w:rStyle w:val="FootnoteReference"/>
        </w:rPr>
        <w:footnoteRef/>
      </w:r>
      <w:r>
        <w:t xml:space="preserve"> </w:t>
      </w:r>
      <w:proofErr w:type="spellStart"/>
      <w:r>
        <w:t>Oosterwijk</w:t>
      </w:r>
      <w:proofErr w:type="spellEnd"/>
      <w:r>
        <w:t>, p. 45.</w:t>
      </w:r>
    </w:p>
  </w:footnote>
  <w:footnote w:id="16">
    <w:p w14:paraId="69061FCD" w14:textId="77777777" w:rsidR="00187787" w:rsidRDefault="00187787">
      <w:pPr>
        <w:pStyle w:val="FootnoteText"/>
      </w:pPr>
      <w:r>
        <w:rPr>
          <w:rStyle w:val="FootnoteReference"/>
        </w:rPr>
        <w:footnoteRef/>
      </w:r>
      <w:r>
        <w:t xml:space="preserve"> Cohen, p. 23.</w:t>
      </w:r>
    </w:p>
  </w:footnote>
  <w:footnote w:id="17">
    <w:p w14:paraId="2AFEE5CC" w14:textId="77777777" w:rsidR="002D2483" w:rsidRDefault="002D2483">
      <w:pPr>
        <w:pStyle w:val="FootnoteText"/>
      </w:pPr>
      <w:r>
        <w:rPr>
          <w:rStyle w:val="FootnoteReference"/>
        </w:rPr>
        <w:footnoteRef/>
      </w:r>
      <w:r>
        <w:t xml:space="preserve"> </w:t>
      </w:r>
      <w:proofErr w:type="spellStart"/>
      <w:r>
        <w:t>Oosterwijk</w:t>
      </w:r>
      <w:proofErr w:type="spellEnd"/>
      <w:r>
        <w:t>, p. 46.</w:t>
      </w:r>
    </w:p>
  </w:footnote>
  <w:footnote w:id="18">
    <w:p w14:paraId="0FC29349" w14:textId="77777777" w:rsidR="00836832" w:rsidRDefault="00836832">
      <w:pPr>
        <w:pStyle w:val="FootnoteText"/>
      </w:pPr>
      <w:r>
        <w:rPr>
          <w:rStyle w:val="FootnoteReference"/>
        </w:rPr>
        <w:footnoteRef/>
      </w:r>
      <w:r>
        <w:t xml:space="preserve"> Cohen, p. 46.</w:t>
      </w:r>
    </w:p>
  </w:footnote>
  <w:footnote w:id="19">
    <w:p w14:paraId="369918A2" w14:textId="77777777" w:rsidR="00836832" w:rsidRDefault="00836832">
      <w:pPr>
        <w:pStyle w:val="FootnoteText"/>
      </w:pPr>
      <w:r>
        <w:rPr>
          <w:rStyle w:val="FootnoteReference"/>
        </w:rPr>
        <w:footnoteRef/>
      </w:r>
      <w:r>
        <w:t xml:space="preserve"> Cohen, p. 86.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788"/>
    <w:rsid w:val="00001A4F"/>
    <w:rsid w:val="000219D0"/>
    <w:rsid w:val="000C6C4B"/>
    <w:rsid w:val="000D7A30"/>
    <w:rsid w:val="000E56B7"/>
    <w:rsid w:val="000F7DE3"/>
    <w:rsid w:val="001216C8"/>
    <w:rsid w:val="00187787"/>
    <w:rsid w:val="001C2A68"/>
    <w:rsid w:val="00221442"/>
    <w:rsid w:val="002652EE"/>
    <w:rsid w:val="002D2483"/>
    <w:rsid w:val="0037028A"/>
    <w:rsid w:val="005625C7"/>
    <w:rsid w:val="00673D2C"/>
    <w:rsid w:val="00723335"/>
    <w:rsid w:val="008046DC"/>
    <w:rsid w:val="00836832"/>
    <w:rsid w:val="00885927"/>
    <w:rsid w:val="008F47D1"/>
    <w:rsid w:val="00934F69"/>
    <w:rsid w:val="00982356"/>
    <w:rsid w:val="00A13E1A"/>
    <w:rsid w:val="00AE636C"/>
    <w:rsid w:val="00AF4788"/>
    <w:rsid w:val="00AF564D"/>
    <w:rsid w:val="00B30CF8"/>
    <w:rsid w:val="00B63E7D"/>
    <w:rsid w:val="00C85A56"/>
    <w:rsid w:val="00CB684F"/>
    <w:rsid w:val="00D95FBB"/>
    <w:rsid w:val="00DA29AF"/>
    <w:rsid w:val="00E95604"/>
    <w:rsid w:val="00EC2AE8"/>
    <w:rsid w:val="00EF7C21"/>
    <w:rsid w:val="00FF6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2FAF7C"/>
  <w15:chartTrackingRefBased/>
  <w15:docId w15:val="{11AE7604-5600-4A5D-AC2B-C9286656C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C2A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2AE8"/>
    <w:rPr>
      <w:sz w:val="20"/>
      <w:szCs w:val="20"/>
    </w:rPr>
  </w:style>
  <w:style w:type="character" w:styleId="FootnoteReference">
    <w:name w:val="footnote reference"/>
    <w:basedOn w:val="DefaultParagraphFont"/>
    <w:uiPriority w:val="99"/>
    <w:semiHidden/>
    <w:unhideWhenUsed/>
    <w:rsid w:val="00EC2AE8"/>
    <w:rPr>
      <w:vertAlign w:val="superscript"/>
    </w:rPr>
  </w:style>
  <w:style w:type="character" w:styleId="Hyperlink">
    <w:name w:val="Hyperlink"/>
    <w:basedOn w:val="DefaultParagraphFont"/>
    <w:uiPriority w:val="99"/>
    <w:unhideWhenUsed/>
    <w:rsid w:val="00723335"/>
    <w:rPr>
      <w:color w:val="0563C1" w:themeColor="hyperlink"/>
      <w:u w:val="single"/>
    </w:rPr>
  </w:style>
  <w:style w:type="character" w:styleId="UnresolvedMention">
    <w:name w:val="Unresolved Mention"/>
    <w:basedOn w:val="DefaultParagraphFont"/>
    <w:uiPriority w:val="99"/>
    <w:semiHidden/>
    <w:unhideWhenUsed/>
    <w:rsid w:val="007233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logs.nottingham.ac.uk/historypastandpresent/2016/07/13/livery-loyalty-medieval-england/" TargetMode="Externa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blogs.nottingham.ac.uk/historypastandpresent/2016/07/13/livery-loyalty-medieval-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3</Pages>
  <Words>825</Words>
  <Characters>4705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19</cp:revision>
  <dcterms:created xsi:type="dcterms:W3CDTF">2019-01-19T11:33:00Z</dcterms:created>
  <dcterms:modified xsi:type="dcterms:W3CDTF">2019-01-21T15:49:00Z</dcterms:modified>
</cp:coreProperties>
</file>