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306F2" w14:textId="096CF4EA" w:rsidR="00653FAC" w:rsidRPr="00806AC5" w:rsidRDefault="00C6473B" w:rsidP="009B33EE">
      <w:pPr>
        <w:jc w:val="center"/>
        <w:rPr>
          <w:rFonts w:cs="Times New Roman"/>
          <w:sz w:val="32"/>
          <w:szCs w:val="32"/>
        </w:rPr>
      </w:pPr>
      <w:r w:rsidRPr="00806AC5">
        <w:rPr>
          <w:rFonts w:cs="Times New Roman"/>
          <w:noProof/>
          <w:lang w:eastAsia="en-GB"/>
        </w:rPr>
        <w:drawing>
          <wp:inline distT="0" distB="0" distL="0" distR="0" wp14:anchorId="33FC7BE4" wp14:editId="7829AD38">
            <wp:extent cx="1981200" cy="790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200" cy="790575"/>
                    </a:xfrm>
                    <a:prstGeom prst="rect">
                      <a:avLst/>
                    </a:prstGeom>
                  </pic:spPr>
                </pic:pic>
              </a:graphicData>
            </a:graphic>
          </wp:inline>
        </w:drawing>
      </w:r>
    </w:p>
    <w:p w14:paraId="72446DB9" w14:textId="77777777" w:rsidR="00653FAC" w:rsidRPr="00806AC5" w:rsidRDefault="00653FAC" w:rsidP="009B33EE">
      <w:pPr>
        <w:jc w:val="center"/>
        <w:rPr>
          <w:rFonts w:cs="Times New Roman"/>
          <w:sz w:val="32"/>
          <w:szCs w:val="32"/>
        </w:rPr>
      </w:pPr>
    </w:p>
    <w:p w14:paraId="20E069B8" w14:textId="733B0928" w:rsidR="00653FAC" w:rsidRPr="00806AC5" w:rsidRDefault="00653FAC" w:rsidP="00546734">
      <w:pPr>
        <w:rPr>
          <w:rFonts w:cs="Times New Roman"/>
          <w:sz w:val="32"/>
          <w:szCs w:val="32"/>
        </w:rPr>
      </w:pPr>
    </w:p>
    <w:p w14:paraId="325B940E" w14:textId="7E1258AA" w:rsidR="009B33EE" w:rsidRPr="00806AC5" w:rsidRDefault="009B33EE" w:rsidP="009B33EE">
      <w:pPr>
        <w:jc w:val="center"/>
        <w:rPr>
          <w:rFonts w:cs="Times New Roman"/>
          <w:sz w:val="32"/>
          <w:szCs w:val="32"/>
        </w:rPr>
      </w:pPr>
      <w:r w:rsidRPr="00806AC5">
        <w:rPr>
          <w:rFonts w:cs="Times New Roman"/>
          <w:sz w:val="32"/>
          <w:szCs w:val="32"/>
        </w:rPr>
        <w:t>LCMB7003</w:t>
      </w:r>
    </w:p>
    <w:p w14:paraId="62AC73A2" w14:textId="1FA0C974" w:rsidR="009B33EE" w:rsidRPr="00806AC5" w:rsidRDefault="009B33EE" w:rsidP="009B33EE">
      <w:pPr>
        <w:jc w:val="center"/>
        <w:rPr>
          <w:rFonts w:cs="Times New Roman"/>
          <w:sz w:val="32"/>
          <w:szCs w:val="32"/>
        </w:rPr>
      </w:pPr>
      <w:r w:rsidRPr="00806AC5">
        <w:rPr>
          <w:rFonts w:cs="Times New Roman"/>
          <w:sz w:val="32"/>
          <w:szCs w:val="32"/>
        </w:rPr>
        <w:t>Strategic Management</w:t>
      </w:r>
    </w:p>
    <w:p w14:paraId="10DB3D5E" w14:textId="12812501" w:rsidR="00653FAC" w:rsidRPr="00806AC5" w:rsidRDefault="00653FAC" w:rsidP="009B33EE">
      <w:pPr>
        <w:jc w:val="center"/>
        <w:rPr>
          <w:rFonts w:cs="Times New Roman"/>
          <w:sz w:val="32"/>
          <w:szCs w:val="32"/>
        </w:rPr>
      </w:pPr>
    </w:p>
    <w:p w14:paraId="7F755301" w14:textId="64994DD1" w:rsidR="00BA02EE" w:rsidRPr="00806AC5" w:rsidRDefault="00BA02EE" w:rsidP="009B33EE">
      <w:pPr>
        <w:jc w:val="center"/>
        <w:rPr>
          <w:rFonts w:cs="Times New Roman"/>
          <w:sz w:val="32"/>
          <w:szCs w:val="32"/>
        </w:rPr>
      </w:pPr>
      <w:r w:rsidRPr="00806AC5">
        <w:rPr>
          <w:rFonts w:cs="Times New Roman"/>
          <w:sz w:val="32"/>
          <w:szCs w:val="32"/>
        </w:rPr>
        <w:t xml:space="preserve">Lecturer: </w:t>
      </w:r>
      <w:r w:rsidR="00ED24DD">
        <w:rPr>
          <w:rFonts w:cs="Times New Roman"/>
          <w:sz w:val="32"/>
          <w:szCs w:val="32"/>
        </w:rPr>
        <w:t>Dr. Jaya</w:t>
      </w:r>
      <w:r w:rsidR="00EE5005">
        <w:rPr>
          <w:rFonts w:cs="Times New Roman"/>
          <w:sz w:val="32"/>
          <w:szCs w:val="32"/>
        </w:rPr>
        <w:t>lakshmi</w:t>
      </w:r>
      <w:r w:rsidR="00ED24DD">
        <w:rPr>
          <w:rFonts w:cs="Times New Roman"/>
          <w:sz w:val="32"/>
          <w:szCs w:val="32"/>
        </w:rPr>
        <w:t xml:space="preserve"> Gopalkrishnan, </w:t>
      </w:r>
      <w:r w:rsidR="00811CD0">
        <w:rPr>
          <w:rFonts w:cs="Times New Roman"/>
          <w:sz w:val="32"/>
          <w:szCs w:val="32"/>
        </w:rPr>
        <w:t>Shengfeng Mei</w:t>
      </w:r>
    </w:p>
    <w:p w14:paraId="6BF53B76" w14:textId="77777777" w:rsidR="00BA02EE" w:rsidRPr="00806AC5" w:rsidRDefault="00BA02EE" w:rsidP="009B33EE">
      <w:pPr>
        <w:jc w:val="center"/>
        <w:rPr>
          <w:rFonts w:cs="Times New Roman"/>
          <w:sz w:val="32"/>
          <w:szCs w:val="32"/>
        </w:rPr>
      </w:pPr>
    </w:p>
    <w:p w14:paraId="0B1AE7B2" w14:textId="51E86915" w:rsidR="00EF5F81" w:rsidRPr="00806AC5" w:rsidRDefault="00653FAC" w:rsidP="00E042D8">
      <w:pPr>
        <w:rPr>
          <w:rFonts w:cs="Times New Roman"/>
          <w:sz w:val="28"/>
        </w:rPr>
      </w:pPr>
      <w:r w:rsidRPr="00806AC5">
        <w:rPr>
          <w:rFonts w:cs="Times New Roman"/>
          <w:sz w:val="28"/>
        </w:rPr>
        <w:t>Title: Strategic Management Analysis of International Expansion Opportunities for Currys PLC in the United Arab Emirates</w:t>
      </w:r>
    </w:p>
    <w:p w14:paraId="5C142C42" w14:textId="53D5756B" w:rsidR="007D4C2B" w:rsidRPr="00806AC5" w:rsidRDefault="007D4C2B" w:rsidP="00E042D8">
      <w:pPr>
        <w:rPr>
          <w:rFonts w:cs="Times New Roman"/>
          <w:sz w:val="28"/>
        </w:rPr>
      </w:pPr>
    </w:p>
    <w:p w14:paraId="3F067E76" w14:textId="365C0DE1" w:rsidR="007D4C2B" w:rsidRPr="00806AC5" w:rsidRDefault="007D4C2B" w:rsidP="00E042D8">
      <w:pPr>
        <w:rPr>
          <w:rFonts w:cs="Times New Roman"/>
          <w:sz w:val="28"/>
        </w:rPr>
      </w:pPr>
    </w:p>
    <w:p w14:paraId="048D3C92" w14:textId="6B0E07BC" w:rsidR="007D4C2B" w:rsidRPr="00806AC5" w:rsidRDefault="00597DD0" w:rsidP="00E042D8">
      <w:pPr>
        <w:rPr>
          <w:rFonts w:cs="Times New Roman"/>
          <w:b/>
          <w:sz w:val="28"/>
        </w:rPr>
      </w:pPr>
      <w:r w:rsidRPr="00806AC5">
        <w:rPr>
          <w:rFonts w:cs="Times New Roman"/>
          <w:b/>
          <w:sz w:val="28"/>
        </w:rPr>
        <w:t>Submitted by</w:t>
      </w:r>
      <w:r w:rsidR="00264FA1" w:rsidRPr="00806AC5">
        <w:rPr>
          <w:rFonts w:cs="Times New Roman"/>
          <w:b/>
          <w:sz w:val="28"/>
        </w:rPr>
        <w:t>-</w:t>
      </w:r>
    </w:p>
    <w:p w14:paraId="0099AA4F" w14:textId="77777777" w:rsidR="00264FA1" w:rsidRPr="00806AC5" w:rsidRDefault="00264FA1" w:rsidP="00264FA1">
      <w:pPr>
        <w:rPr>
          <w:rFonts w:cs="Times New Roman"/>
          <w:sz w:val="28"/>
        </w:rPr>
      </w:pPr>
      <w:r w:rsidRPr="00806AC5">
        <w:rPr>
          <w:rFonts w:cs="Times New Roman"/>
          <w:sz w:val="28"/>
        </w:rPr>
        <w:t>Riku Chandra</w:t>
      </w:r>
    </w:p>
    <w:p w14:paraId="222755EB" w14:textId="77777777" w:rsidR="00264FA1" w:rsidRPr="00806AC5" w:rsidRDefault="00264FA1" w:rsidP="00264FA1">
      <w:pPr>
        <w:rPr>
          <w:rFonts w:cs="Times New Roman"/>
          <w:sz w:val="28"/>
        </w:rPr>
      </w:pPr>
      <w:r w:rsidRPr="00806AC5">
        <w:rPr>
          <w:rFonts w:cs="Times New Roman"/>
          <w:sz w:val="28"/>
        </w:rPr>
        <w:t>ID- 2433223</w:t>
      </w:r>
    </w:p>
    <w:p w14:paraId="274D59E4" w14:textId="77777777" w:rsidR="00597DD0" w:rsidRPr="00806AC5" w:rsidRDefault="00597DD0" w:rsidP="00E042D8">
      <w:pPr>
        <w:rPr>
          <w:rFonts w:cs="Times New Roman"/>
          <w:sz w:val="28"/>
        </w:rPr>
      </w:pPr>
    </w:p>
    <w:p w14:paraId="49BF5964" w14:textId="0CBA49A3" w:rsidR="007D4C2B" w:rsidRPr="00806AC5" w:rsidRDefault="007D4C2B" w:rsidP="007D4C2B">
      <w:pPr>
        <w:jc w:val="center"/>
        <w:rPr>
          <w:rFonts w:cs="Times New Roman"/>
          <w:sz w:val="28"/>
        </w:rPr>
      </w:pPr>
      <w:r w:rsidRPr="00806AC5">
        <w:rPr>
          <w:rFonts w:cs="Times New Roman"/>
          <w:sz w:val="28"/>
        </w:rPr>
        <w:t>Submission deadline: Monday 22nd December 2025 by 2pm</w:t>
      </w:r>
    </w:p>
    <w:p w14:paraId="40CA5D3B" w14:textId="77777777" w:rsidR="00EF5F81" w:rsidRPr="00806AC5" w:rsidRDefault="00EF5F81">
      <w:pPr>
        <w:spacing w:line="278" w:lineRule="auto"/>
        <w:jc w:val="left"/>
        <w:rPr>
          <w:rFonts w:cs="Times New Roman"/>
          <w:sz w:val="32"/>
          <w:szCs w:val="32"/>
        </w:rPr>
      </w:pPr>
      <w:r w:rsidRPr="00806AC5">
        <w:rPr>
          <w:rFonts w:cs="Times New Roman"/>
          <w:sz w:val="32"/>
          <w:szCs w:val="32"/>
        </w:rPr>
        <w:br w:type="page"/>
      </w:r>
    </w:p>
    <w:sdt>
      <w:sdtPr>
        <w:rPr>
          <w:rFonts w:ascii="Times New Roman" w:eastAsiaTheme="minorHAnsi" w:hAnsi="Times New Roman" w:cs="Times New Roman"/>
          <w:color w:val="auto"/>
          <w:kern w:val="2"/>
          <w:sz w:val="24"/>
          <w:szCs w:val="24"/>
          <w:lang w:eastAsia="en-US"/>
          <w14:ligatures w14:val="standardContextual"/>
        </w:rPr>
        <w:id w:val="-1269777508"/>
        <w:docPartObj>
          <w:docPartGallery w:val="Table of Contents"/>
          <w:docPartUnique/>
        </w:docPartObj>
      </w:sdtPr>
      <w:sdtEndPr>
        <w:rPr>
          <w:b/>
          <w:bCs/>
        </w:rPr>
      </w:sdtEndPr>
      <w:sdtContent>
        <w:p w14:paraId="698C5F47" w14:textId="3E9BA057" w:rsidR="00EF5F81" w:rsidRPr="00806AC5" w:rsidRDefault="00EF5F81" w:rsidP="00361FD8">
          <w:pPr>
            <w:pStyle w:val="TOCHeading"/>
            <w:jc w:val="center"/>
            <w:rPr>
              <w:rFonts w:ascii="Times New Roman" w:hAnsi="Times New Roman" w:cs="Times New Roman"/>
            </w:rPr>
          </w:pPr>
          <w:r w:rsidRPr="00806AC5">
            <w:rPr>
              <w:rFonts w:ascii="Times New Roman" w:hAnsi="Times New Roman" w:cs="Times New Roman"/>
            </w:rPr>
            <w:t>Table of Contents</w:t>
          </w:r>
        </w:p>
        <w:p w14:paraId="23BD4D1B" w14:textId="3957A666" w:rsidR="0008706A" w:rsidRDefault="00EF5F81">
          <w:pPr>
            <w:pStyle w:val="TOC1"/>
            <w:tabs>
              <w:tab w:val="right" w:leader="dot" w:pos="9350"/>
            </w:tabs>
            <w:rPr>
              <w:rFonts w:asciiTheme="minorHAnsi" w:eastAsiaTheme="minorEastAsia" w:hAnsiTheme="minorHAnsi"/>
              <w:noProof/>
              <w:kern w:val="0"/>
              <w:sz w:val="22"/>
              <w:szCs w:val="22"/>
              <w:lang w:eastAsia="en-GB"/>
              <w14:ligatures w14:val="none"/>
            </w:rPr>
          </w:pPr>
          <w:r w:rsidRPr="00806AC5">
            <w:rPr>
              <w:rFonts w:cs="Times New Roman"/>
            </w:rPr>
            <w:fldChar w:fldCharType="begin"/>
          </w:r>
          <w:r w:rsidRPr="00806AC5">
            <w:rPr>
              <w:rFonts w:cs="Times New Roman"/>
            </w:rPr>
            <w:instrText xml:space="preserve"> TOC \o "1-3" \h \z \u </w:instrText>
          </w:r>
          <w:r w:rsidRPr="00806AC5">
            <w:rPr>
              <w:rFonts w:cs="Times New Roman"/>
            </w:rPr>
            <w:fldChar w:fldCharType="separate"/>
          </w:r>
          <w:hyperlink w:anchor="_Toc217265091" w:history="1">
            <w:r w:rsidR="0008706A" w:rsidRPr="004E3397">
              <w:rPr>
                <w:rStyle w:val="Hyperlink"/>
                <w:noProof/>
              </w:rPr>
              <w:t>1. Introduction</w:t>
            </w:r>
            <w:r w:rsidR="0008706A">
              <w:rPr>
                <w:noProof/>
                <w:webHidden/>
              </w:rPr>
              <w:tab/>
            </w:r>
            <w:r w:rsidR="0008706A">
              <w:rPr>
                <w:noProof/>
                <w:webHidden/>
              </w:rPr>
              <w:fldChar w:fldCharType="begin"/>
            </w:r>
            <w:r w:rsidR="0008706A">
              <w:rPr>
                <w:noProof/>
                <w:webHidden/>
              </w:rPr>
              <w:instrText xml:space="preserve"> PAGEREF _Toc217265091 \h </w:instrText>
            </w:r>
            <w:r w:rsidR="0008706A">
              <w:rPr>
                <w:noProof/>
                <w:webHidden/>
              </w:rPr>
            </w:r>
            <w:r w:rsidR="0008706A">
              <w:rPr>
                <w:noProof/>
                <w:webHidden/>
              </w:rPr>
              <w:fldChar w:fldCharType="separate"/>
            </w:r>
            <w:r w:rsidR="0008706A">
              <w:rPr>
                <w:noProof/>
                <w:webHidden/>
              </w:rPr>
              <w:t>3</w:t>
            </w:r>
            <w:r w:rsidR="0008706A">
              <w:rPr>
                <w:noProof/>
                <w:webHidden/>
              </w:rPr>
              <w:fldChar w:fldCharType="end"/>
            </w:r>
          </w:hyperlink>
        </w:p>
        <w:p w14:paraId="3043D535" w14:textId="3FBF1EBA"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092" w:history="1">
            <w:r w:rsidR="0008706A" w:rsidRPr="004E3397">
              <w:rPr>
                <w:rStyle w:val="Hyperlink"/>
                <w:rFonts w:cs="Times New Roman"/>
                <w:noProof/>
              </w:rPr>
              <w:t>2. Selection of Organisation and Target Market</w:t>
            </w:r>
            <w:r w:rsidR="0008706A">
              <w:rPr>
                <w:noProof/>
                <w:webHidden/>
              </w:rPr>
              <w:tab/>
            </w:r>
            <w:r w:rsidR="0008706A">
              <w:rPr>
                <w:noProof/>
                <w:webHidden/>
              </w:rPr>
              <w:fldChar w:fldCharType="begin"/>
            </w:r>
            <w:r w:rsidR="0008706A">
              <w:rPr>
                <w:noProof/>
                <w:webHidden/>
              </w:rPr>
              <w:instrText xml:space="preserve"> PAGEREF _Toc217265092 \h </w:instrText>
            </w:r>
            <w:r w:rsidR="0008706A">
              <w:rPr>
                <w:noProof/>
                <w:webHidden/>
              </w:rPr>
            </w:r>
            <w:r w:rsidR="0008706A">
              <w:rPr>
                <w:noProof/>
                <w:webHidden/>
              </w:rPr>
              <w:fldChar w:fldCharType="separate"/>
            </w:r>
            <w:r w:rsidR="0008706A">
              <w:rPr>
                <w:noProof/>
                <w:webHidden/>
              </w:rPr>
              <w:t>4</w:t>
            </w:r>
            <w:r w:rsidR="0008706A">
              <w:rPr>
                <w:noProof/>
                <w:webHidden/>
              </w:rPr>
              <w:fldChar w:fldCharType="end"/>
            </w:r>
          </w:hyperlink>
        </w:p>
        <w:p w14:paraId="35572846" w14:textId="35F55D3F"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3" w:history="1">
            <w:r w:rsidR="0008706A" w:rsidRPr="004E3397">
              <w:rPr>
                <w:rStyle w:val="Hyperlink"/>
                <w:rFonts w:cs="Times New Roman"/>
                <w:noProof/>
              </w:rPr>
              <w:t>2.1 Overview of Currys PLC</w:t>
            </w:r>
            <w:r w:rsidR="0008706A">
              <w:rPr>
                <w:noProof/>
                <w:webHidden/>
              </w:rPr>
              <w:tab/>
            </w:r>
            <w:r w:rsidR="0008706A">
              <w:rPr>
                <w:noProof/>
                <w:webHidden/>
              </w:rPr>
              <w:fldChar w:fldCharType="begin"/>
            </w:r>
            <w:r w:rsidR="0008706A">
              <w:rPr>
                <w:noProof/>
                <w:webHidden/>
              </w:rPr>
              <w:instrText xml:space="preserve"> PAGEREF _Toc217265093 \h </w:instrText>
            </w:r>
            <w:r w:rsidR="0008706A">
              <w:rPr>
                <w:noProof/>
                <w:webHidden/>
              </w:rPr>
            </w:r>
            <w:r w:rsidR="0008706A">
              <w:rPr>
                <w:noProof/>
                <w:webHidden/>
              </w:rPr>
              <w:fldChar w:fldCharType="separate"/>
            </w:r>
            <w:r w:rsidR="0008706A">
              <w:rPr>
                <w:noProof/>
                <w:webHidden/>
              </w:rPr>
              <w:t>4</w:t>
            </w:r>
            <w:r w:rsidR="0008706A">
              <w:rPr>
                <w:noProof/>
                <w:webHidden/>
              </w:rPr>
              <w:fldChar w:fldCharType="end"/>
            </w:r>
          </w:hyperlink>
        </w:p>
        <w:p w14:paraId="6BB0CCFC" w14:textId="1EA58BD6"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4" w:history="1">
            <w:r w:rsidR="0008706A" w:rsidRPr="004E3397">
              <w:rPr>
                <w:rStyle w:val="Hyperlink"/>
                <w:rFonts w:cs="Times New Roman"/>
                <w:noProof/>
              </w:rPr>
              <w:t>2.2: Reason behind the choice of United Arab Emirates (UAE).</w:t>
            </w:r>
            <w:r w:rsidR="0008706A">
              <w:rPr>
                <w:noProof/>
                <w:webHidden/>
              </w:rPr>
              <w:tab/>
            </w:r>
            <w:r w:rsidR="0008706A">
              <w:rPr>
                <w:noProof/>
                <w:webHidden/>
              </w:rPr>
              <w:fldChar w:fldCharType="begin"/>
            </w:r>
            <w:r w:rsidR="0008706A">
              <w:rPr>
                <w:noProof/>
                <w:webHidden/>
              </w:rPr>
              <w:instrText xml:space="preserve"> PAGEREF _Toc217265094 \h </w:instrText>
            </w:r>
            <w:r w:rsidR="0008706A">
              <w:rPr>
                <w:noProof/>
                <w:webHidden/>
              </w:rPr>
            </w:r>
            <w:r w:rsidR="0008706A">
              <w:rPr>
                <w:noProof/>
                <w:webHidden/>
              </w:rPr>
              <w:fldChar w:fldCharType="separate"/>
            </w:r>
            <w:r w:rsidR="0008706A">
              <w:rPr>
                <w:noProof/>
                <w:webHidden/>
              </w:rPr>
              <w:t>5</w:t>
            </w:r>
            <w:r w:rsidR="0008706A">
              <w:rPr>
                <w:noProof/>
                <w:webHidden/>
              </w:rPr>
              <w:fldChar w:fldCharType="end"/>
            </w:r>
          </w:hyperlink>
        </w:p>
        <w:p w14:paraId="78B4CB4A" w14:textId="2602B2C7"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5" w:history="1">
            <w:r w:rsidR="0008706A" w:rsidRPr="004E3397">
              <w:rPr>
                <w:rStyle w:val="Hyperlink"/>
                <w:rFonts w:cs="Times New Roman"/>
                <w:noProof/>
              </w:rPr>
              <w:t>2.3 Strategic-based Justification on Organisation-Market Alignment.</w:t>
            </w:r>
            <w:r w:rsidR="0008706A">
              <w:rPr>
                <w:noProof/>
                <w:webHidden/>
              </w:rPr>
              <w:tab/>
            </w:r>
            <w:r w:rsidR="0008706A">
              <w:rPr>
                <w:noProof/>
                <w:webHidden/>
              </w:rPr>
              <w:fldChar w:fldCharType="begin"/>
            </w:r>
            <w:r w:rsidR="0008706A">
              <w:rPr>
                <w:noProof/>
                <w:webHidden/>
              </w:rPr>
              <w:instrText xml:space="preserve"> PAGEREF _Toc217265095 \h </w:instrText>
            </w:r>
            <w:r w:rsidR="0008706A">
              <w:rPr>
                <w:noProof/>
                <w:webHidden/>
              </w:rPr>
            </w:r>
            <w:r w:rsidR="0008706A">
              <w:rPr>
                <w:noProof/>
                <w:webHidden/>
              </w:rPr>
              <w:fldChar w:fldCharType="separate"/>
            </w:r>
            <w:r w:rsidR="0008706A">
              <w:rPr>
                <w:noProof/>
                <w:webHidden/>
              </w:rPr>
              <w:t>6</w:t>
            </w:r>
            <w:r w:rsidR="0008706A">
              <w:rPr>
                <w:noProof/>
                <w:webHidden/>
              </w:rPr>
              <w:fldChar w:fldCharType="end"/>
            </w:r>
          </w:hyperlink>
        </w:p>
        <w:p w14:paraId="4AE7DDE1" w14:textId="421A5533"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096" w:history="1">
            <w:r w:rsidR="0008706A" w:rsidRPr="004E3397">
              <w:rPr>
                <w:rStyle w:val="Hyperlink"/>
                <w:rFonts w:cs="Times New Roman"/>
                <w:noProof/>
              </w:rPr>
              <w:t>3. Comprehensive Strategic Analysis</w:t>
            </w:r>
            <w:r w:rsidR="0008706A">
              <w:rPr>
                <w:noProof/>
                <w:webHidden/>
              </w:rPr>
              <w:tab/>
            </w:r>
            <w:r w:rsidR="0008706A">
              <w:rPr>
                <w:noProof/>
                <w:webHidden/>
              </w:rPr>
              <w:fldChar w:fldCharType="begin"/>
            </w:r>
            <w:r w:rsidR="0008706A">
              <w:rPr>
                <w:noProof/>
                <w:webHidden/>
              </w:rPr>
              <w:instrText xml:space="preserve"> PAGEREF _Toc217265096 \h </w:instrText>
            </w:r>
            <w:r w:rsidR="0008706A">
              <w:rPr>
                <w:noProof/>
                <w:webHidden/>
              </w:rPr>
            </w:r>
            <w:r w:rsidR="0008706A">
              <w:rPr>
                <w:noProof/>
                <w:webHidden/>
              </w:rPr>
              <w:fldChar w:fldCharType="separate"/>
            </w:r>
            <w:r w:rsidR="0008706A">
              <w:rPr>
                <w:noProof/>
                <w:webHidden/>
              </w:rPr>
              <w:t>7</w:t>
            </w:r>
            <w:r w:rsidR="0008706A">
              <w:rPr>
                <w:noProof/>
                <w:webHidden/>
              </w:rPr>
              <w:fldChar w:fldCharType="end"/>
            </w:r>
          </w:hyperlink>
        </w:p>
        <w:p w14:paraId="3C37CE4A" w14:textId="4A5C4E32"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7" w:history="1">
            <w:r w:rsidR="0008706A" w:rsidRPr="004E3397">
              <w:rPr>
                <w:rStyle w:val="Hyperlink"/>
                <w:rFonts w:cs="Times New Roman"/>
                <w:noProof/>
              </w:rPr>
              <w:t>3.1 PESTLE Framework</w:t>
            </w:r>
            <w:r w:rsidR="0008706A">
              <w:rPr>
                <w:noProof/>
                <w:webHidden/>
              </w:rPr>
              <w:tab/>
            </w:r>
            <w:r w:rsidR="0008706A">
              <w:rPr>
                <w:noProof/>
                <w:webHidden/>
              </w:rPr>
              <w:fldChar w:fldCharType="begin"/>
            </w:r>
            <w:r w:rsidR="0008706A">
              <w:rPr>
                <w:noProof/>
                <w:webHidden/>
              </w:rPr>
              <w:instrText xml:space="preserve"> PAGEREF _Toc217265097 \h </w:instrText>
            </w:r>
            <w:r w:rsidR="0008706A">
              <w:rPr>
                <w:noProof/>
                <w:webHidden/>
              </w:rPr>
            </w:r>
            <w:r w:rsidR="0008706A">
              <w:rPr>
                <w:noProof/>
                <w:webHidden/>
              </w:rPr>
              <w:fldChar w:fldCharType="separate"/>
            </w:r>
            <w:r w:rsidR="0008706A">
              <w:rPr>
                <w:noProof/>
                <w:webHidden/>
              </w:rPr>
              <w:t>7</w:t>
            </w:r>
            <w:r w:rsidR="0008706A">
              <w:rPr>
                <w:noProof/>
                <w:webHidden/>
              </w:rPr>
              <w:fldChar w:fldCharType="end"/>
            </w:r>
          </w:hyperlink>
        </w:p>
        <w:p w14:paraId="43F1C6A6" w14:textId="26A4C087"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8" w:history="1">
            <w:r w:rsidR="0008706A" w:rsidRPr="004E3397">
              <w:rPr>
                <w:rStyle w:val="Hyperlink"/>
                <w:rFonts w:cs="Times New Roman"/>
                <w:noProof/>
              </w:rPr>
              <w:t>3.2 Industry, Competitive Landscape Analysis.</w:t>
            </w:r>
            <w:r w:rsidR="0008706A">
              <w:rPr>
                <w:noProof/>
                <w:webHidden/>
              </w:rPr>
              <w:tab/>
            </w:r>
            <w:r w:rsidR="0008706A">
              <w:rPr>
                <w:noProof/>
                <w:webHidden/>
              </w:rPr>
              <w:fldChar w:fldCharType="begin"/>
            </w:r>
            <w:r w:rsidR="0008706A">
              <w:rPr>
                <w:noProof/>
                <w:webHidden/>
              </w:rPr>
              <w:instrText xml:space="preserve"> PAGEREF _Toc217265098 \h </w:instrText>
            </w:r>
            <w:r w:rsidR="0008706A">
              <w:rPr>
                <w:noProof/>
                <w:webHidden/>
              </w:rPr>
            </w:r>
            <w:r w:rsidR="0008706A">
              <w:rPr>
                <w:noProof/>
                <w:webHidden/>
              </w:rPr>
              <w:fldChar w:fldCharType="separate"/>
            </w:r>
            <w:r w:rsidR="0008706A">
              <w:rPr>
                <w:noProof/>
                <w:webHidden/>
              </w:rPr>
              <w:t>11</w:t>
            </w:r>
            <w:r w:rsidR="0008706A">
              <w:rPr>
                <w:noProof/>
                <w:webHidden/>
              </w:rPr>
              <w:fldChar w:fldCharType="end"/>
            </w:r>
          </w:hyperlink>
        </w:p>
        <w:p w14:paraId="2D5E9902" w14:textId="144F1033"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099" w:history="1">
            <w:r w:rsidR="0008706A" w:rsidRPr="004E3397">
              <w:rPr>
                <w:rStyle w:val="Hyperlink"/>
                <w:rFonts w:cs="Times New Roman"/>
                <w:noProof/>
              </w:rPr>
              <w:t>3.3 Internal Strategic analysis</w:t>
            </w:r>
            <w:r w:rsidR="0008706A">
              <w:rPr>
                <w:noProof/>
                <w:webHidden/>
              </w:rPr>
              <w:tab/>
            </w:r>
            <w:r w:rsidR="0008706A">
              <w:rPr>
                <w:noProof/>
                <w:webHidden/>
              </w:rPr>
              <w:fldChar w:fldCharType="begin"/>
            </w:r>
            <w:r w:rsidR="0008706A">
              <w:rPr>
                <w:noProof/>
                <w:webHidden/>
              </w:rPr>
              <w:instrText xml:space="preserve"> PAGEREF _Toc217265099 \h </w:instrText>
            </w:r>
            <w:r w:rsidR="0008706A">
              <w:rPr>
                <w:noProof/>
                <w:webHidden/>
              </w:rPr>
            </w:r>
            <w:r w:rsidR="0008706A">
              <w:rPr>
                <w:noProof/>
                <w:webHidden/>
              </w:rPr>
              <w:fldChar w:fldCharType="separate"/>
            </w:r>
            <w:r w:rsidR="0008706A">
              <w:rPr>
                <w:noProof/>
                <w:webHidden/>
              </w:rPr>
              <w:t>15</w:t>
            </w:r>
            <w:r w:rsidR="0008706A">
              <w:rPr>
                <w:noProof/>
                <w:webHidden/>
              </w:rPr>
              <w:fldChar w:fldCharType="end"/>
            </w:r>
          </w:hyperlink>
        </w:p>
        <w:p w14:paraId="2120BF3D" w14:textId="0FB6D53D"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0" w:history="1">
            <w:r w:rsidR="0008706A" w:rsidRPr="004E3397">
              <w:rPr>
                <w:rStyle w:val="Hyperlink"/>
                <w:rFonts w:cs="Times New Roman"/>
                <w:noProof/>
              </w:rPr>
              <w:t>3.4 Critical Assessment of Strategic Frameworks.</w:t>
            </w:r>
            <w:r w:rsidR="0008706A">
              <w:rPr>
                <w:noProof/>
                <w:webHidden/>
              </w:rPr>
              <w:tab/>
            </w:r>
            <w:r w:rsidR="0008706A">
              <w:rPr>
                <w:noProof/>
                <w:webHidden/>
              </w:rPr>
              <w:fldChar w:fldCharType="begin"/>
            </w:r>
            <w:r w:rsidR="0008706A">
              <w:rPr>
                <w:noProof/>
                <w:webHidden/>
              </w:rPr>
              <w:instrText xml:space="preserve"> PAGEREF _Toc217265100 \h </w:instrText>
            </w:r>
            <w:r w:rsidR="0008706A">
              <w:rPr>
                <w:noProof/>
                <w:webHidden/>
              </w:rPr>
            </w:r>
            <w:r w:rsidR="0008706A">
              <w:rPr>
                <w:noProof/>
                <w:webHidden/>
              </w:rPr>
              <w:fldChar w:fldCharType="separate"/>
            </w:r>
            <w:r w:rsidR="0008706A">
              <w:rPr>
                <w:noProof/>
                <w:webHidden/>
              </w:rPr>
              <w:t>17</w:t>
            </w:r>
            <w:r w:rsidR="0008706A">
              <w:rPr>
                <w:noProof/>
                <w:webHidden/>
              </w:rPr>
              <w:fldChar w:fldCharType="end"/>
            </w:r>
          </w:hyperlink>
        </w:p>
        <w:p w14:paraId="00555504" w14:textId="4B68BF4A"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1" w:history="1">
            <w:r w:rsidR="0008706A" w:rsidRPr="004E3397">
              <w:rPr>
                <w:rStyle w:val="Hyperlink"/>
                <w:rFonts w:cs="Times New Roman"/>
                <w:noProof/>
              </w:rPr>
              <w:t>4. Strategy Development and Formulation</w:t>
            </w:r>
            <w:r w:rsidR="0008706A">
              <w:rPr>
                <w:noProof/>
                <w:webHidden/>
              </w:rPr>
              <w:tab/>
            </w:r>
            <w:r w:rsidR="0008706A">
              <w:rPr>
                <w:noProof/>
                <w:webHidden/>
              </w:rPr>
              <w:fldChar w:fldCharType="begin"/>
            </w:r>
            <w:r w:rsidR="0008706A">
              <w:rPr>
                <w:noProof/>
                <w:webHidden/>
              </w:rPr>
              <w:instrText xml:space="preserve"> PAGEREF _Toc217265101 \h </w:instrText>
            </w:r>
            <w:r w:rsidR="0008706A">
              <w:rPr>
                <w:noProof/>
                <w:webHidden/>
              </w:rPr>
            </w:r>
            <w:r w:rsidR="0008706A">
              <w:rPr>
                <w:noProof/>
                <w:webHidden/>
              </w:rPr>
              <w:fldChar w:fldCharType="separate"/>
            </w:r>
            <w:r w:rsidR="0008706A">
              <w:rPr>
                <w:noProof/>
                <w:webHidden/>
              </w:rPr>
              <w:t>18</w:t>
            </w:r>
            <w:r w:rsidR="0008706A">
              <w:rPr>
                <w:noProof/>
                <w:webHidden/>
              </w:rPr>
              <w:fldChar w:fldCharType="end"/>
            </w:r>
          </w:hyperlink>
        </w:p>
        <w:p w14:paraId="64AB235D" w14:textId="5B6E7632"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2" w:history="1">
            <w:r w:rsidR="0008706A" w:rsidRPr="004E3397">
              <w:rPr>
                <w:rStyle w:val="Hyperlink"/>
                <w:rFonts w:cs="Times New Roman"/>
                <w:noProof/>
              </w:rPr>
              <w:t>4.1 Strategic Goals of expansion into the UAE Market.</w:t>
            </w:r>
            <w:r w:rsidR="0008706A">
              <w:rPr>
                <w:noProof/>
                <w:webHidden/>
              </w:rPr>
              <w:tab/>
            </w:r>
            <w:r w:rsidR="0008706A">
              <w:rPr>
                <w:noProof/>
                <w:webHidden/>
              </w:rPr>
              <w:fldChar w:fldCharType="begin"/>
            </w:r>
            <w:r w:rsidR="0008706A">
              <w:rPr>
                <w:noProof/>
                <w:webHidden/>
              </w:rPr>
              <w:instrText xml:space="preserve"> PAGEREF _Toc217265102 \h </w:instrText>
            </w:r>
            <w:r w:rsidR="0008706A">
              <w:rPr>
                <w:noProof/>
                <w:webHidden/>
              </w:rPr>
            </w:r>
            <w:r w:rsidR="0008706A">
              <w:rPr>
                <w:noProof/>
                <w:webHidden/>
              </w:rPr>
              <w:fldChar w:fldCharType="separate"/>
            </w:r>
            <w:r w:rsidR="0008706A">
              <w:rPr>
                <w:noProof/>
                <w:webHidden/>
              </w:rPr>
              <w:t>18</w:t>
            </w:r>
            <w:r w:rsidR="0008706A">
              <w:rPr>
                <w:noProof/>
                <w:webHidden/>
              </w:rPr>
              <w:fldChar w:fldCharType="end"/>
            </w:r>
          </w:hyperlink>
        </w:p>
        <w:p w14:paraId="1478875F" w14:textId="0A4A82C2"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3" w:history="1">
            <w:r w:rsidR="0008706A" w:rsidRPr="004E3397">
              <w:rPr>
                <w:rStyle w:val="Hyperlink"/>
                <w:noProof/>
              </w:rPr>
              <w:t>4.2 Leveraging identified opportunities</w:t>
            </w:r>
            <w:r w:rsidR="0008706A">
              <w:rPr>
                <w:noProof/>
                <w:webHidden/>
              </w:rPr>
              <w:tab/>
            </w:r>
            <w:r w:rsidR="0008706A">
              <w:rPr>
                <w:noProof/>
                <w:webHidden/>
              </w:rPr>
              <w:fldChar w:fldCharType="begin"/>
            </w:r>
            <w:r w:rsidR="0008706A">
              <w:rPr>
                <w:noProof/>
                <w:webHidden/>
              </w:rPr>
              <w:instrText xml:space="preserve"> PAGEREF _Toc217265103 \h </w:instrText>
            </w:r>
            <w:r w:rsidR="0008706A">
              <w:rPr>
                <w:noProof/>
                <w:webHidden/>
              </w:rPr>
            </w:r>
            <w:r w:rsidR="0008706A">
              <w:rPr>
                <w:noProof/>
                <w:webHidden/>
              </w:rPr>
              <w:fldChar w:fldCharType="separate"/>
            </w:r>
            <w:r w:rsidR="0008706A">
              <w:rPr>
                <w:noProof/>
                <w:webHidden/>
              </w:rPr>
              <w:t>22</w:t>
            </w:r>
            <w:r w:rsidR="0008706A">
              <w:rPr>
                <w:noProof/>
                <w:webHidden/>
              </w:rPr>
              <w:fldChar w:fldCharType="end"/>
            </w:r>
          </w:hyperlink>
        </w:p>
        <w:p w14:paraId="6EEE0E8B" w14:textId="0D7BA900"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4" w:history="1">
            <w:r w:rsidR="0008706A" w:rsidRPr="004E3397">
              <w:rPr>
                <w:rStyle w:val="Hyperlink"/>
                <w:rFonts w:cs="Times New Roman"/>
                <w:noProof/>
              </w:rPr>
              <w:t>4.3 Risk Identification and Strategic Thinkings.</w:t>
            </w:r>
            <w:r w:rsidR="0008706A">
              <w:rPr>
                <w:noProof/>
                <w:webHidden/>
              </w:rPr>
              <w:tab/>
            </w:r>
            <w:r w:rsidR="0008706A">
              <w:rPr>
                <w:noProof/>
                <w:webHidden/>
              </w:rPr>
              <w:fldChar w:fldCharType="begin"/>
            </w:r>
            <w:r w:rsidR="0008706A">
              <w:rPr>
                <w:noProof/>
                <w:webHidden/>
              </w:rPr>
              <w:instrText xml:space="preserve"> PAGEREF _Toc217265104 \h </w:instrText>
            </w:r>
            <w:r w:rsidR="0008706A">
              <w:rPr>
                <w:noProof/>
                <w:webHidden/>
              </w:rPr>
            </w:r>
            <w:r w:rsidR="0008706A">
              <w:rPr>
                <w:noProof/>
                <w:webHidden/>
              </w:rPr>
              <w:fldChar w:fldCharType="separate"/>
            </w:r>
            <w:r w:rsidR="0008706A">
              <w:rPr>
                <w:noProof/>
                <w:webHidden/>
              </w:rPr>
              <w:t>24</w:t>
            </w:r>
            <w:r w:rsidR="0008706A">
              <w:rPr>
                <w:noProof/>
                <w:webHidden/>
              </w:rPr>
              <w:fldChar w:fldCharType="end"/>
            </w:r>
          </w:hyperlink>
        </w:p>
        <w:p w14:paraId="3DB0CBD4" w14:textId="3E330A4F"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5" w:history="1">
            <w:r w:rsidR="0008706A" w:rsidRPr="004E3397">
              <w:rPr>
                <w:rStyle w:val="Hyperlink"/>
                <w:noProof/>
              </w:rPr>
              <w:t>5. Performance Evaluation Framework</w:t>
            </w:r>
            <w:r w:rsidR="0008706A">
              <w:rPr>
                <w:noProof/>
                <w:webHidden/>
              </w:rPr>
              <w:tab/>
            </w:r>
            <w:r w:rsidR="0008706A">
              <w:rPr>
                <w:noProof/>
                <w:webHidden/>
              </w:rPr>
              <w:fldChar w:fldCharType="begin"/>
            </w:r>
            <w:r w:rsidR="0008706A">
              <w:rPr>
                <w:noProof/>
                <w:webHidden/>
              </w:rPr>
              <w:instrText xml:space="preserve"> PAGEREF _Toc217265105 \h </w:instrText>
            </w:r>
            <w:r w:rsidR="0008706A">
              <w:rPr>
                <w:noProof/>
                <w:webHidden/>
              </w:rPr>
            </w:r>
            <w:r w:rsidR="0008706A">
              <w:rPr>
                <w:noProof/>
                <w:webHidden/>
              </w:rPr>
              <w:fldChar w:fldCharType="separate"/>
            </w:r>
            <w:r w:rsidR="0008706A">
              <w:rPr>
                <w:noProof/>
                <w:webHidden/>
              </w:rPr>
              <w:t>26</w:t>
            </w:r>
            <w:r w:rsidR="0008706A">
              <w:rPr>
                <w:noProof/>
                <w:webHidden/>
              </w:rPr>
              <w:fldChar w:fldCharType="end"/>
            </w:r>
          </w:hyperlink>
        </w:p>
        <w:p w14:paraId="42885C0E" w14:textId="22858861"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6" w:history="1">
            <w:r w:rsidR="0008706A" w:rsidRPr="004E3397">
              <w:rPr>
                <w:rStyle w:val="Hyperlink"/>
                <w:noProof/>
              </w:rPr>
              <w:t>5.1 Design a Balanced Scorecard</w:t>
            </w:r>
            <w:r w:rsidR="0008706A">
              <w:rPr>
                <w:noProof/>
                <w:webHidden/>
              </w:rPr>
              <w:tab/>
            </w:r>
            <w:r w:rsidR="0008706A">
              <w:rPr>
                <w:noProof/>
                <w:webHidden/>
              </w:rPr>
              <w:fldChar w:fldCharType="begin"/>
            </w:r>
            <w:r w:rsidR="0008706A">
              <w:rPr>
                <w:noProof/>
                <w:webHidden/>
              </w:rPr>
              <w:instrText xml:space="preserve"> PAGEREF _Toc217265106 \h </w:instrText>
            </w:r>
            <w:r w:rsidR="0008706A">
              <w:rPr>
                <w:noProof/>
                <w:webHidden/>
              </w:rPr>
            </w:r>
            <w:r w:rsidR="0008706A">
              <w:rPr>
                <w:noProof/>
                <w:webHidden/>
              </w:rPr>
              <w:fldChar w:fldCharType="separate"/>
            </w:r>
            <w:r w:rsidR="0008706A">
              <w:rPr>
                <w:noProof/>
                <w:webHidden/>
              </w:rPr>
              <w:t>26</w:t>
            </w:r>
            <w:r w:rsidR="0008706A">
              <w:rPr>
                <w:noProof/>
                <w:webHidden/>
              </w:rPr>
              <w:fldChar w:fldCharType="end"/>
            </w:r>
          </w:hyperlink>
        </w:p>
        <w:p w14:paraId="04406F57" w14:textId="140AA729" w:rsidR="0008706A" w:rsidRDefault="008C2C4F">
          <w:pPr>
            <w:pStyle w:val="TOC2"/>
            <w:tabs>
              <w:tab w:val="right" w:leader="dot" w:pos="9350"/>
            </w:tabs>
            <w:rPr>
              <w:rFonts w:asciiTheme="minorHAnsi" w:eastAsiaTheme="minorEastAsia" w:hAnsiTheme="minorHAnsi"/>
              <w:noProof/>
              <w:kern w:val="0"/>
              <w:sz w:val="22"/>
              <w:szCs w:val="22"/>
              <w:lang w:eastAsia="en-GB"/>
              <w14:ligatures w14:val="none"/>
            </w:rPr>
          </w:pPr>
          <w:hyperlink w:anchor="_Toc217265107" w:history="1">
            <w:r w:rsidR="0008706A" w:rsidRPr="004E3397">
              <w:rPr>
                <w:rStyle w:val="Hyperlink"/>
                <w:rFonts w:cs="Times New Roman"/>
                <w:noProof/>
              </w:rPr>
              <w:t>5.2 Key Strategic Control Mechanisms and Key Performance Indicators.</w:t>
            </w:r>
            <w:r w:rsidR="0008706A">
              <w:rPr>
                <w:noProof/>
                <w:webHidden/>
              </w:rPr>
              <w:tab/>
            </w:r>
            <w:r w:rsidR="0008706A">
              <w:rPr>
                <w:noProof/>
                <w:webHidden/>
              </w:rPr>
              <w:fldChar w:fldCharType="begin"/>
            </w:r>
            <w:r w:rsidR="0008706A">
              <w:rPr>
                <w:noProof/>
                <w:webHidden/>
              </w:rPr>
              <w:instrText xml:space="preserve"> PAGEREF _Toc217265107 \h </w:instrText>
            </w:r>
            <w:r w:rsidR="0008706A">
              <w:rPr>
                <w:noProof/>
                <w:webHidden/>
              </w:rPr>
            </w:r>
            <w:r w:rsidR="0008706A">
              <w:rPr>
                <w:noProof/>
                <w:webHidden/>
              </w:rPr>
              <w:fldChar w:fldCharType="separate"/>
            </w:r>
            <w:r w:rsidR="0008706A">
              <w:rPr>
                <w:noProof/>
                <w:webHidden/>
              </w:rPr>
              <w:t>30</w:t>
            </w:r>
            <w:r w:rsidR="0008706A">
              <w:rPr>
                <w:noProof/>
                <w:webHidden/>
              </w:rPr>
              <w:fldChar w:fldCharType="end"/>
            </w:r>
          </w:hyperlink>
        </w:p>
        <w:p w14:paraId="36FBFF73" w14:textId="11D9F1F0"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8" w:history="1">
            <w:r w:rsidR="0008706A" w:rsidRPr="004E3397">
              <w:rPr>
                <w:rStyle w:val="Hyperlink"/>
                <w:rFonts w:cs="Times New Roman"/>
                <w:noProof/>
              </w:rPr>
              <w:t>6. Conclusion</w:t>
            </w:r>
            <w:r w:rsidR="0008706A">
              <w:rPr>
                <w:noProof/>
                <w:webHidden/>
              </w:rPr>
              <w:tab/>
            </w:r>
            <w:r w:rsidR="0008706A">
              <w:rPr>
                <w:noProof/>
                <w:webHidden/>
              </w:rPr>
              <w:fldChar w:fldCharType="begin"/>
            </w:r>
            <w:r w:rsidR="0008706A">
              <w:rPr>
                <w:noProof/>
                <w:webHidden/>
              </w:rPr>
              <w:instrText xml:space="preserve"> PAGEREF _Toc217265108 \h </w:instrText>
            </w:r>
            <w:r w:rsidR="0008706A">
              <w:rPr>
                <w:noProof/>
                <w:webHidden/>
              </w:rPr>
            </w:r>
            <w:r w:rsidR="0008706A">
              <w:rPr>
                <w:noProof/>
                <w:webHidden/>
              </w:rPr>
              <w:fldChar w:fldCharType="separate"/>
            </w:r>
            <w:r w:rsidR="0008706A">
              <w:rPr>
                <w:noProof/>
                <w:webHidden/>
              </w:rPr>
              <w:t>32</w:t>
            </w:r>
            <w:r w:rsidR="0008706A">
              <w:rPr>
                <w:noProof/>
                <w:webHidden/>
              </w:rPr>
              <w:fldChar w:fldCharType="end"/>
            </w:r>
          </w:hyperlink>
        </w:p>
        <w:p w14:paraId="7C83A402" w14:textId="4240F21F" w:rsidR="0008706A" w:rsidRDefault="008C2C4F">
          <w:pPr>
            <w:pStyle w:val="TOC1"/>
            <w:tabs>
              <w:tab w:val="right" w:leader="dot" w:pos="9350"/>
            </w:tabs>
            <w:rPr>
              <w:rFonts w:asciiTheme="minorHAnsi" w:eastAsiaTheme="minorEastAsia" w:hAnsiTheme="minorHAnsi"/>
              <w:noProof/>
              <w:kern w:val="0"/>
              <w:sz w:val="22"/>
              <w:szCs w:val="22"/>
              <w:lang w:eastAsia="en-GB"/>
              <w14:ligatures w14:val="none"/>
            </w:rPr>
          </w:pPr>
          <w:hyperlink w:anchor="_Toc217265109" w:history="1">
            <w:r w:rsidR="0008706A" w:rsidRPr="004E3397">
              <w:rPr>
                <w:rStyle w:val="Hyperlink"/>
                <w:rFonts w:cs="Times New Roman"/>
                <w:noProof/>
              </w:rPr>
              <w:t>7. References</w:t>
            </w:r>
            <w:r w:rsidR="0008706A">
              <w:rPr>
                <w:noProof/>
                <w:webHidden/>
              </w:rPr>
              <w:tab/>
            </w:r>
            <w:r w:rsidR="0008706A">
              <w:rPr>
                <w:noProof/>
                <w:webHidden/>
              </w:rPr>
              <w:fldChar w:fldCharType="begin"/>
            </w:r>
            <w:r w:rsidR="0008706A">
              <w:rPr>
                <w:noProof/>
                <w:webHidden/>
              </w:rPr>
              <w:instrText xml:space="preserve"> PAGEREF _Toc217265109 \h </w:instrText>
            </w:r>
            <w:r w:rsidR="0008706A">
              <w:rPr>
                <w:noProof/>
                <w:webHidden/>
              </w:rPr>
            </w:r>
            <w:r w:rsidR="0008706A">
              <w:rPr>
                <w:noProof/>
                <w:webHidden/>
              </w:rPr>
              <w:fldChar w:fldCharType="separate"/>
            </w:r>
            <w:r w:rsidR="0008706A">
              <w:rPr>
                <w:noProof/>
                <w:webHidden/>
              </w:rPr>
              <w:t>33</w:t>
            </w:r>
            <w:r w:rsidR="0008706A">
              <w:rPr>
                <w:noProof/>
                <w:webHidden/>
              </w:rPr>
              <w:fldChar w:fldCharType="end"/>
            </w:r>
          </w:hyperlink>
        </w:p>
        <w:p w14:paraId="57F308DE" w14:textId="295B0436" w:rsidR="00EF5F81" w:rsidRPr="00806AC5" w:rsidRDefault="00EF5F81">
          <w:pPr>
            <w:rPr>
              <w:rFonts w:cs="Times New Roman"/>
            </w:rPr>
          </w:pPr>
          <w:r w:rsidRPr="00806AC5">
            <w:rPr>
              <w:rFonts w:cs="Times New Roman"/>
              <w:b/>
              <w:bCs/>
            </w:rPr>
            <w:fldChar w:fldCharType="end"/>
          </w:r>
        </w:p>
      </w:sdtContent>
    </w:sdt>
    <w:p w14:paraId="3D0EE2EF" w14:textId="77777777" w:rsidR="00653FAC" w:rsidRPr="00806AC5" w:rsidRDefault="00653FAC" w:rsidP="009B33EE">
      <w:pPr>
        <w:jc w:val="center"/>
        <w:rPr>
          <w:rFonts w:cs="Times New Roman"/>
          <w:sz w:val="32"/>
          <w:szCs w:val="32"/>
        </w:rPr>
      </w:pPr>
    </w:p>
    <w:p w14:paraId="52920D24" w14:textId="480F0C73" w:rsidR="00EF5F81" w:rsidRPr="00806AC5" w:rsidRDefault="009B33EE">
      <w:pPr>
        <w:spacing w:line="278" w:lineRule="auto"/>
        <w:jc w:val="left"/>
        <w:rPr>
          <w:rFonts w:cs="Times New Roman"/>
          <w:sz w:val="32"/>
          <w:szCs w:val="32"/>
        </w:rPr>
      </w:pPr>
      <w:r w:rsidRPr="00806AC5">
        <w:rPr>
          <w:rFonts w:cs="Times New Roman"/>
          <w:sz w:val="32"/>
          <w:szCs w:val="32"/>
        </w:rPr>
        <w:br w:type="page"/>
      </w:r>
    </w:p>
    <w:p w14:paraId="565BF18D" w14:textId="694B4EDC" w:rsidR="00653FAC" w:rsidRPr="00806AC5" w:rsidRDefault="009B33EE" w:rsidP="003769DA">
      <w:pPr>
        <w:pStyle w:val="Heading1"/>
      </w:pPr>
      <w:bookmarkStart w:id="0" w:name="_Toc217265091"/>
      <w:r w:rsidRPr="00806AC5">
        <w:lastRenderedPageBreak/>
        <w:t>1. Introduction</w:t>
      </w:r>
      <w:bookmarkEnd w:id="0"/>
    </w:p>
    <w:p w14:paraId="13D630B1" w14:textId="483C6126" w:rsidR="00653FAC" w:rsidRPr="00806AC5" w:rsidRDefault="00653FAC" w:rsidP="00653FAC">
      <w:pPr>
        <w:rPr>
          <w:rFonts w:cs="Times New Roman"/>
        </w:rPr>
      </w:pPr>
      <w:r w:rsidRPr="00806AC5">
        <w:rPr>
          <w:rFonts w:cs="Times New Roman"/>
        </w:rPr>
        <w:t>Modern international business landscape has been typified by a fast-evolving technology, stiff international competition, and evolving consumer demands. Strategic management allows companies like Currys PLC to critically examine their internal and external environments in a systematic manner especially where they are seeking international expansion as an avenue to long-term growth in markets that are already saturated.</w:t>
      </w:r>
      <w:r w:rsidR="00B33A9D">
        <w:rPr>
          <w:rFonts w:cs="Times New Roman"/>
        </w:rPr>
        <w:t xml:space="preserve"> </w:t>
      </w:r>
      <w:r w:rsidRPr="00806AC5">
        <w:rPr>
          <w:rFonts w:cs="Times New Roman"/>
        </w:rPr>
        <w:t>The company reviewed in the present report is Currys PLC, one of the most prominent omnichannel retailers of consumer electronic products and household appliances, and analyses its possible entry into the United Arab Emirates. In the case of Currys PLC, the international expansion is considered a strategy that can help the company diversify its revenue streams, capitalise on the proven operational capacity, and consolidate its market presence across all markets throughout the world. UAE has been chosen based on its robust economic scenario, sophisticated consumers with technological advancements as well as the presence of a regional retail centre. The report also examines the entry mode and the competitiveness of Currys PLC into the UAE market using strategic management frameworks.</w:t>
      </w:r>
    </w:p>
    <w:p w14:paraId="4C7C04EB" w14:textId="54F20CA9" w:rsidR="00653FAC" w:rsidRPr="00806AC5" w:rsidRDefault="00653FAC" w:rsidP="00653FAC">
      <w:pPr>
        <w:jc w:val="center"/>
        <w:rPr>
          <w:rFonts w:cs="Times New Roman"/>
        </w:rPr>
      </w:pPr>
      <w:r w:rsidRPr="00806AC5">
        <w:rPr>
          <w:rFonts w:cs="Times New Roman"/>
          <w:noProof/>
          <w:lang w:eastAsia="en-GB"/>
        </w:rPr>
        <w:drawing>
          <wp:inline distT="0" distB="0" distL="0" distR="0" wp14:anchorId="3ED8E9CB" wp14:editId="6379C376">
            <wp:extent cx="3994233" cy="2363189"/>
            <wp:effectExtent l="0" t="0" r="0" b="0"/>
            <wp:docPr id="1" name="Picture 1" descr="Currys Transforms Instore and Online Customer Experience | Curry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ys Transforms Instore and Online Customer Experience | Currys PLC"/>
                    <pic:cNvPicPr>
                      <a:picLocks noChangeAspect="1" noChangeArrowheads="1"/>
                    </pic:cNvPicPr>
                  </pic:nvPicPr>
                  <pic:blipFill rotWithShape="1">
                    <a:blip r:embed="rId8">
                      <a:extLst>
                        <a:ext uri="{28A0092B-C50C-407E-A947-70E740481C1C}">
                          <a14:useLocalDpi xmlns:a14="http://schemas.microsoft.com/office/drawing/2010/main" val="0"/>
                        </a:ext>
                      </a:extLst>
                    </a:blip>
                    <a:srcRect l="6878" t="10139" r="8844" b="9661"/>
                    <a:stretch/>
                  </pic:blipFill>
                  <pic:spPr bwMode="auto">
                    <a:xfrm>
                      <a:off x="0" y="0"/>
                      <a:ext cx="3999294" cy="2366183"/>
                    </a:xfrm>
                    <a:prstGeom prst="rect">
                      <a:avLst/>
                    </a:prstGeom>
                    <a:noFill/>
                    <a:ln>
                      <a:noFill/>
                    </a:ln>
                    <a:extLst>
                      <a:ext uri="{53640926-AAD7-44D8-BBD7-CCE9431645EC}">
                        <a14:shadowObscured xmlns:a14="http://schemas.microsoft.com/office/drawing/2010/main"/>
                      </a:ext>
                    </a:extLst>
                  </pic:spPr>
                </pic:pic>
              </a:graphicData>
            </a:graphic>
          </wp:inline>
        </w:drawing>
      </w:r>
    </w:p>
    <w:p w14:paraId="7DBA1B3F" w14:textId="0406831C" w:rsidR="00653FAC" w:rsidRPr="00806AC5" w:rsidRDefault="00653FAC" w:rsidP="00653FAC">
      <w:pPr>
        <w:jc w:val="center"/>
        <w:rPr>
          <w:rFonts w:cs="Times New Roman"/>
        </w:rPr>
      </w:pPr>
      <w:r w:rsidRPr="00806AC5">
        <w:rPr>
          <w:rFonts w:cs="Times New Roman"/>
        </w:rPr>
        <w:t>Figure: Currys PLC logo (Barney, 2018).</w:t>
      </w:r>
    </w:p>
    <w:p w14:paraId="59C25DF5" w14:textId="514C63C0" w:rsidR="00EB054E" w:rsidRPr="00806AC5" w:rsidRDefault="00EB054E" w:rsidP="00505BB4">
      <w:pPr>
        <w:spacing w:line="278" w:lineRule="auto"/>
        <w:jc w:val="left"/>
        <w:rPr>
          <w:rFonts w:cs="Times New Roman"/>
        </w:rPr>
      </w:pPr>
    </w:p>
    <w:p w14:paraId="6E9AA128" w14:textId="594C4C7E" w:rsidR="00EB054E" w:rsidRPr="00806AC5" w:rsidRDefault="00EB054E" w:rsidP="00EB054E">
      <w:pPr>
        <w:pStyle w:val="Heading1"/>
        <w:rPr>
          <w:rFonts w:cs="Times New Roman"/>
        </w:rPr>
      </w:pPr>
      <w:bookmarkStart w:id="1" w:name="_Toc217265092"/>
      <w:r w:rsidRPr="00806AC5">
        <w:rPr>
          <w:rFonts w:cs="Times New Roman"/>
        </w:rPr>
        <w:lastRenderedPageBreak/>
        <w:t>2. Selection of Organisation and Target Market</w:t>
      </w:r>
      <w:bookmarkEnd w:id="1"/>
    </w:p>
    <w:p w14:paraId="022C2943" w14:textId="7D471881" w:rsidR="00EB054E" w:rsidRPr="00806AC5" w:rsidRDefault="00EB054E" w:rsidP="00EB054E">
      <w:pPr>
        <w:pStyle w:val="Heading2"/>
        <w:rPr>
          <w:rFonts w:cs="Times New Roman"/>
        </w:rPr>
      </w:pPr>
      <w:bookmarkStart w:id="2" w:name="_Toc217265093"/>
      <w:r w:rsidRPr="00806AC5">
        <w:rPr>
          <w:rFonts w:cs="Times New Roman"/>
        </w:rPr>
        <w:t>2.1 Overview of Currys PLC</w:t>
      </w:r>
      <w:bookmarkEnd w:id="2"/>
    </w:p>
    <w:p w14:paraId="7337AD27" w14:textId="77777777" w:rsidR="00EB054E" w:rsidRPr="00806AC5" w:rsidRDefault="00EB054E" w:rsidP="00EB054E">
      <w:pPr>
        <w:rPr>
          <w:rFonts w:cs="Times New Roman"/>
          <w:b/>
          <w:bCs/>
        </w:rPr>
      </w:pPr>
      <w:r w:rsidRPr="00806AC5">
        <w:rPr>
          <w:rFonts w:cs="Times New Roman"/>
          <w:b/>
          <w:bCs/>
        </w:rPr>
        <w:t>Organisational Background</w:t>
      </w:r>
    </w:p>
    <w:p w14:paraId="609BDBF6" w14:textId="0E999295" w:rsidR="00EB054E" w:rsidRPr="00806AC5" w:rsidRDefault="00EB054E" w:rsidP="00EB054E">
      <w:pPr>
        <w:rPr>
          <w:rFonts w:cs="Times New Roman"/>
        </w:rPr>
      </w:pPr>
      <w:r w:rsidRPr="00806AC5">
        <w:rPr>
          <w:rFonts w:cs="Times New Roman"/>
        </w:rPr>
        <w:t xml:space="preserve">Currys PLC is an omnichannel retailer with special interests in the consumer electronics, domestic appliances, and technology solutions. The organisation has a model that is built around both physical and digital retail services that have allowed it to provide value to customers based on product variety, technical skills, </w:t>
      </w:r>
      <w:r w:rsidR="006F552C">
        <w:rPr>
          <w:rFonts w:cs="Times New Roman"/>
        </w:rPr>
        <w:t xml:space="preserve">and excellent customer service </w:t>
      </w:r>
      <w:r w:rsidRPr="00806AC5">
        <w:rPr>
          <w:rFonts w:cs="Times New Roman"/>
        </w:rPr>
        <w:t>(Johnson et al., 2020).</w:t>
      </w:r>
    </w:p>
    <w:p w14:paraId="565245D5" w14:textId="77777777" w:rsidR="00EB054E" w:rsidRPr="00806AC5" w:rsidRDefault="00EB054E" w:rsidP="00EB054E">
      <w:pPr>
        <w:rPr>
          <w:rFonts w:cs="Times New Roman"/>
          <w:b/>
          <w:bCs/>
        </w:rPr>
      </w:pPr>
      <w:r w:rsidRPr="00806AC5">
        <w:rPr>
          <w:rFonts w:cs="Times New Roman"/>
          <w:b/>
          <w:bCs/>
        </w:rPr>
        <w:t>Business Model and Value Proposition.</w:t>
      </w:r>
    </w:p>
    <w:p w14:paraId="1D6DBC09" w14:textId="69409243" w:rsidR="00EB054E" w:rsidRPr="00806AC5" w:rsidRDefault="00EB054E" w:rsidP="00EB054E">
      <w:pPr>
        <w:rPr>
          <w:rFonts w:cs="Times New Roman"/>
        </w:rPr>
      </w:pPr>
      <w:r w:rsidRPr="00806AC5">
        <w:rPr>
          <w:rFonts w:cs="Times New Roman"/>
        </w:rPr>
        <w:t xml:space="preserve">The Currys PLC business model focuses on offering retail convenience together with value added products like installation, post-sales services, technical support and advice. This is a </w:t>
      </w:r>
      <w:r w:rsidR="00653FAC" w:rsidRPr="00806AC5">
        <w:rPr>
          <w:rFonts w:cs="Times New Roman"/>
        </w:rPr>
        <w:t>service-based</w:t>
      </w:r>
      <w:r w:rsidRPr="00806AC5">
        <w:rPr>
          <w:rFonts w:cs="Times New Roman"/>
        </w:rPr>
        <w:t xml:space="preserve"> model that improves customer satisfaction and also makes the firm not to be confused with the simple price cutters. Integrated service and retail </w:t>
      </w:r>
      <w:r w:rsidR="00653FAC" w:rsidRPr="00806AC5">
        <w:rPr>
          <w:rFonts w:cs="Times New Roman"/>
        </w:rPr>
        <w:t>allow</w:t>
      </w:r>
      <w:r w:rsidRPr="00806AC5">
        <w:rPr>
          <w:rFonts w:cs="Times New Roman"/>
        </w:rPr>
        <w:t xml:space="preserve"> building loyalty to customers and creating long-term value (Barney, 2018).</w:t>
      </w:r>
    </w:p>
    <w:p w14:paraId="18C14978" w14:textId="18C17349" w:rsidR="00653FAC" w:rsidRPr="00806AC5" w:rsidRDefault="00653FAC" w:rsidP="00653FAC">
      <w:pPr>
        <w:jc w:val="center"/>
        <w:rPr>
          <w:rFonts w:cs="Times New Roman"/>
        </w:rPr>
      </w:pPr>
      <w:r w:rsidRPr="00806AC5">
        <w:rPr>
          <w:rFonts w:cs="Times New Roman"/>
          <w:noProof/>
          <w:lang w:eastAsia="en-GB"/>
        </w:rPr>
        <w:drawing>
          <wp:inline distT="0" distB="0" distL="0" distR="0" wp14:anchorId="146DE343" wp14:editId="3CA61C81">
            <wp:extent cx="4156364" cy="2768042"/>
            <wp:effectExtent l="0" t="0" r="0" b="0"/>
            <wp:docPr id="2" name="Picture 2" descr="10,300+ Business Model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300+ Business Model Stock Photos, Pictures &amp; Royalty-Free Images - i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8870" cy="2769711"/>
                    </a:xfrm>
                    <a:prstGeom prst="rect">
                      <a:avLst/>
                    </a:prstGeom>
                    <a:noFill/>
                    <a:ln>
                      <a:noFill/>
                    </a:ln>
                  </pic:spPr>
                </pic:pic>
              </a:graphicData>
            </a:graphic>
          </wp:inline>
        </w:drawing>
      </w:r>
    </w:p>
    <w:p w14:paraId="5FD05390" w14:textId="462612F6" w:rsidR="00653FAC" w:rsidRDefault="00653FAC" w:rsidP="00653FAC">
      <w:pPr>
        <w:jc w:val="center"/>
        <w:rPr>
          <w:rFonts w:cs="Times New Roman"/>
        </w:rPr>
      </w:pPr>
      <w:r w:rsidRPr="00806AC5">
        <w:rPr>
          <w:rFonts w:cs="Times New Roman"/>
        </w:rPr>
        <w:t>Figure: Business model (Cavusgil et al., 2020).</w:t>
      </w:r>
    </w:p>
    <w:p w14:paraId="3DB2488D" w14:textId="183C3143" w:rsidR="00DC6699" w:rsidRDefault="00DC6699" w:rsidP="00653FAC">
      <w:pPr>
        <w:jc w:val="center"/>
        <w:rPr>
          <w:rFonts w:cs="Times New Roman"/>
        </w:rPr>
      </w:pPr>
    </w:p>
    <w:p w14:paraId="583A960E" w14:textId="77777777" w:rsidR="006F552C" w:rsidRPr="00806AC5" w:rsidRDefault="006F552C" w:rsidP="00653FAC">
      <w:pPr>
        <w:jc w:val="center"/>
        <w:rPr>
          <w:rFonts w:cs="Times New Roman"/>
        </w:rPr>
      </w:pPr>
    </w:p>
    <w:p w14:paraId="15D371A0" w14:textId="77777777" w:rsidR="00EB054E" w:rsidRPr="00806AC5" w:rsidRDefault="00EB054E" w:rsidP="00EB054E">
      <w:pPr>
        <w:rPr>
          <w:rFonts w:cs="Times New Roman"/>
          <w:b/>
          <w:bCs/>
        </w:rPr>
      </w:pPr>
      <w:r w:rsidRPr="00806AC5">
        <w:rPr>
          <w:rFonts w:cs="Times New Roman"/>
          <w:b/>
          <w:bCs/>
        </w:rPr>
        <w:lastRenderedPageBreak/>
        <w:t>Essential Competencies and Strategic Strengths.</w:t>
      </w:r>
    </w:p>
    <w:p w14:paraId="761C9189" w14:textId="4A977AD7" w:rsidR="00EB054E" w:rsidRDefault="00EB054E" w:rsidP="00EB054E">
      <w:pPr>
        <w:rPr>
          <w:rFonts w:cs="Times New Roman"/>
        </w:rPr>
      </w:pPr>
      <w:r w:rsidRPr="00806AC5">
        <w:rPr>
          <w:rFonts w:cs="Times New Roman"/>
        </w:rPr>
        <w:t>Currys PLC has supply chain management, integration of the omnichannel, and the customer service delivery core competencies. These abilities will help the company to act efficiently to evolving consumer needs and technological patterns. The business has a good potential of expansion into new competitive markets globally, using its expertise and ability to adapt to its operations (Teece, 2018).</w:t>
      </w:r>
    </w:p>
    <w:p w14:paraId="305061EC" w14:textId="77777777" w:rsidR="00DC6699" w:rsidRPr="00806AC5" w:rsidRDefault="00DC6699" w:rsidP="00EB054E">
      <w:pPr>
        <w:rPr>
          <w:rFonts w:cs="Times New Roman"/>
        </w:rPr>
      </w:pPr>
    </w:p>
    <w:p w14:paraId="728ECA15" w14:textId="0F6C6FD5" w:rsidR="00EB054E" w:rsidRPr="00806AC5" w:rsidRDefault="00EB054E" w:rsidP="00EB054E">
      <w:pPr>
        <w:pStyle w:val="Heading2"/>
        <w:rPr>
          <w:rFonts w:cs="Times New Roman"/>
        </w:rPr>
      </w:pPr>
      <w:bookmarkStart w:id="3" w:name="_Toc217265094"/>
      <w:r w:rsidRPr="00806AC5">
        <w:rPr>
          <w:rFonts w:cs="Times New Roman"/>
        </w:rPr>
        <w:t>2.2: Reason behind the choice of United Arab Emirates (UAE).</w:t>
      </w:r>
      <w:bookmarkEnd w:id="3"/>
    </w:p>
    <w:p w14:paraId="6AEB7087" w14:textId="77777777" w:rsidR="00EB054E" w:rsidRPr="00806AC5" w:rsidRDefault="00EB054E" w:rsidP="00EB054E">
      <w:pPr>
        <w:rPr>
          <w:rFonts w:cs="Times New Roman"/>
          <w:b/>
          <w:bCs/>
        </w:rPr>
      </w:pPr>
      <w:r w:rsidRPr="00806AC5">
        <w:rPr>
          <w:rFonts w:cs="Times New Roman"/>
          <w:b/>
          <w:bCs/>
        </w:rPr>
        <w:t>Infrastructure and Economic Standing Market Investment Appeal.</w:t>
      </w:r>
    </w:p>
    <w:p w14:paraId="356AD031" w14:textId="4EC6BF13" w:rsidR="00EB054E" w:rsidRPr="00806AC5" w:rsidRDefault="00EB054E" w:rsidP="00EB054E">
      <w:pPr>
        <w:rPr>
          <w:rFonts w:cs="Times New Roman"/>
        </w:rPr>
      </w:pPr>
      <w:r w:rsidRPr="00806AC5">
        <w:rPr>
          <w:rFonts w:cs="Times New Roman"/>
        </w:rPr>
        <w:t>United Arab Emirates is a promising international expansion market with stable macroeconomic conditions, high disposable income, and an impressive level of consumer interest in technology as a method of product development. The business-friendly policies and diversified economy in the country encourage foreign investment and favourable environment to grow and enter the retail (Peng, 2022).</w:t>
      </w:r>
    </w:p>
    <w:p w14:paraId="6C3058C8" w14:textId="466A0B31" w:rsidR="00653FAC" w:rsidRPr="00806AC5" w:rsidRDefault="00653FAC" w:rsidP="00653FAC">
      <w:pPr>
        <w:jc w:val="center"/>
        <w:rPr>
          <w:rFonts w:cs="Times New Roman"/>
        </w:rPr>
      </w:pPr>
      <w:r w:rsidRPr="00806AC5">
        <w:rPr>
          <w:rFonts w:cs="Times New Roman"/>
          <w:noProof/>
          <w:lang w:eastAsia="en-GB"/>
        </w:rPr>
        <w:drawing>
          <wp:inline distT="0" distB="0" distL="0" distR="0" wp14:anchorId="6D3C367B" wp14:editId="69C2785E">
            <wp:extent cx="4558069" cy="281445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4629"/>
                    <a:stretch/>
                  </pic:blipFill>
                  <pic:spPr bwMode="auto">
                    <a:xfrm>
                      <a:off x="0" y="0"/>
                      <a:ext cx="4566057" cy="2819384"/>
                    </a:xfrm>
                    <a:prstGeom prst="rect">
                      <a:avLst/>
                    </a:prstGeom>
                    <a:ln>
                      <a:noFill/>
                    </a:ln>
                    <a:extLst>
                      <a:ext uri="{53640926-AAD7-44D8-BBD7-CCE9431645EC}">
                        <a14:shadowObscured xmlns:a14="http://schemas.microsoft.com/office/drawing/2010/main"/>
                      </a:ext>
                    </a:extLst>
                  </pic:spPr>
                </pic:pic>
              </a:graphicData>
            </a:graphic>
          </wp:inline>
        </w:drawing>
      </w:r>
    </w:p>
    <w:p w14:paraId="1BBFF86A" w14:textId="0DD8B0F0" w:rsidR="00653FAC" w:rsidRDefault="00653FAC" w:rsidP="00653FAC">
      <w:pPr>
        <w:jc w:val="center"/>
        <w:rPr>
          <w:rFonts w:cs="Times New Roman"/>
        </w:rPr>
      </w:pPr>
      <w:r w:rsidRPr="00806AC5">
        <w:rPr>
          <w:rFonts w:cs="Times New Roman"/>
        </w:rPr>
        <w:t>Figure: Customer behaviour (Johnson et al., 2020).</w:t>
      </w:r>
    </w:p>
    <w:p w14:paraId="1D9A4135" w14:textId="4D986687" w:rsidR="00DC6699" w:rsidRDefault="00DC6699" w:rsidP="00653FAC">
      <w:pPr>
        <w:jc w:val="center"/>
        <w:rPr>
          <w:rFonts w:cs="Times New Roman"/>
        </w:rPr>
      </w:pPr>
    </w:p>
    <w:p w14:paraId="6AA233D0" w14:textId="77777777" w:rsidR="00DC6699" w:rsidRPr="00806AC5" w:rsidRDefault="00DC6699" w:rsidP="00653FAC">
      <w:pPr>
        <w:jc w:val="center"/>
        <w:rPr>
          <w:rFonts w:cs="Times New Roman"/>
        </w:rPr>
      </w:pPr>
    </w:p>
    <w:p w14:paraId="5DC1BB92" w14:textId="77777777" w:rsidR="00EB054E" w:rsidRPr="00806AC5" w:rsidRDefault="00EB054E" w:rsidP="00EB054E">
      <w:pPr>
        <w:rPr>
          <w:rFonts w:cs="Times New Roman"/>
          <w:b/>
          <w:bCs/>
        </w:rPr>
      </w:pPr>
      <w:r w:rsidRPr="00806AC5">
        <w:rPr>
          <w:rFonts w:cs="Times New Roman"/>
          <w:b/>
          <w:bCs/>
        </w:rPr>
        <w:lastRenderedPageBreak/>
        <w:t>Consumer Behaviour and Technological Orientation.</w:t>
      </w:r>
    </w:p>
    <w:p w14:paraId="4800297F" w14:textId="5466C87E" w:rsidR="00EB054E" w:rsidRPr="00806AC5" w:rsidRDefault="00EB054E" w:rsidP="00EB054E">
      <w:pPr>
        <w:rPr>
          <w:rFonts w:cs="Times New Roman"/>
        </w:rPr>
      </w:pPr>
      <w:r w:rsidRPr="00806AC5">
        <w:rPr>
          <w:rFonts w:cs="Times New Roman"/>
        </w:rPr>
        <w:t>The UAE customers are characterised by the high level of dispensation of digital technologies and a high level of demand on high-end electronic products. The presence of this technologically advanced consumer market is one that is very close to the product portfolio and services that Currys PLC offers. (Cavusgil et al., 2020).</w:t>
      </w:r>
    </w:p>
    <w:p w14:paraId="4944C361" w14:textId="77777777" w:rsidR="00EB054E" w:rsidRPr="00806AC5" w:rsidRDefault="00EB054E" w:rsidP="00EB054E">
      <w:pPr>
        <w:rPr>
          <w:rFonts w:cs="Times New Roman"/>
          <w:b/>
          <w:bCs/>
        </w:rPr>
      </w:pPr>
      <w:r w:rsidRPr="00806AC5">
        <w:rPr>
          <w:rFonts w:cs="Times New Roman"/>
          <w:b/>
          <w:bCs/>
        </w:rPr>
        <w:t>Strategic Fit and Organisational Objectives.</w:t>
      </w:r>
    </w:p>
    <w:p w14:paraId="4B6B80A8" w14:textId="08B13EC7" w:rsidR="00DC6699" w:rsidRDefault="00EB054E" w:rsidP="00EB054E">
      <w:pPr>
        <w:rPr>
          <w:rFonts w:cs="Times New Roman"/>
        </w:rPr>
      </w:pPr>
      <w:r w:rsidRPr="00806AC5">
        <w:rPr>
          <w:rFonts w:cs="Times New Roman"/>
        </w:rPr>
        <w:t>The expansion into the UAE is in line with the strategic goal of Currys PLC to diversify its revenues by going beyond the mature European markets. The fact that the region is a business hub in the Middle East also increases its strategic position, providing future chances at regional expansion and the possibility of long-term development (Yip &amp; Hult, 2018).</w:t>
      </w:r>
    </w:p>
    <w:p w14:paraId="12C1FE23" w14:textId="77777777" w:rsidR="00D332D1" w:rsidRPr="00806AC5" w:rsidRDefault="00D332D1" w:rsidP="00EB054E">
      <w:pPr>
        <w:rPr>
          <w:rFonts w:cs="Times New Roman"/>
        </w:rPr>
      </w:pPr>
    </w:p>
    <w:p w14:paraId="2BA3D4F6" w14:textId="2B58DF41" w:rsidR="00EB054E" w:rsidRPr="00806AC5" w:rsidRDefault="00EB054E" w:rsidP="00EB054E">
      <w:pPr>
        <w:pStyle w:val="Heading2"/>
        <w:rPr>
          <w:rFonts w:cs="Times New Roman"/>
        </w:rPr>
      </w:pPr>
      <w:bookmarkStart w:id="4" w:name="_Toc217265095"/>
      <w:r w:rsidRPr="00806AC5">
        <w:rPr>
          <w:rFonts w:cs="Times New Roman"/>
        </w:rPr>
        <w:t>2.3 Strategic-based Justification on Organisation-Market Alignment.</w:t>
      </w:r>
      <w:bookmarkEnd w:id="4"/>
    </w:p>
    <w:p w14:paraId="472DA0D5" w14:textId="77777777" w:rsidR="00EB054E" w:rsidRPr="00806AC5" w:rsidRDefault="00EB054E" w:rsidP="00EB054E">
      <w:pPr>
        <w:rPr>
          <w:rFonts w:cs="Times New Roman"/>
          <w:b/>
          <w:bCs/>
        </w:rPr>
      </w:pPr>
      <w:r w:rsidRPr="00806AC5">
        <w:rPr>
          <w:rFonts w:cs="Times New Roman"/>
          <w:b/>
          <w:bCs/>
        </w:rPr>
        <w:t>Misfit of Resources and Market Requirements.</w:t>
      </w:r>
    </w:p>
    <w:p w14:paraId="10AC10FA" w14:textId="0B79991B" w:rsidR="00EB054E" w:rsidRPr="00806AC5" w:rsidRDefault="00EB054E" w:rsidP="00EB054E">
      <w:pPr>
        <w:rPr>
          <w:rFonts w:cs="Times New Roman"/>
        </w:rPr>
      </w:pPr>
      <w:r w:rsidRPr="00806AC5">
        <w:rPr>
          <w:rFonts w:cs="Times New Roman"/>
        </w:rPr>
        <w:t>Demands of the UAE market are the high quality of produced goods, excellent service support, and digital integration. The developed resources and capabilities that Currys PLC has can be matched well to these expectations. Its position in the market and competitiveness is supported by its capacity to take advantage of operational knowledge, customer-centred approaches to markets (Grant, 2019).</w:t>
      </w:r>
    </w:p>
    <w:p w14:paraId="34140443" w14:textId="77777777" w:rsidR="00EB054E" w:rsidRPr="00806AC5" w:rsidRDefault="00EB054E" w:rsidP="00EB054E">
      <w:pPr>
        <w:rPr>
          <w:rFonts w:cs="Times New Roman"/>
          <w:b/>
          <w:bCs/>
        </w:rPr>
      </w:pPr>
      <w:r w:rsidRPr="00806AC5">
        <w:rPr>
          <w:rFonts w:cs="Times New Roman"/>
          <w:b/>
          <w:bCs/>
        </w:rPr>
        <w:t>Risk Diversification and Growth Potential.</w:t>
      </w:r>
    </w:p>
    <w:p w14:paraId="7E973200" w14:textId="3110B903" w:rsidR="00653FAC" w:rsidRPr="00806AC5" w:rsidRDefault="00EB054E" w:rsidP="00EB054E">
      <w:pPr>
        <w:rPr>
          <w:rFonts w:cs="Times New Roman"/>
        </w:rPr>
      </w:pPr>
      <w:r w:rsidRPr="00806AC5">
        <w:rPr>
          <w:rFonts w:cs="Times New Roman"/>
        </w:rPr>
        <w:t>Growth into the UAE would make Currys PLC less reliant on competitive local markets as it exploits the high-growth opportunities. Geographic diversification improves the organisational resilience and contributes to the long-term strategic sustainability through diversifying risk in different markets (Hitt et al., 2020).</w:t>
      </w:r>
    </w:p>
    <w:p w14:paraId="581A6CE3" w14:textId="5C52C230" w:rsidR="00DC6699" w:rsidRDefault="00DC6699" w:rsidP="00653FAC">
      <w:pPr>
        <w:jc w:val="center"/>
        <w:rPr>
          <w:rFonts w:cs="Times New Roman"/>
        </w:rPr>
      </w:pPr>
    </w:p>
    <w:p w14:paraId="216176E3" w14:textId="04C36456" w:rsidR="00DC6699" w:rsidRPr="00806AC5" w:rsidRDefault="00DC6699" w:rsidP="00D332D1">
      <w:pPr>
        <w:rPr>
          <w:rFonts w:cs="Times New Roman"/>
        </w:rPr>
      </w:pPr>
    </w:p>
    <w:p w14:paraId="22046E15" w14:textId="21452EE2" w:rsidR="00EB054E" w:rsidRPr="00806AC5" w:rsidRDefault="00F17D8D" w:rsidP="00F17D8D">
      <w:pPr>
        <w:pStyle w:val="Heading1"/>
        <w:rPr>
          <w:rFonts w:cs="Times New Roman"/>
        </w:rPr>
      </w:pPr>
      <w:bookmarkStart w:id="5" w:name="_Toc217265096"/>
      <w:r w:rsidRPr="00806AC5">
        <w:rPr>
          <w:rFonts w:cs="Times New Roman"/>
        </w:rPr>
        <w:lastRenderedPageBreak/>
        <w:t>3. Comprehensive Strategic Analysis</w:t>
      </w:r>
      <w:bookmarkEnd w:id="5"/>
    </w:p>
    <w:p w14:paraId="2B80B672" w14:textId="09106DE6" w:rsidR="00F17D8D" w:rsidRPr="00806AC5" w:rsidRDefault="00F17D8D" w:rsidP="00F17D8D">
      <w:pPr>
        <w:pStyle w:val="Heading2"/>
        <w:rPr>
          <w:rFonts w:cs="Times New Roman"/>
        </w:rPr>
      </w:pPr>
      <w:bookmarkStart w:id="6" w:name="_Toc217265097"/>
      <w:r w:rsidRPr="00806AC5">
        <w:rPr>
          <w:rFonts w:cs="Times New Roman"/>
        </w:rPr>
        <w:t>3.1 PESTLE Framework</w:t>
      </w:r>
      <w:bookmarkEnd w:id="6"/>
    </w:p>
    <w:p w14:paraId="03E3F92D" w14:textId="77777777" w:rsidR="00F17D8D" w:rsidRPr="00806AC5" w:rsidRDefault="00F17D8D" w:rsidP="006461D3">
      <w:pPr>
        <w:jc w:val="center"/>
        <w:rPr>
          <w:rFonts w:cs="Times New Roman"/>
          <w:b/>
          <w:bCs/>
        </w:rPr>
      </w:pPr>
      <w:r w:rsidRPr="00806AC5">
        <w:rPr>
          <w:rFonts w:cs="Times New Roman"/>
          <w:b/>
          <w:bCs/>
        </w:rPr>
        <w:t>Political Environment</w:t>
      </w:r>
    </w:p>
    <w:p w14:paraId="78741735" w14:textId="184788C0" w:rsidR="00F17D8D" w:rsidRPr="00806AC5" w:rsidRDefault="00F17D8D" w:rsidP="00F17D8D">
      <w:pPr>
        <w:rPr>
          <w:rFonts w:cs="Times New Roman"/>
        </w:rPr>
      </w:pPr>
      <w:r w:rsidRPr="00806AC5">
        <w:rPr>
          <w:rFonts w:cs="Times New Roman"/>
        </w:rPr>
        <w:t>The UAE has a stable political regime which is facilitated by long term national development policies and effective governance structures. Stable governments lower the levels of uncertainty among other foreign investors and various strategic thinking towards long-term business in retail (Peng, 2022).</w:t>
      </w:r>
    </w:p>
    <w:p w14:paraId="18AB4F88" w14:textId="77777777" w:rsidR="00F17D8D" w:rsidRPr="00806AC5" w:rsidRDefault="00F17D8D" w:rsidP="00F17D8D">
      <w:pPr>
        <w:rPr>
          <w:rFonts w:cs="Times New Roman"/>
          <w:b/>
          <w:bCs/>
        </w:rPr>
      </w:pPr>
      <w:r w:rsidRPr="00806AC5">
        <w:rPr>
          <w:rFonts w:cs="Times New Roman"/>
          <w:b/>
          <w:bCs/>
        </w:rPr>
        <w:t>Investment of Foreign Investment by the government.</w:t>
      </w:r>
    </w:p>
    <w:p w14:paraId="2957EB42" w14:textId="0F6F72DD" w:rsidR="00F17D8D" w:rsidRPr="00806AC5" w:rsidRDefault="00F17D8D" w:rsidP="00F17D8D">
      <w:pPr>
        <w:rPr>
          <w:rFonts w:cs="Times New Roman"/>
        </w:rPr>
      </w:pPr>
      <w:r w:rsidRPr="00806AC5">
        <w:rPr>
          <w:rFonts w:cs="Times New Roman"/>
        </w:rPr>
        <w:t>The UAE government is very welcoming to foreign direct investment by way of liberalisation of ownership laws and business conducive policies. The administrative barriers to the multinational firms are also mitigated by special economic zones and simplified licencing procedures. All these steps make the UAE more appealing to international retailers to expand their operations in the region (Dunning and Lundan, 2016).</w:t>
      </w:r>
    </w:p>
    <w:p w14:paraId="5963FFAF" w14:textId="7D49E591" w:rsidR="00E80BC6" w:rsidRPr="00806AC5" w:rsidRDefault="00E80BC6" w:rsidP="00E80BC6">
      <w:pPr>
        <w:jc w:val="center"/>
        <w:rPr>
          <w:rFonts w:cs="Times New Roman"/>
        </w:rPr>
      </w:pPr>
      <w:r w:rsidRPr="00806AC5">
        <w:rPr>
          <w:rFonts w:cs="Times New Roman"/>
          <w:noProof/>
          <w:lang w:eastAsia="en-GB"/>
        </w:rPr>
        <w:drawing>
          <wp:inline distT="0" distB="0" distL="0" distR="0" wp14:anchorId="57772EE5" wp14:editId="1C82CA42">
            <wp:extent cx="5221960" cy="2617118"/>
            <wp:effectExtent l="0" t="0" r="0" b="0"/>
            <wp:docPr id="6" name="Picture 6" descr="PESTEL Analysis: A Comprehensive Guide for Strategic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A Comprehensive Guide for Strategic Plan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48413" cy="2630375"/>
                    </a:xfrm>
                    <a:prstGeom prst="rect">
                      <a:avLst/>
                    </a:prstGeom>
                    <a:noFill/>
                    <a:ln>
                      <a:noFill/>
                    </a:ln>
                  </pic:spPr>
                </pic:pic>
              </a:graphicData>
            </a:graphic>
          </wp:inline>
        </w:drawing>
      </w:r>
    </w:p>
    <w:p w14:paraId="3755E48B" w14:textId="6BF72607" w:rsidR="00E80BC6" w:rsidRDefault="00E80BC6" w:rsidP="00E80BC6">
      <w:pPr>
        <w:jc w:val="center"/>
        <w:rPr>
          <w:rFonts w:cs="Times New Roman"/>
        </w:rPr>
      </w:pPr>
      <w:r w:rsidRPr="00806AC5">
        <w:rPr>
          <w:rFonts w:cs="Times New Roman"/>
        </w:rPr>
        <w:t>Figure: PESTEL analysis (Grant, 2019).</w:t>
      </w:r>
    </w:p>
    <w:p w14:paraId="037AD9ED" w14:textId="71DF4309" w:rsidR="00DC6699" w:rsidRDefault="00DC6699" w:rsidP="00E80BC6">
      <w:pPr>
        <w:jc w:val="center"/>
        <w:rPr>
          <w:rFonts w:cs="Times New Roman"/>
        </w:rPr>
      </w:pPr>
    </w:p>
    <w:p w14:paraId="1D1BAF20" w14:textId="77777777" w:rsidR="006F552C" w:rsidRDefault="006F552C" w:rsidP="00E80BC6">
      <w:pPr>
        <w:jc w:val="center"/>
        <w:rPr>
          <w:rFonts w:cs="Times New Roman"/>
        </w:rPr>
      </w:pPr>
    </w:p>
    <w:p w14:paraId="09C18A7C" w14:textId="77777777" w:rsidR="00DC6699" w:rsidRPr="00806AC5" w:rsidRDefault="00DC6699" w:rsidP="00E80BC6">
      <w:pPr>
        <w:jc w:val="center"/>
        <w:rPr>
          <w:rFonts w:cs="Times New Roman"/>
        </w:rPr>
      </w:pPr>
    </w:p>
    <w:p w14:paraId="2CE8FA5A" w14:textId="77777777" w:rsidR="00F17D8D" w:rsidRPr="00806AC5" w:rsidRDefault="00F17D8D" w:rsidP="00014B35">
      <w:pPr>
        <w:jc w:val="center"/>
        <w:rPr>
          <w:rFonts w:cs="Times New Roman"/>
          <w:b/>
          <w:bCs/>
        </w:rPr>
      </w:pPr>
      <w:r w:rsidRPr="00806AC5">
        <w:rPr>
          <w:rFonts w:cs="Times New Roman"/>
          <w:b/>
          <w:bCs/>
        </w:rPr>
        <w:lastRenderedPageBreak/>
        <w:t>Previous Economic Growth and Levels of Income.</w:t>
      </w:r>
    </w:p>
    <w:p w14:paraId="218B3445" w14:textId="41964F2B" w:rsidR="00F17D8D" w:rsidRPr="00806AC5" w:rsidRDefault="00F17D8D" w:rsidP="00F17D8D">
      <w:pPr>
        <w:rPr>
          <w:rFonts w:cs="Times New Roman"/>
        </w:rPr>
      </w:pPr>
      <w:r w:rsidRPr="00806AC5">
        <w:rPr>
          <w:rFonts w:cs="Times New Roman"/>
        </w:rPr>
        <w:t>The economy of the UAE is typified by high per capita income, low unemployment rates and economic growth. High consumer spending power favours demand of the high end electronic products and household gadgets. These economic factors provide profitable revenue-making chances to the retailers that focus on the consumers with a high level of technological sophistication (Cavusgil et al., 2020).</w:t>
      </w:r>
    </w:p>
    <w:p w14:paraId="7460F668" w14:textId="77777777" w:rsidR="00F17D8D" w:rsidRPr="00806AC5" w:rsidRDefault="00F17D8D" w:rsidP="00F17D8D">
      <w:pPr>
        <w:rPr>
          <w:rFonts w:cs="Times New Roman"/>
          <w:b/>
          <w:bCs/>
        </w:rPr>
      </w:pPr>
      <w:r w:rsidRPr="00806AC5">
        <w:rPr>
          <w:rFonts w:cs="Times New Roman"/>
          <w:b/>
          <w:bCs/>
        </w:rPr>
        <w:t>Retail Market Development</w:t>
      </w:r>
    </w:p>
    <w:p w14:paraId="335C21CB" w14:textId="3E67F804" w:rsidR="00F17D8D" w:rsidRPr="00806AC5" w:rsidRDefault="00F17D8D" w:rsidP="00F17D8D">
      <w:pPr>
        <w:rPr>
          <w:rFonts w:cs="Times New Roman"/>
        </w:rPr>
      </w:pPr>
      <w:r w:rsidRPr="00806AC5">
        <w:rPr>
          <w:rFonts w:cs="Times New Roman"/>
        </w:rPr>
        <w:t>The UAE retail industry still grows with the help of shopping malls, online technologies, and immersive retailing ideas. There is also high demand of electronics due to high consumer expenditure and tourism industry. This is an economic condition that enables growth strategies that are scalable and justifies entry to the market by old international retailers (Grant, 2019).</w:t>
      </w:r>
    </w:p>
    <w:p w14:paraId="6FE5E286" w14:textId="53C7E6C9" w:rsidR="00E80BC6" w:rsidRPr="00806AC5" w:rsidRDefault="00E80BC6" w:rsidP="00E80BC6">
      <w:pPr>
        <w:jc w:val="center"/>
        <w:rPr>
          <w:rFonts w:cs="Times New Roman"/>
        </w:rPr>
      </w:pPr>
      <w:r w:rsidRPr="00806AC5">
        <w:rPr>
          <w:rFonts w:cs="Times New Roman"/>
          <w:noProof/>
          <w:lang w:eastAsia="en-GB"/>
        </w:rPr>
        <w:drawing>
          <wp:inline distT="0" distB="0" distL="0" distR="0" wp14:anchorId="7D658A3E" wp14:editId="42DA5479">
            <wp:extent cx="3027680" cy="2583712"/>
            <wp:effectExtent l="0" t="0" r="1270" b="7620"/>
            <wp:docPr id="7" name="Picture 7"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phot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4646" cy="2589656"/>
                    </a:xfrm>
                    <a:prstGeom prst="rect">
                      <a:avLst/>
                    </a:prstGeom>
                    <a:noFill/>
                    <a:ln>
                      <a:noFill/>
                    </a:ln>
                  </pic:spPr>
                </pic:pic>
              </a:graphicData>
            </a:graphic>
          </wp:inline>
        </w:drawing>
      </w:r>
    </w:p>
    <w:p w14:paraId="562A24D0" w14:textId="142E7195" w:rsidR="00E80BC6" w:rsidRPr="00806AC5" w:rsidRDefault="00E80BC6" w:rsidP="00E80BC6">
      <w:pPr>
        <w:jc w:val="center"/>
        <w:rPr>
          <w:rFonts w:cs="Times New Roman"/>
        </w:rPr>
      </w:pPr>
      <w:r w:rsidRPr="00806AC5">
        <w:rPr>
          <w:rFonts w:cs="Times New Roman"/>
        </w:rPr>
        <w:t>Figure: Business trend (Teece, 2018).</w:t>
      </w:r>
    </w:p>
    <w:p w14:paraId="70892FA0" w14:textId="35A291A9" w:rsidR="00F17D8D" w:rsidRPr="00806AC5" w:rsidRDefault="00F17D8D" w:rsidP="00C55696">
      <w:pPr>
        <w:jc w:val="center"/>
        <w:rPr>
          <w:rFonts w:cs="Times New Roman"/>
          <w:b/>
          <w:bCs/>
        </w:rPr>
      </w:pPr>
      <w:r w:rsidRPr="00806AC5">
        <w:rPr>
          <w:rFonts w:cs="Times New Roman"/>
          <w:b/>
          <w:bCs/>
        </w:rPr>
        <w:t>Social and Cultural Diversity</w:t>
      </w:r>
    </w:p>
    <w:p w14:paraId="2815EC63" w14:textId="38BAE2ED" w:rsidR="00F17D8D" w:rsidRPr="00806AC5" w:rsidRDefault="00F17D8D" w:rsidP="00F17D8D">
      <w:pPr>
        <w:rPr>
          <w:rFonts w:cs="Times New Roman"/>
        </w:rPr>
      </w:pPr>
      <w:r w:rsidRPr="00806AC5">
        <w:rPr>
          <w:rFonts w:cs="Times New Roman"/>
        </w:rPr>
        <w:t>The UAE population is very diverse and comprises expatriates of various cultures. This diversity-based environment predisposes diversity in consumption patterns and demand of global brands. Retailers are forced to make adjustments to offer differentiated products that appeal to the needs of different preferences without altering the brand name and the quality of provided services (Johnson et al., 2020).</w:t>
      </w:r>
    </w:p>
    <w:p w14:paraId="6C1A5519" w14:textId="74A07277" w:rsidR="00F17D8D" w:rsidRPr="00806AC5" w:rsidRDefault="00F17D8D" w:rsidP="00F17D8D">
      <w:pPr>
        <w:rPr>
          <w:rFonts w:cs="Times New Roman"/>
          <w:b/>
          <w:bCs/>
        </w:rPr>
      </w:pPr>
      <w:r w:rsidRPr="00806AC5">
        <w:rPr>
          <w:rFonts w:cs="Times New Roman"/>
          <w:b/>
          <w:bCs/>
        </w:rPr>
        <w:lastRenderedPageBreak/>
        <w:t>The Trends in Lifestyle and Consumption</w:t>
      </w:r>
    </w:p>
    <w:p w14:paraId="2784F2D2" w14:textId="4A542D4D" w:rsidR="00F17D8D" w:rsidRPr="00806AC5" w:rsidRDefault="00F17D8D" w:rsidP="00F17D8D">
      <w:pPr>
        <w:rPr>
          <w:rFonts w:cs="Times New Roman"/>
        </w:rPr>
      </w:pPr>
      <w:r w:rsidRPr="00806AC5">
        <w:rPr>
          <w:rFonts w:cs="Times New Roman"/>
        </w:rPr>
        <w:t>The UAE consumers demonstrate lifestyle-based purchasing behaviour where there is high interest in the innovation, convenience, and premium products. A high urbanisation rate and digital literacy influence consumer values of smooth retailing. These patterns are in line with the fact that Currys PLC focuses on retail and customer service differentiation through the use of technology (Rothaermel, 2021).</w:t>
      </w:r>
    </w:p>
    <w:p w14:paraId="3264390F" w14:textId="77777777" w:rsidR="00F17D8D" w:rsidRPr="00806AC5" w:rsidRDefault="00F17D8D" w:rsidP="00903BE4">
      <w:pPr>
        <w:jc w:val="center"/>
        <w:rPr>
          <w:rFonts w:cs="Times New Roman"/>
          <w:b/>
          <w:bCs/>
        </w:rPr>
      </w:pPr>
      <w:r w:rsidRPr="00806AC5">
        <w:rPr>
          <w:rFonts w:cs="Times New Roman"/>
          <w:b/>
          <w:bCs/>
        </w:rPr>
        <w:t>Technological Infrastructure</w:t>
      </w:r>
    </w:p>
    <w:p w14:paraId="3F442A44" w14:textId="5A66B4F2" w:rsidR="00F17D8D" w:rsidRPr="00806AC5" w:rsidRDefault="00F17D8D" w:rsidP="00F17D8D">
      <w:pPr>
        <w:rPr>
          <w:rFonts w:cs="Times New Roman"/>
        </w:rPr>
      </w:pPr>
      <w:r w:rsidRPr="00806AC5">
        <w:rPr>
          <w:rFonts w:cs="Times New Roman"/>
        </w:rPr>
        <w:t>UAE is a state leader in digital infrastructure, as the internet is available to many people, and telecommunication networks are well-developed. The smart city efforts by government d</w:t>
      </w:r>
      <w:r w:rsidR="00C51E1F">
        <w:rPr>
          <w:rFonts w:cs="Times New Roman"/>
        </w:rPr>
        <w:t xml:space="preserve">rive digital use in industries </w:t>
      </w:r>
      <w:r w:rsidRPr="00806AC5">
        <w:rPr>
          <w:rFonts w:cs="Times New Roman"/>
        </w:rPr>
        <w:t>(Teece, 2018).</w:t>
      </w:r>
    </w:p>
    <w:p w14:paraId="351657EF" w14:textId="77777777" w:rsidR="00F17D8D" w:rsidRPr="00806AC5" w:rsidRDefault="00F17D8D" w:rsidP="00F17D8D">
      <w:pPr>
        <w:rPr>
          <w:rFonts w:cs="Times New Roman"/>
          <w:b/>
          <w:bCs/>
        </w:rPr>
      </w:pPr>
      <w:r w:rsidRPr="00806AC5">
        <w:rPr>
          <w:rFonts w:cs="Times New Roman"/>
          <w:b/>
          <w:bCs/>
        </w:rPr>
        <w:t>E-Business and Dynamic Adoption.</w:t>
      </w:r>
    </w:p>
    <w:p w14:paraId="475D2464" w14:textId="2513145C" w:rsidR="00F17D8D" w:rsidRPr="00806AC5" w:rsidRDefault="00F17D8D" w:rsidP="00F17D8D">
      <w:pPr>
        <w:rPr>
          <w:rFonts w:cs="Times New Roman"/>
        </w:rPr>
      </w:pPr>
      <w:r w:rsidRPr="00806AC5">
        <w:rPr>
          <w:rFonts w:cs="Times New Roman"/>
        </w:rPr>
        <w:t>The e-commerce in UAE is highly penetrating as it is supported by safe payment systems and logistics infrastructure. Consumers turn out online more to research about a product and make purchases. To stay competitive in this highly developed technologically market, retailers should be able to incorporate the digital capabilities (Peng, 2022).</w:t>
      </w:r>
    </w:p>
    <w:p w14:paraId="5B49F122" w14:textId="77777777" w:rsidR="00F17D8D" w:rsidRPr="00806AC5" w:rsidRDefault="00F17D8D" w:rsidP="00903BE4">
      <w:pPr>
        <w:jc w:val="center"/>
        <w:rPr>
          <w:rFonts w:cs="Times New Roman"/>
          <w:b/>
          <w:bCs/>
        </w:rPr>
      </w:pPr>
      <w:r w:rsidRPr="00806AC5">
        <w:rPr>
          <w:rFonts w:cs="Times New Roman"/>
          <w:b/>
          <w:bCs/>
        </w:rPr>
        <w:t>Regulatory Frameworks and the Law.</w:t>
      </w:r>
    </w:p>
    <w:p w14:paraId="31689F78" w14:textId="0A3CC2E5" w:rsidR="00F17D8D" w:rsidRPr="00806AC5" w:rsidRDefault="00F17D8D" w:rsidP="00F17D8D">
      <w:pPr>
        <w:rPr>
          <w:rFonts w:cs="Times New Roman"/>
        </w:rPr>
      </w:pPr>
      <w:r w:rsidRPr="00806AC5">
        <w:rPr>
          <w:rFonts w:cs="Times New Roman"/>
        </w:rPr>
        <w:t>The legal environment of the UAE has been transformed to enhance the aspects of transparency, protection of intellectual property and business regulation. Certainty in the law boosts operation security and facilitates long term investment decision (Dunning and Lundan, 2016).</w:t>
      </w:r>
    </w:p>
    <w:p w14:paraId="15BA894D" w14:textId="01427A3B" w:rsidR="00F17D8D" w:rsidRPr="00806AC5" w:rsidRDefault="00F17D8D" w:rsidP="00F17D8D">
      <w:pPr>
        <w:rPr>
          <w:rFonts w:cs="Times New Roman"/>
          <w:b/>
          <w:bCs/>
        </w:rPr>
      </w:pPr>
      <w:r w:rsidRPr="00806AC5">
        <w:rPr>
          <w:rFonts w:cs="Times New Roman"/>
          <w:b/>
          <w:bCs/>
        </w:rPr>
        <w:t>Consumer Protection and Compliance</w:t>
      </w:r>
    </w:p>
    <w:p w14:paraId="0A21A11E" w14:textId="67EBBFD6" w:rsidR="00F17D8D" w:rsidRDefault="00F17D8D" w:rsidP="00F17D8D">
      <w:pPr>
        <w:rPr>
          <w:rFonts w:cs="Times New Roman"/>
        </w:rPr>
      </w:pPr>
      <w:r w:rsidRPr="00806AC5">
        <w:rPr>
          <w:rFonts w:cs="Times New Roman"/>
        </w:rPr>
        <w:t>The retailers that have operation in UAE should observe compliance with consumer protection laws, warranty, and pricing laws. Compliance will make the operation more expensive yet the consumer confidence. Companies that are able to cope with regulation requirements well may be able to promote the brand name and trust of consumers in the market (Grant, 2019).</w:t>
      </w:r>
    </w:p>
    <w:p w14:paraId="5A2B6702" w14:textId="75932FDA" w:rsidR="006F552C" w:rsidRDefault="006F552C" w:rsidP="00F17D8D">
      <w:pPr>
        <w:rPr>
          <w:rFonts w:cs="Times New Roman"/>
        </w:rPr>
      </w:pPr>
    </w:p>
    <w:p w14:paraId="2A9FC13F" w14:textId="2AF06B93" w:rsidR="006F552C" w:rsidRDefault="006F552C" w:rsidP="00F17D8D">
      <w:pPr>
        <w:rPr>
          <w:rFonts w:cs="Times New Roman"/>
        </w:rPr>
      </w:pPr>
    </w:p>
    <w:p w14:paraId="645BA5A4" w14:textId="77777777" w:rsidR="00C51E1F" w:rsidRPr="00806AC5" w:rsidRDefault="00C51E1F" w:rsidP="00F17D8D">
      <w:pPr>
        <w:rPr>
          <w:rFonts w:cs="Times New Roman"/>
        </w:rPr>
      </w:pPr>
    </w:p>
    <w:p w14:paraId="472EA4CF" w14:textId="77777777" w:rsidR="00F17D8D" w:rsidRPr="00806AC5" w:rsidRDefault="00F17D8D" w:rsidP="005063B3">
      <w:pPr>
        <w:jc w:val="center"/>
        <w:rPr>
          <w:rFonts w:cs="Times New Roman"/>
          <w:b/>
          <w:bCs/>
        </w:rPr>
      </w:pPr>
      <w:r w:rsidRPr="00806AC5">
        <w:rPr>
          <w:rFonts w:cs="Times New Roman"/>
          <w:b/>
          <w:bCs/>
        </w:rPr>
        <w:lastRenderedPageBreak/>
        <w:t>Environmental Expectations of Sustainability.</w:t>
      </w:r>
    </w:p>
    <w:p w14:paraId="2CCDCCAB" w14:textId="390B079D" w:rsidR="00F17D8D" w:rsidRPr="00806AC5" w:rsidRDefault="00F17D8D" w:rsidP="00F17D8D">
      <w:pPr>
        <w:rPr>
          <w:rFonts w:cs="Times New Roman"/>
        </w:rPr>
      </w:pPr>
      <w:r w:rsidRPr="00806AC5">
        <w:rPr>
          <w:rFonts w:cs="Times New Roman"/>
        </w:rPr>
        <w:t>The issue of environmental sustainability is on the rise in the strategic planning of the UAE. Retailers are also more and more likely to take on eco-friendly energy consumption and conscientious waste disposal. Sustainability practises create differentiation and alignment in response to the changing consumer values and regulatory requirements (Whittington et al., 2017).</w:t>
      </w:r>
    </w:p>
    <w:p w14:paraId="6E317BE2" w14:textId="77777777" w:rsidR="00F17D8D" w:rsidRPr="00806AC5" w:rsidRDefault="00F17D8D" w:rsidP="00F17D8D">
      <w:pPr>
        <w:rPr>
          <w:rFonts w:cs="Times New Roman"/>
          <w:b/>
          <w:bCs/>
        </w:rPr>
      </w:pPr>
      <w:r w:rsidRPr="00806AC5">
        <w:rPr>
          <w:rFonts w:cs="Times New Roman"/>
          <w:b/>
          <w:bCs/>
        </w:rPr>
        <w:t>Corporate Responsibility and Reputation.</w:t>
      </w:r>
    </w:p>
    <w:p w14:paraId="3F4BF739" w14:textId="772FF6D0" w:rsidR="00F17D8D" w:rsidRPr="00806AC5" w:rsidRDefault="00F17D8D" w:rsidP="00F17D8D">
      <w:pPr>
        <w:rPr>
          <w:rFonts w:cs="Times New Roman"/>
        </w:rPr>
      </w:pPr>
      <w:r w:rsidRPr="00806AC5">
        <w:rPr>
          <w:rFonts w:cs="Times New Roman"/>
        </w:rPr>
        <w:t>Companies that exhibit environmental and social responsibility have more chances of developing favourable brand perceptions in UAE. Long-term legitimacy and trust of the stakeholders are related to the strategies that are aimed at sustainability. Business practises should be aligned with the environmental objectives to promote sustainable competitive advantage in the global market (Wenzel et al., 2021).</w:t>
      </w:r>
    </w:p>
    <w:p w14:paraId="1D1B7557" w14:textId="2C45F679" w:rsidR="00E80BC6" w:rsidRPr="00806AC5" w:rsidRDefault="00E80BC6" w:rsidP="00E80BC6">
      <w:pPr>
        <w:jc w:val="center"/>
        <w:rPr>
          <w:rFonts w:cs="Times New Roman"/>
        </w:rPr>
      </w:pPr>
      <w:r w:rsidRPr="00806AC5">
        <w:rPr>
          <w:rFonts w:cs="Times New Roman"/>
          <w:noProof/>
          <w:lang w:eastAsia="en-GB"/>
        </w:rPr>
        <w:drawing>
          <wp:inline distT="0" distB="0" distL="0" distR="0" wp14:anchorId="14D3F64C" wp14:editId="7D59DD94">
            <wp:extent cx="3974067" cy="2977578"/>
            <wp:effectExtent l="0" t="0" r="7620" b="0"/>
            <wp:docPr id="8" name="Picture 8" descr="Corporate Social Responsibility and Environmental, Social, and Governance -  A Simple Guide | TheGiving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porate Social Responsibility and Environmental, Social, and Governance -  A Simple Guide | TheGivingMach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82162" cy="2983644"/>
                    </a:xfrm>
                    <a:prstGeom prst="rect">
                      <a:avLst/>
                    </a:prstGeom>
                    <a:noFill/>
                    <a:ln>
                      <a:noFill/>
                    </a:ln>
                  </pic:spPr>
                </pic:pic>
              </a:graphicData>
            </a:graphic>
          </wp:inline>
        </w:drawing>
      </w:r>
    </w:p>
    <w:p w14:paraId="4817DEEF" w14:textId="19FC83CF" w:rsidR="00E80BC6" w:rsidRDefault="00E80BC6" w:rsidP="00E80BC6">
      <w:pPr>
        <w:jc w:val="center"/>
        <w:rPr>
          <w:rFonts w:cs="Times New Roman"/>
        </w:rPr>
      </w:pPr>
      <w:r w:rsidRPr="00806AC5">
        <w:rPr>
          <w:rFonts w:cs="Times New Roman"/>
        </w:rPr>
        <w:t>Figure: Corporate responsibility (Hitt et al., 2020).</w:t>
      </w:r>
    </w:p>
    <w:p w14:paraId="0759663B" w14:textId="2747A961" w:rsidR="00DC6699" w:rsidRDefault="00DC6699" w:rsidP="00E80BC6">
      <w:pPr>
        <w:jc w:val="center"/>
        <w:rPr>
          <w:rFonts w:cs="Times New Roman"/>
        </w:rPr>
      </w:pPr>
    </w:p>
    <w:p w14:paraId="0339B7F9" w14:textId="4AEFAB12" w:rsidR="00DC6699" w:rsidRDefault="00DC6699" w:rsidP="00E80BC6">
      <w:pPr>
        <w:jc w:val="center"/>
        <w:rPr>
          <w:rFonts w:cs="Times New Roman"/>
        </w:rPr>
      </w:pPr>
    </w:p>
    <w:p w14:paraId="67829F3D" w14:textId="7AF79AFC" w:rsidR="00DC6699" w:rsidRDefault="00DC6699" w:rsidP="00E80BC6">
      <w:pPr>
        <w:jc w:val="center"/>
        <w:rPr>
          <w:rFonts w:cs="Times New Roman"/>
        </w:rPr>
      </w:pPr>
    </w:p>
    <w:p w14:paraId="08019F20" w14:textId="77777777" w:rsidR="00DC6699" w:rsidRPr="00806AC5" w:rsidRDefault="00DC6699" w:rsidP="00E80BC6">
      <w:pPr>
        <w:jc w:val="center"/>
        <w:rPr>
          <w:rFonts w:cs="Times New Roman"/>
        </w:rPr>
      </w:pPr>
    </w:p>
    <w:p w14:paraId="2DD0A5C7" w14:textId="061C6F2B" w:rsidR="00F17D8D" w:rsidRPr="00806AC5" w:rsidRDefault="00F17D8D" w:rsidP="00F17D8D">
      <w:pPr>
        <w:pStyle w:val="Heading2"/>
        <w:rPr>
          <w:rFonts w:cs="Times New Roman"/>
        </w:rPr>
      </w:pPr>
      <w:bookmarkStart w:id="7" w:name="_Toc217265098"/>
      <w:r w:rsidRPr="00806AC5">
        <w:rPr>
          <w:rFonts w:cs="Times New Roman"/>
        </w:rPr>
        <w:lastRenderedPageBreak/>
        <w:t>3.2 Industry, Competitive Landscape Analysis.</w:t>
      </w:r>
      <w:bookmarkEnd w:id="7"/>
    </w:p>
    <w:p w14:paraId="3874889A" w14:textId="77777777" w:rsidR="00F17D8D" w:rsidRPr="00806AC5" w:rsidRDefault="00F17D8D" w:rsidP="00F17D8D">
      <w:pPr>
        <w:rPr>
          <w:rFonts w:cs="Times New Roman"/>
          <w:b/>
          <w:bCs/>
        </w:rPr>
      </w:pPr>
      <w:r w:rsidRPr="00806AC5">
        <w:rPr>
          <w:rFonts w:cs="Times New Roman"/>
          <w:b/>
          <w:bCs/>
        </w:rPr>
        <w:t>Industry Characteristics</w:t>
      </w:r>
    </w:p>
    <w:p w14:paraId="2066B088" w14:textId="6A15D472" w:rsidR="00F17D8D" w:rsidRPr="00806AC5" w:rsidRDefault="00F17D8D" w:rsidP="00F17D8D">
      <w:pPr>
        <w:rPr>
          <w:rFonts w:cs="Times New Roman"/>
        </w:rPr>
      </w:pPr>
      <w:r w:rsidRPr="00806AC5">
        <w:rPr>
          <w:rFonts w:cs="Times New Roman"/>
        </w:rPr>
        <w:t>Rapid change in technology, short product life and high competition characterise consumer electronics retail industry. The retailers have to keep on changing the products and model of the service to meet the ever-changing consumer expectations. These materials of the industry maximise the complexity and strain of the strategy (Porter, 2019).</w:t>
      </w:r>
    </w:p>
    <w:p w14:paraId="1E8F05B5" w14:textId="77777777" w:rsidR="00F17D8D" w:rsidRPr="00806AC5" w:rsidRDefault="00F17D8D" w:rsidP="00F17D8D">
      <w:pPr>
        <w:rPr>
          <w:rFonts w:cs="Times New Roman"/>
          <w:b/>
          <w:bCs/>
        </w:rPr>
      </w:pPr>
      <w:r w:rsidRPr="00806AC5">
        <w:rPr>
          <w:rFonts w:cs="Times New Roman"/>
          <w:b/>
          <w:bCs/>
        </w:rPr>
        <w:t>Market Growth Drivers</w:t>
      </w:r>
    </w:p>
    <w:p w14:paraId="365EC91E" w14:textId="0999458F" w:rsidR="00F17D8D" w:rsidRPr="00806AC5" w:rsidRDefault="00F17D8D" w:rsidP="00F17D8D">
      <w:pPr>
        <w:rPr>
          <w:rFonts w:cs="Times New Roman"/>
        </w:rPr>
      </w:pPr>
      <w:r w:rsidRPr="00806AC5">
        <w:rPr>
          <w:rFonts w:cs="Times New Roman"/>
        </w:rPr>
        <w:t>Innovation cycles, great disposable income, and a great interest in smart technologies make the UAE grow in its markets. The high level of demand of the high-level electronics and home appliances justify the continuous growth of the industry. The retailers who can match these drivers will be able to compete in the long-term growth opportunities (Cavusgil et al., 2020).</w:t>
      </w:r>
    </w:p>
    <w:p w14:paraId="6D56563E" w14:textId="77777777" w:rsidR="00F17D8D" w:rsidRPr="00806AC5" w:rsidRDefault="00F17D8D" w:rsidP="00F17D8D">
      <w:pPr>
        <w:rPr>
          <w:rFonts w:cs="Times New Roman"/>
          <w:b/>
          <w:bCs/>
        </w:rPr>
      </w:pPr>
      <w:r w:rsidRPr="00806AC5">
        <w:rPr>
          <w:rFonts w:cs="Times New Roman"/>
          <w:b/>
          <w:bCs/>
        </w:rPr>
        <w:t>Threat of New Entrants</w:t>
      </w:r>
    </w:p>
    <w:p w14:paraId="7F5A5259" w14:textId="76C96606" w:rsidR="00F17D8D" w:rsidRDefault="00F17D8D" w:rsidP="00F17D8D">
      <w:pPr>
        <w:rPr>
          <w:rFonts w:cs="Times New Roman"/>
        </w:rPr>
      </w:pPr>
      <w:r w:rsidRPr="00806AC5">
        <w:rPr>
          <w:rFonts w:cs="Times New Roman"/>
        </w:rPr>
        <w:t>New entrants have moderate threat in the UAE consumer electronics retail market because of capital requirement, economies of scale and brand recognition. Nevertheless, the government policies and open trade regulations facilitate entry barriers. This dynamic adds an extra competitive pressure, and creates a need to seek strategic differentiation in established retailers (Porter, 2019).</w:t>
      </w:r>
    </w:p>
    <w:p w14:paraId="7F243260"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5CA8A56E" wp14:editId="4CDF44A0">
            <wp:extent cx="4298868" cy="2276189"/>
            <wp:effectExtent l="0" t="0" r="6985" b="0"/>
            <wp:docPr id="9" name="Picture 9" descr="What Is Brand Loy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Brand Loyalt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105" b="14453"/>
                    <a:stretch/>
                  </pic:blipFill>
                  <pic:spPr bwMode="auto">
                    <a:xfrm>
                      <a:off x="0" y="0"/>
                      <a:ext cx="4302362" cy="2278039"/>
                    </a:xfrm>
                    <a:prstGeom prst="rect">
                      <a:avLst/>
                    </a:prstGeom>
                    <a:noFill/>
                    <a:ln>
                      <a:noFill/>
                    </a:ln>
                    <a:extLst>
                      <a:ext uri="{53640926-AAD7-44D8-BBD7-CCE9431645EC}">
                        <a14:shadowObscured xmlns:a14="http://schemas.microsoft.com/office/drawing/2010/main"/>
                      </a:ext>
                    </a:extLst>
                  </pic:spPr>
                </pic:pic>
              </a:graphicData>
            </a:graphic>
          </wp:inline>
        </w:drawing>
      </w:r>
    </w:p>
    <w:p w14:paraId="2AAD7D32" w14:textId="77777777" w:rsidR="00DC6699" w:rsidRPr="00806AC5" w:rsidRDefault="00DC6699" w:rsidP="00DC6699">
      <w:pPr>
        <w:jc w:val="center"/>
        <w:rPr>
          <w:rFonts w:cs="Times New Roman"/>
        </w:rPr>
      </w:pPr>
      <w:r w:rsidRPr="00806AC5">
        <w:rPr>
          <w:rFonts w:cs="Times New Roman"/>
        </w:rPr>
        <w:t>Figure: Brand loyalty (Rothaermel, 2021).</w:t>
      </w:r>
    </w:p>
    <w:p w14:paraId="275BF0B6" w14:textId="77777777" w:rsidR="00DC6699" w:rsidRPr="00806AC5" w:rsidRDefault="00DC6699" w:rsidP="00F17D8D">
      <w:pPr>
        <w:rPr>
          <w:rFonts w:cs="Times New Roman"/>
        </w:rPr>
      </w:pPr>
    </w:p>
    <w:p w14:paraId="471623C2" w14:textId="77777777" w:rsidR="00F17D8D" w:rsidRPr="00806AC5" w:rsidRDefault="00F17D8D" w:rsidP="00F17D8D">
      <w:pPr>
        <w:rPr>
          <w:rFonts w:cs="Times New Roman"/>
          <w:b/>
          <w:bCs/>
        </w:rPr>
      </w:pPr>
      <w:r w:rsidRPr="00806AC5">
        <w:rPr>
          <w:rFonts w:cs="Times New Roman"/>
          <w:b/>
          <w:bCs/>
        </w:rPr>
        <w:lastRenderedPageBreak/>
        <w:t>Economies of Scale and Brand loyalty.</w:t>
      </w:r>
    </w:p>
    <w:p w14:paraId="7549C67A" w14:textId="3291DE34" w:rsidR="00F17D8D" w:rsidRPr="00806AC5" w:rsidRDefault="00F17D8D" w:rsidP="00F17D8D">
      <w:pPr>
        <w:rPr>
          <w:rFonts w:cs="Times New Roman"/>
        </w:rPr>
      </w:pPr>
      <w:r w:rsidRPr="00806AC5">
        <w:rPr>
          <w:rFonts w:cs="Times New Roman"/>
        </w:rPr>
        <w:t>Established retailers enjoy economies of scale on purchases, marketing and transportation. Critical brand loyalty also inhibits the success of new entrants in terms of acquiring market share at a fast rate. The established reputations of firms can also take advantage of scale benefits to ensure that they continue to stay competitive and also provide some defensive against new entrants (Grant, 2019).</w:t>
      </w:r>
    </w:p>
    <w:p w14:paraId="2A5032C7" w14:textId="77777777" w:rsidR="00F17D8D" w:rsidRPr="00806AC5" w:rsidRDefault="00F17D8D" w:rsidP="00F17D8D">
      <w:pPr>
        <w:rPr>
          <w:rFonts w:cs="Times New Roman"/>
          <w:b/>
          <w:bCs/>
        </w:rPr>
      </w:pPr>
      <w:r w:rsidRPr="00806AC5">
        <w:rPr>
          <w:rFonts w:cs="Times New Roman"/>
          <w:b/>
          <w:bCs/>
        </w:rPr>
        <w:t>Supplier Bargaining Power.</w:t>
      </w:r>
    </w:p>
    <w:p w14:paraId="094C7B6D" w14:textId="21064064" w:rsidR="00F17D8D" w:rsidRPr="00806AC5" w:rsidRDefault="00F17D8D" w:rsidP="00F17D8D">
      <w:pPr>
        <w:rPr>
          <w:rFonts w:cs="Times New Roman"/>
        </w:rPr>
      </w:pPr>
      <w:r w:rsidRPr="00806AC5">
        <w:rPr>
          <w:rFonts w:cs="Times New Roman"/>
        </w:rPr>
        <w:t>Consumer electronics suppliers have a high bargaining power because of the brand dominance and product differentiation. Multinational producers control the price and distribution conditions. To guarantee the attainment of favourable conditions and avoid the risk of dependence on suppliers, retailers need to have strategic partnership and purchasing volume (Hitt et al., 2020).</w:t>
      </w:r>
    </w:p>
    <w:p w14:paraId="5627BBF8" w14:textId="77777777" w:rsidR="00F17D8D" w:rsidRPr="00806AC5" w:rsidRDefault="00F17D8D" w:rsidP="00F17D8D">
      <w:pPr>
        <w:rPr>
          <w:rFonts w:cs="Times New Roman"/>
          <w:b/>
          <w:bCs/>
        </w:rPr>
      </w:pPr>
      <w:r w:rsidRPr="00806AC5">
        <w:rPr>
          <w:rFonts w:cs="Times New Roman"/>
          <w:b/>
          <w:bCs/>
        </w:rPr>
        <w:t>Concentration and Dependency of supplier.</w:t>
      </w:r>
    </w:p>
    <w:p w14:paraId="69649D1B" w14:textId="07E10B75" w:rsidR="00F17D8D" w:rsidRPr="00806AC5" w:rsidRDefault="00F17D8D" w:rsidP="00F17D8D">
      <w:pPr>
        <w:rPr>
          <w:rFonts w:cs="Times New Roman"/>
        </w:rPr>
      </w:pPr>
      <w:r w:rsidRPr="00806AC5">
        <w:rPr>
          <w:rFonts w:cs="Times New Roman"/>
        </w:rPr>
        <w:t>The electronics industry has a high concentration among the suppliers, which poses the threat of dependency to retailers. Mobile sources have limited alternatives, which means that negotiating is minimised. It is thus a core strategy to effective supplier relationship management and diversification strategies to ensure the stability in operations and cost competitiveness (Rothaermel, 2021).</w:t>
      </w:r>
    </w:p>
    <w:p w14:paraId="54F6C225" w14:textId="6A488E33" w:rsidR="00E80BC6" w:rsidRPr="00806AC5" w:rsidRDefault="00E80BC6" w:rsidP="00E80BC6">
      <w:pPr>
        <w:jc w:val="center"/>
        <w:rPr>
          <w:rFonts w:cs="Times New Roman"/>
        </w:rPr>
      </w:pPr>
      <w:r w:rsidRPr="00806AC5">
        <w:rPr>
          <w:rFonts w:cs="Times New Roman"/>
          <w:noProof/>
          <w:lang w:eastAsia="en-GB"/>
        </w:rPr>
        <w:drawing>
          <wp:inline distT="0" distB="0" distL="0" distR="0" wp14:anchorId="438F35B5" wp14:editId="5BF3EFF3">
            <wp:extent cx="3918857" cy="2612571"/>
            <wp:effectExtent l="0" t="0" r="5715" b="0"/>
            <wp:docPr id="10" name="Picture 10" descr="What is Consumer Behavior Research? Definition, Examples, Methods, and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Consumer Behavior Research? Definition, Examples, Methods, and  Ques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1560" cy="2614373"/>
                    </a:xfrm>
                    <a:prstGeom prst="rect">
                      <a:avLst/>
                    </a:prstGeom>
                    <a:noFill/>
                    <a:ln>
                      <a:noFill/>
                    </a:ln>
                  </pic:spPr>
                </pic:pic>
              </a:graphicData>
            </a:graphic>
          </wp:inline>
        </w:drawing>
      </w:r>
    </w:p>
    <w:p w14:paraId="68B2186E" w14:textId="51C8B7A1" w:rsidR="00E80BC6" w:rsidRPr="00806AC5" w:rsidRDefault="00E80BC6" w:rsidP="00E80BC6">
      <w:pPr>
        <w:jc w:val="center"/>
        <w:rPr>
          <w:rFonts w:cs="Times New Roman"/>
        </w:rPr>
      </w:pPr>
      <w:r w:rsidRPr="00806AC5">
        <w:rPr>
          <w:rFonts w:cs="Times New Roman"/>
        </w:rPr>
        <w:t>Figure: Customer behaviour (Hitt et al., 2020).</w:t>
      </w:r>
    </w:p>
    <w:p w14:paraId="53EBF684" w14:textId="77777777" w:rsidR="00F17D8D" w:rsidRPr="00806AC5" w:rsidRDefault="00F17D8D" w:rsidP="00F17D8D">
      <w:pPr>
        <w:rPr>
          <w:rFonts w:cs="Times New Roman"/>
          <w:b/>
          <w:bCs/>
        </w:rPr>
      </w:pPr>
      <w:r w:rsidRPr="00806AC5">
        <w:rPr>
          <w:rFonts w:cs="Times New Roman"/>
          <w:b/>
          <w:bCs/>
        </w:rPr>
        <w:lastRenderedPageBreak/>
        <w:t>Customers have a reply of power.</w:t>
      </w:r>
    </w:p>
    <w:p w14:paraId="6FFEE9BA" w14:textId="4CE26751" w:rsidR="00F17D8D" w:rsidRPr="00806AC5" w:rsidRDefault="00F17D8D" w:rsidP="00F17D8D">
      <w:pPr>
        <w:rPr>
          <w:rFonts w:cs="Times New Roman"/>
        </w:rPr>
      </w:pPr>
      <w:r w:rsidRPr="00806AC5">
        <w:rPr>
          <w:rFonts w:cs="Times New Roman"/>
        </w:rPr>
        <w:t>The bargaining power of customers in the electronics market of the UAE is high as it is associated with transparency in price and various channels of purchasing. To win customer loyalty, retailers should match each other by the quality of their service providers, value-added services, and the customer experience (Johnson et al., 2020).</w:t>
      </w:r>
    </w:p>
    <w:p w14:paraId="21597A23" w14:textId="77777777" w:rsidR="00F17D8D" w:rsidRPr="00806AC5" w:rsidRDefault="00F17D8D" w:rsidP="00F17D8D">
      <w:pPr>
        <w:rPr>
          <w:rFonts w:cs="Times New Roman"/>
          <w:b/>
          <w:bCs/>
        </w:rPr>
      </w:pPr>
      <w:r w:rsidRPr="00806AC5">
        <w:rPr>
          <w:rFonts w:cs="Times New Roman"/>
          <w:b/>
          <w:bCs/>
        </w:rPr>
        <w:t>Customer Switching Behaviour.</w:t>
      </w:r>
    </w:p>
    <w:p w14:paraId="5ED21DBB" w14:textId="7AAC8D44" w:rsidR="00F17D8D" w:rsidRPr="00806AC5" w:rsidRDefault="00F17D8D" w:rsidP="00F17D8D">
      <w:pPr>
        <w:rPr>
          <w:rFonts w:cs="Times New Roman"/>
        </w:rPr>
      </w:pPr>
      <w:r w:rsidRPr="00806AC5">
        <w:rPr>
          <w:rFonts w:cs="Times New Roman"/>
        </w:rPr>
        <w:t>The low switching costs will allow customers to switch their retailers with the aid of price or promotions. Such behaviour increases the levels of competition and margins pressure. Service excellence and brand trust differentiation becomes vital when it comes to the power of the decision concerning the repetitive purchase (Porter, 2019).</w:t>
      </w:r>
    </w:p>
    <w:p w14:paraId="3DCB7091" w14:textId="77777777" w:rsidR="00F17D8D" w:rsidRPr="00806AC5" w:rsidRDefault="00F17D8D" w:rsidP="00F17D8D">
      <w:pPr>
        <w:rPr>
          <w:rFonts w:cs="Times New Roman"/>
          <w:b/>
          <w:bCs/>
        </w:rPr>
      </w:pPr>
      <w:r w:rsidRPr="00806AC5">
        <w:rPr>
          <w:rFonts w:cs="Times New Roman"/>
          <w:b/>
          <w:bCs/>
        </w:rPr>
        <w:t>Potential Threat of Substitute Products.</w:t>
      </w:r>
    </w:p>
    <w:p w14:paraId="5EF0CF2D" w14:textId="7F44FE57" w:rsidR="00F17D8D" w:rsidRDefault="00F17D8D" w:rsidP="00F17D8D">
      <w:pPr>
        <w:rPr>
          <w:rFonts w:cs="Times New Roman"/>
        </w:rPr>
      </w:pPr>
      <w:r w:rsidRPr="00806AC5">
        <w:rPr>
          <w:rFonts w:cs="Times New Roman"/>
        </w:rPr>
        <w:t>The substitution threat within electronics retail market is moderate, and is mainly triggered by the high rate of technological development and not by other products. Regular updates of the products lead to replacement demand. To stay relevant and competitive, retailers should synchronise the inventory strategies with the processes of innovation (Cavusgil et al., 2020).</w:t>
      </w:r>
    </w:p>
    <w:p w14:paraId="3E82D51E"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189A8F31" wp14:editId="7C7403BE">
            <wp:extent cx="4553560" cy="25769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58636" cy="2579817"/>
                    </a:xfrm>
                    <a:prstGeom prst="rect">
                      <a:avLst/>
                    </a:prstGeom>
                  </pic:spPr>
                </pic:pic>
              </a:graphicData>
            </a:graphic>
          </wp:inline>
        </w:drawing>
      </w:r>
    </w:p>
    <w:p w14:paraId="3C36AD13" w14:textId="77777777" w:rsidR="00DC6699" w:rsidRPr="00806AC5" w:rsidRDefault="00DC6699" w:rsidP="00DC6699">
      <w:pPr>
        <w:jc w:val="center"/>
        <w:rPr>
          <w:rFonts w:cs="Times New Roman"/>
        </w:rPr>
      </w:pPr>
      <w:r w:rsidRPr="00806AC5">
        <w:rPr>
          <w:rFonts w:cs="Times New Roman"/>
        </w:rPr>
        <w:t>Figure: Substitute goods (Wenzel et al., 2021).</w:t>
      </w:r>
    </w:p>
    <w:p w14:paraId="14DE5641" w14:textId="61362086" w:rsidR="00DC6699" w:rsidRDefault="00DC6699" w:rsidP="00F17D8D">
      <w:pPr>
        <w:rPr>
          <w:rFonts w:cs="Times New Roman"/>
        </w:rPr>
      </w:pPr>
    </w:p>
    <w:p w14:paraId="748AAD63" w14:textId="77777777" w:rsidR="006F552C" w:rsidRPr="00806AC5" w:rsidRDefault="006F552C" w:rsidP="00F17D8D">
      <w:pPr>
        <w:rPr>
          <w:rFonts w:cs="Times New Roman"/>
        </w:rPr>
      </w:pPr>
    </w:p>
    <w:p w14:paraId="5748D5D3" w14:textId="77777777" w:rsidR="00F17D8D" w:rsidRPr="00806AC5" w:rsidRDefault="00F17D8D" w:rsidP="00F17D8D">
      <w:pPr>
        <w:rPr>
          <w:rFonts w:cs="Times New Roman"/>
          <w:b/>
          <w:bCs/>
        </w:rPr>
      </w:pPr>
      <w:r w:rsidRPr="00806AC5">
        <w:rPr>
          <w:rFonts w:cs="Times New Roman"/>
          <w:b/>
          <w:bCs/>
        </w:rPr>
        <w:lastRenderedPageBreak/>
        <w:t>Effects of Technological Obsoleteness.</w:t>
      </w:r>
    </w:p>
    <w:p w14:paraId="4FDD4209" w14:textId="4E0A671C" w:rsidR="00F17D8D" w:rsidRPr="00806AC5" w:rsidRDefault="00F17D8D" w:rsidP="00F17D8D">
      <w:pPr>
        <w:rPr>
          <w:rFonts w:cs="Times New Roman"/>
        </w:rPr>
      </w:pPr>
      <w:r w:rsidRPr="00806AC5">
        <w:rPr>
          <w:rFonts w:cs="Times New Roman"/>
        </w:rPr>
        <w:t>The effect of technological obsolescence increases speed of replacing products and inventory risk. The retailers are under pressure of keeping the stock to a minimal and still provide latest innovations. A close cooperation with suppliers and strategic future forecasting are needed to reduce losses and keep up with the market (Grant, 2019).</w:t>
      </w:r>
    </w:p>
    <w:p w14:paraId="763B3054" w14:textId="4CFAB88B" w:rsidR="00F17D8D" w:rsidRPr="00806AC5" w:rsidRDefault="0061107D" w:rsidP="00F17D8D">
      <w:pPr>
        <w:rPr>
          <w:rFonts w:cs="Times New Roman"/>
          <w:b/>
          <w:bCs/>
        </w:rPr>
      </w:pPr>
      <w:r>
        <w:rPr>
          <w:rFonts w:cs="Times New Roman"/>
          <w:b/>
          <w:bCs/>
        </w:rPr>
        <w:t>Strong</w:t>
      </w:r>
      <w:r w:rsidR="00F17D8D" w:rsidRPr="00806AC5">
        <w:rPr>
          <w:rFonts w:cs="Times New Roman"/>
          <w:b/>
          <w:bCs/>
        </w:rPr>
        <w:t xml:space="preserve"> of Competitive Rivalry.</w:t>
      </w:r>
    </w:p>
    <w:p w14:paraId="3DD12889" w14:textId="1F1A9976" w:rsidR="00DC6699" w:rsidRPr="00806AC5" w:rsidRDefault="00F17D8D" w:rsidP="00F17D8D">
      <w:pPr>
        <w:rPr>
          <w:rFonts w:cs="Times New Roman"/>
        </w:rPr>
      </w:pPr>
      <w:r w:rsidRPr="00806AC5">
        <w:rPr>
          <w:rFonts w:cs="Times New Roman"/>
        </w:rPr>
        <w:t>The level of competitive rivalry in the UAE electronics retail business remains at a high level because of the presence of international brands and robust regional competitors. Competition is heightened by aggressive pricing, campaigns as well as service differentiation. The maintenance of the market share requires consistent strategic adjustment and innovation (Johnson et al., 2020).</w:t>
      </w:r>
    </w:p>
    <w:p w14:paraId="6C7B55BC" w14:textId="77777777" w:rsidR="00F17D8D" w:rsidRPr="00806AC5" w:rsidRDefault="00F17D8D" w:rsidP="00F17D8D">
      <w:pPr>
        <w:rPr>
          <w:rFonts w:cs="Times New Roman"/>
          <w:b/>
          <w:bCs/>
        </w:rPr>
      </w:pPr>
      <w:r w:rsidRPr="00806AC5">
        <w:rPr>
          <w:rFonts w:cs="Times New Roman"/>
          <w:b/>
          <w:bCs/>
        </w:rPr>
        <w:t>Competition on Price and Margin Pressure.</w:t>
      </w:r>
    </w:p>
    <w:p w14:paraId="38C6D52F" w14:textId="7618A1A9" w:rsidR="00F17D8D" w:rsidRDefault="00F17D8D" w:rsidP="00F17D8D">
      <w:pPr>
        <w:rPr>
          <w:rFonts w:cs="Times New Roman"/>
        </w:rPr>
      </w:pPr>
      <w:r w:rsidRPr="00806AC5">
        <w:rPr>
          <w:rFonts w:cs="Times New Roman"/>
        </w:rPr>
        <w:t>Discounting and promotional activity have become commonplace and are putting strain on the profitability of the industry. Retailers are left in a situation where they have to compromise on pricing in competition and control costs and investment in services. Non-price competition positioning helps to protect profitability and resilience in the long term (Rothaermel, 2021).</w:t>
      </w:r>
    </w:p>
    <w:p w14:paraId="29FED11F" w14:textId="35C4C3EE" w:rsidR="00DC6699" w:rsidRDefault="00DC6699" w:rsidP="00F17D8D">
      <w:pPr>
        <w:rPr>
          <w:rFonts w:cs="Times New Roman"/>
        </w:rPr>
      </w:pPr>
    </w:p>
    <w:p w14:paraId="589D474B" w14:textId="74BE5CC4" w:rsidR="00DC6699" w:rsidRDefault="00DC6699" w:rsidP="00F17D8D">
      <w:pPr>
        <w:rPr>
          <w:rFonts w:cs="Times New Roman"/>
        </w:rPr>
      </w:pPr>
    </w:p>
    <w:p w14:paraId="45F9C590" w14:textId="43F883A4" w:rsidR="00DC6699" w:rsidRDefault="00DC6699" w:rsidP="00F17D8D">
      <w:pPr>
        <w:rPr>
          <w:rFonts w:cs="Times New Roman"/>
        </w:rPr>
      </w:pPr>
    </w:p>
    <w:p w14:paraId="2FDF0983" w14:textId="5976F5A7" w:rsidR="00DC6699" w:rsidRDefault="00DC6699" w:rsidP="00F17D8D">
      <w:pPr>
        <w:rPr>
          <w:rFonts w:cs="Times New Roman"/>
        </w:rPr>
      </w:pPr>
    </w:p>
    <w:p w14:paraId="43BAFEE1" w14:textId="5E2C3B2D" w:rsidR="00DC6699" w:rsidRDefault="00DC6699" w:rsidP="00F17D8D">
      <w:pPr>
        <w:rPr>
          <w:rFonts w:cs="Times New Roman"/>
        </w:rPr>
      </w:pPr>
    </w:p>
    <w:p w14:paraId="61E71785" w14:textId="726EBF2C" w:rsidR="00DC6699" w:rsidRDefault="00DC6699" w:rsidP="00F17D8D">
      <w:pPr>
        <w:rPr>
          <w:rFonts w:cs="Times New Roman"/>
        </w:rPr>
      </w:pPr>
    </w:p>
    <w:p w14:paraId="1DA8E5E9" w14:textId="1BE86301" w:rsidR="00DC6699" w:rsidRDefault="00DC6699" w:rsidP="00F17D8D">
      <w:pPr>
        <w:rPr>
          <w:rFonts w:cs="Times New Roman"/>
        </w:rPr>
      </w:pPr>
    </w:p>
    <w:p w14:paraId="3D2ADBC7" w14:textId="7F43BA2C" w:rsidR="00DC6699" w:rsidRDefault="00DC6699" w:rsidP="00F17D8D">
      <w:pPr>
        <w:rPr>
          <w:rFonts w:cs="Times New Roman"/>
        </w:rPr>
      </w:pPr>
    </w:p>
    <w:p w14:paraId="644A14E8" w14:textId="73779F30" w:rsidR="00DC6699" w:rsidRDefault="00DC6699" w:rsidP="00F17D8D">
      <w:pPr>
        <w:rPr>
          <w:rFonts w:cs="Times New Roman"/>
        </w:rPr>
      </w:pPr>
    </w:p>
    <w:p w14:paraId="40379DF0" w14:textId="1611CFA3" w:rsidR="00DC6699" w:rsidRPr="00806AC5" w:rsidRDefault="00DC6699" w:rsidP="00F17D8D">
      <w:pPr>
        <w:rPr>
          <w:rFonts w:cs="Times New Roman"/>
        </w:rPr>
      </w:pPr>
    </w:p>
    <w:p w14:paraId="2C053D32" w14:textId="51B83553" w:rsidR="00F17D8D" w:rsidRPr="00806AC5" w:rsidRDefault="00F17D8D" w:rsidP="00F17D8D">
      <w:pPr>
        <w:pStyle w:val="Heading2"/>
        <w:rPr>
          <w:rFonts w:cs="Times New Roman"/>
        </w:rPr>
      </w:pPr>
      <w:bookmarkStart w:id="8" w:name="_Toc217265099"/>
      <w:r w:rsidRPr="00806AC5">
        <w:rPr>
          <w:rFonts w:cs="Times New Roman"/>
        </w:rPr>
        <w:lastRenderedPageBreak/>
        <w:t>3.3 Internal Strategic analysis</w:t>
      </w:r>
      <w:bookmarkEnd w:id="8"/>
      <w:r w:rsidRPr="00806AC5">
        <w:rPr>
          <w:rFonts w:cs="Times New Roman"/>
        </w:rPr>
        <w:t xml:space="preserve"> </w:t>
      </w:r>
    </w:p>
    <w:p w14:paraId="60096CB2" w14:textId="77777777" w:rsidR="00F17D8D" w:rsidRPr="00806AC5" w:rsidRDefault="00F17D8D" w:rsidP="00F17D8D">
      <w:pPr>
        <w:rPr>
          <w:rFonts w:cs="Times New Roman"/>
          <w:b/>
          <w:bCs/>
        </w:rPr>
      </w:pPr>
      <w:r w:rsidRPr="00806AC5">
        <w:rPr>
          <w:rFonts w:cs="Times New Roman"/>
          <w:b/>
          <w:bCs/>
        </w:rPr>
        <w:t>Resource Based View of the Firm.</w:t>
      </w:r>
    </w:p>
    <w:p w14:paraId="49BD7B4A" w14:textId="22E28693" w:rsidR="00F17D8D" w:rsidRPr="00806AC5" w:rsidRDefault="00F17D8D" w:rsidP="00F17D8D">
      <w:pPr>
        <w:rPr>
          <w:rFonts w:cs="Times New Roman"/>
        </w:rPr>
      </w:pPr>
      <w:r w:rsidRPr="00806AC5">
        <w:rPr>
          <w:rFonts w:cs="Times New Roman"/>
        </w:rPr>
        <w:t>The resource-based perspective puts focus on the internal resources of Currys PLC as a competitive advantage. Value can be created with tangible assets like logistics infrastructure and also intangible ones like brand reputation. The proper utilisation of resources improves the competitiveness of the firm in the global context (Barney, 2018).</w:t>
      </w:r>
    </w:p>
    <w:p w14:paraId="052FA1AD" w14:textId="77777777" w:rsidR="00F17D8D" w:rsidRPr="00806AC5" w:rsidRDefault="00F17D8D" w:rsidP="00F17D8D">
      <w:pPr>
        <w:rPr>
          <w:rFonts w:cs="Times New Roman"/>
          <w:b/>
          <w:bCs/>
        </w:rPr>
      </w:pPr>
      <w:r w:rsidRPr="00806AC5">
        <w:rPr>
          <w:rFonts w:cs="Times New Roman"/>
          <w:b/>
          <w:bCs/>
        </w:rPr>
        <w:t>Market Reputation and Brand Equity.</w:t>
      </w:r>
    </w:p>
    <w:p w14:paraId="0C524B4A" w14:textId="67516B93" w:rsidR="00F17D8D" w:rsidRPr="00806AC5" w:rsidRDefault="00F17D8D" w:rsidP="00F17D8D">
      <w:pPr>
        <w:rPr>
          <w:rFonts w:cs="Times New Roman"/>
        </w:rPr>
      </w:pPr>
      <w:r w:rsidRPr="00806AC5">
        <w:rPr>
          <w:rFonts w:cs="Times New Roman"/>
        </w:rPr>
        <w:t>The PLC brand image of Currys has a reputation of quality products that are accurate and technologically advanced. Equity on the brand raises consumer confidence and minimises perceived risk in entering a market. The rapid market penetration and competitive positioning can be facilitated with the help of leveraging on the brand reputation in the UAE (Grant, 2019).</w:t>
      </w:r>
    </w:p>
    <w:p w14:paraId="4C1F077C" w14:textId="77777777" w:rsidR="00F17D8D" w:rsidRPr="00806AC5" w:rsidRDefault="00F17D8D" w:rsidP="00F17D8D">
      <w:pPr>
        <w:rPr>
          <w:rFonts w:cs="Times New Roman"/>
          <w:b/>
          <w:bCs/>
        </w:rPr>
      </w:pPr>
      <w:r w:rsidRPr="00806AC5">
        <w:rPr>
          <w:rFonts w:cs="Times New Roman"/>
          <w:b/>
          <w:bCs/>
        </w:rPr>
        <w:t>Core Capabilities VRIO Analysis.</w:t>
      </w:r>
    </w:p>
    <w:p w14:paraId="06DF7AD8" w14:textId="67B8891D" w:rsidR="00F17D8D" w:rsidRDefault="00F17D8D" w:rsidP="00F17D8D">
      <w:pPr>
        <w:rPr>
          <w:rFonts w:cs="Times New Roman"/>
        </w:rPr>
      </w:pPr>
      <w:r w:rsidRPr="00806AC5">
        <w:rPr>
          <w:rFonts w:cs="Times New Roman"/>
        </w:rPr>
        <w:t>The omnichannel capability of Currys PLC can add values to the customers by making it more accessible and convenient. Although these capabilities are not very uncommon, their combination in the organisation helps achieve such parity with regard to competition. The effectiveness of these capabilities can be enhanced by organisational alignment as a contributor to expansion (Barney, 2018).</w:t>
      </w:r>
    </w:p>
    <w:p w14:paraId="10B8D725" w14:textId="77777777" w:rsidR="00DC6699" w:rsidRPr="00806AC5" w:rsidRDefault="00DC6699" w:rsidP="00DC6699">
      <w:pPr>
        <w:jc w:val="center"/>
        <w:rPr>
          <w:rFonts w:cs="Times New Roman"/>
        </w:rPr>
      </w:pPr>
      <w:r w:rsidRPr="00806AC5">
        <w:rPr>
          <w:rFonts w:cs="Times New Roman"/>
          <w:noProof/>
          <w:lang w:eastAsia="en-GB"/>
        </w:rPr>
        <w:drawing>
          <wp:inline distT="0" distB="0" distL="0" distR="0" wp14:anchorId="298C7F44" wp14:editId="0DFB175E">
            <wp:extent cx="4260220" cy="2351314"/>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64482" cy="2353667"/>
                    </a:xfrm>
                    <a:prstGeom prst="rect">
                      <a:avLst/>
                    </a:prstGeom>
                  </pic:spPr>
                </pic:pic>
              </a:graphicData>
            </a:graphic>
          </wp:inline>
        </w:drawing>
      </w:r>
    </w:p>
    <w:p w14:paraId="2D710636" w14:textId="2216EE2E" w:rsidR="00DC6699" w:rsidRPr="00806AC5" w:rsidRDefault="00DC6699" w:rsidP="00DC6699">
      <w:pPr>
        <w:jc w:val="center"/>
        <w:rPr>
          <w:rFonts w:cs="Times New Roman"/>
        </w:rPr>
      </w:pPr>
      <w:r w:rsidRPr="00806AC5">
        <w:rPr>
          <w:rFonts w:cs="Times New Roman"/>
        </w:rPr>
        <w:t>Figure: Market reputation (Barney, 2018)</w:t>
      </w:r>
    </w:p>
    <w:p w14:paraId="46787554" w14:textId="77777777" w:rsidR="00F17D8D" w:rsidRPr="00806AC5" w:rsidRDefault="00F17D8D" w:rsidP="00F17D8D">
      <w:pPr>
        <w:rPr>
          <w:rFonts w:cs="Times New Roman"/>
          <w:b/>
          <w:bCs/>
        </w:rPr>
      </w:pPr>
      <w:r w:rsidRPr="00806AC5">
        <w:rPr>
          <w:rFonts w:cs="Times New Roman"/>
          <w:b/>
          <w:bCs/>
        </w:rPr>
        <w:lastRenderedPageBreak/>
        <w:t>Customer Care and Technical skill.</w:t>
      </w:r>
    </w:p>
    <w:p w14:paraId="4921C252" w14:textId="6A0C7F1A" w:rsidR="00DC6699" w:rsidRPr="00806AC5" w:rsidRDefault="00F17D8D" w:rsidP="00F17D8D">
      <w:pPr>
        <w:rPr>
          <w:rFonts w:cs="Times New Roman"/>
        </w:rPr>
      </w:pPr>
      <w:r w:rsidRPr="00806AC5">
        <w:rPr>
          <w:rFonts w:cs="Times New Roman"/>
        </w:rPr>
        <w:t>The focus on technical support and after-sales service is an attribute worthwhile by the firm operating on a service-based retail environment. The competitive positioning in the challenging global markets may be reinforced by the service differentiation that lowers the price sensitivity and enhances the positioning in the competitive framework, regardless of the market demand (Rothaermel, 2021).</w:t>
      </w:r>
    </w:p>
    <w:p w14:paraId="7A3AEE5E" w14:textId="650EB1EF" w:rsidR="00F17D8D" w:rsidRPr="00806AC5" w:rsidRDefault="00F17D8D" w:rsidP="00F17D8D">
      <w:pPr>
        <w:rPr>
          <w:rFonts w:cs="Times New Roman"/>
          <w:b/>
          <w:bCs/>
        </w:rPr>
      </w:pPr>
      <w:r w:rsidRPr="00806AC5">
        <w:rPr>
          <w:rFonts w:cs="Times New Roman"/>
          <w:b/>
          <w:bCs/>
        </w:rPr>
        <w:t>Capabilities- Supply Chain and Logistics</w:t>
      </w:r>
    </w:p>
    <w:p w14:paraId="015ED66B" w14:textId="7FCD1BC6" w:rsidR="00F17D8D" w:rsidRPr="00806AC5" w:rsidRDefault="00F17D8D" w:rsidP="00F17D8D">
      <w:pPr>
        <w:rPr>
          <w:rFonts w:cs="Times New Roman"/>
        </w:rPr>
      </w:pPr>
      <w:r w:rsidRPr="00806AC5">
        <w:rPr>
          <w:rFonts w:cs="Times New Roman"/>
        </w:rPr>
        <w:t>Currys PLC has expertise in operations of complex supply chains in several markets. Timely availability of products and cost control is through efficient logistics. These are capabilities needed to work in the rapid-paced retailing setting in the UAE and satisfy its customers (Hitt et al., 2020).</w:t>
      </w:r>
    </w:p>
    <w:p w14:paraId="2E546E96" w14:textId="77777777" w:rsidR="00F17D8D" w:rsidRPr="00806AC5" w:rsidRDefault="00F17D8D" w:rsidP="00F17D8D">
      <w:pPr>
        <w:rPr>
          <w:rFonts w:cs="Times New Roman"/>
          <w:b/>
          <w:bCs/>
        </w:rPr>
      </w:pPr>
      <w:r w:rsidRPr="00806AC5">
        <w:rPr>
          <w:rFonts w:cs="Times New Roman"/>
          <w:b/>
          <w:bCs/>
        </w:rPr>
        <w:t>Scalability and Efficiency of Operations.</w:t>
      </w:r>
    </w:p>
    <w:p w14:paraId="78B46C6B" w14:textId="7AAF8817" w:rsidR="00F17D8D" w:rsidRPr="00806AC5" w:rsidRDefault="00F17D8D" w:rsidP="00F17D8D">
      <w:pPr>
        <w:rPr>
          <w:rFonts w:cs="Times New Roman"/>
        </w:rPr>
      </w:pPr>
      <w:r w:rsidRPr="00806AC5">
        <w:rPr>
          <w:rFonts w:cs="Times New Roman"/>
        </w:rPr>
        <w:t>Efficiency in operation helps Currys PLC to be able to scale its activities whilst being able to discipline the cost. Consistency in service delivery is supported by standardised processes and systems of performance monitoring. Scalability makes the business more adaptable to changes in the market and the trends of the demand (Grant, 2019).</w:t>
      </w:r>
    </w:p>
    <w:p w14:paraId="3CB033B1" w14:textId="77777777" w:rsidR="00F17D8D" w:rsidRPr="00806AC5" w:rsidRDefault="00F17D8D" w:rsidP="00F17D8D">
      <w:pPr>
        <w:rPr>
          <w:rFonts w:cs="Times New Roman"/>
          <w:b/>
          <w:bCs/>
        </w:rPr>
      </w:pPr>
      <w:r w:rsidRPr="00806AC5">
        <w:rPr>
          <w:rFonts w:cs="Times New Roman"/>
          <w:b/>
          <w:bCs/>
        </w:rPr>
        <w:t>Cyber Integration and Data Monetisation.</w:t>
      </w:r>
    </w:p>
    <w:p w14:paraId="1799B908" w14:textId="3C309CE1" w:rsidR="00F17D8D" w:rsidRDefault="00F17D8D" w:rsidP="00F17D8D">
      <w:pPr>
        <w:rPr>
          <w:rFonts w:cs="Times New Roman"/>
        </w:rPr>
      </w:pPr>
      <w:r w:rsidRPr="00806AC5">
        <w:rPr>
          <w:rFonts w:cs="Times New Roman"/>
        </w:rPr>
        <w:t>The digital platforms used by the organisation facilitate decision making that is data driven and personal customer engagement. Digital integration assists in the effectiveness of marketing and optimisation of operation. It is strategic responsiveness and competitive advantage in technologically advanced markets that are leveraged by using data analytics (Teece, 2018).</w:t>
      </w:r>
    </w:p>
    <w:p w14:paraId="2FFF2501" w14:textId="78F3C10A" w:rsidR="00DC6699" w:rsidRDefault="00DC6699" w:rsidP="00F17D8D">
      <w:pPr>
        <w:rPr>
          <w:rFonts w:cs="Times New Roman"/>
        </w:rPr>
      </w:pPr>
    </w:p>
    <w:p w14:paraId="3A4193C5" w14:textId="3CCFD1B2" w:rsidR="00DC6699" w:rsidRDefault="00DC6699" w:rsidP="00F17D8D">
      <w:pPr>
        <w:rPr>
          <w:rFonts w:cs="Times New Roman"/>
        </w:rPr>
      </w:pPr>
    </w:p>
    <w:p w14:paraId="0BAC5E14" w14:textId="06FF908D" w:rsidR="00DC6699" w:rsidRDefault="00DC6699" w:rsidP="00F17D8D">
      <w:pPr>
        <w:rPr>
          <w:rFonts w:cs="Times New Roman"/>
        </w:rPr>
      </w:pPr>
    </w:p>
    <w:p w14:paraId="1559248D" w14:textId="3AF9A331" w:rsidR="00DC6699" w:rsidRDefault="00DC6699" w:rsidP="00F17D8D">
      <w:pPr>
        <w:rPr>
          <w:rFonts w:cs="Times New Roman"/>
        </w:rPr>
      </w:pPr>
    </w:p>
    <w:p w14:paraId="15F655D6" w14:textId="77777777" w:rsidR="00DC6699" w:rsidRPr="00806AC5" w:rsidRDefault="00DC6699" w:rsidP="00F17D8D">
      <w:pPr>
        <w:rPr>
          <w:rFonts w:cs="Times New Roman"/>
        </w:rPr>
      </w:pPr>
    </w:p>
    <w:p w14:paraId="0D707ACF" w14:textId="4577E3BB" w:rsidR="00F17D8D" w:rsidRPr="00806AC5" w:rsidRDefault="00F17D8D" w:rsidP="00F17D8D">
      <w:pPr>
        <w:pStyle w:val="Heading2"/>
        <w:rPr>
          <w:rFonts w:cs="Times New Roman"/>
        </w:rPr>
      </w:pPr>
      <w:bookmarkStart w:id="9" w:name="_Toc217265100"/>
      <w:r w:rsidRPr="00806AC5">
        <w:rPr>
          <w:rFonts w:cs="Times New Roman"/>
        </w:rPr>
        <w:lastRenderedPageBreak/>
        <w:t>3.4 Critical Assessment of Strategic Frameworks.</w:t>
      </w:r>
      <w:bookmarkEnd w:id="9"/>
    </w:p>
    <w:p w14:paraId="2F2410AC" w14:textId="77777777" w:rsidR="00F17D8D" w:rsidRPr="00806AC5" w:rsidRDefault="00F17D8D" w:rsidP="00F17D8D">
      <w:pPr>
        <w:rPr>
          <w:rFonts w:cs="Times New Roman"/>
          <w:b/>
          <w:bCs/>
        </w:rPr>
      </w:pPr>
      <w:r w:rsidRPr="00806AC5">
        <w:rPr>
          <w:rFonts w:cs="Times New Roman"/>
          <w:b/>
          <w:bCs/>
        </w:rPr>
        <w:t>There are strengths of the PESTLE Analysis.</w:t>
      </w:r>
    </w:p>
    <w:p w14:paraId="4316BEF6" w14:textId="229ED2AE" w:rsidR="00F17D8D" w:rsidRPr="00806AC5" w:rsidRDefault="00F17D8D" w:rsidP="00F17D8D">
      <w:pPr>
        <w:rPr>
          <w:rFonts w:cs="Times New Roman"/>
        </w:rPr>
      </w:pPr>
      <w:r w:rsidRPr="00806AC5">
        <w:rPr>
          <w:rFonts w:cs="Times New Roman"/>
        </w:rPr>
        <w:t>PESTLE analysis is a broad summary of external macro-environment that may drive them into international expansion. It improves environmental consciousness an</w:t>
      </w:r>
      <w:r w:rsidR="00C51E1F">
        <w:rPr>
          <w:rFonts w:cs="Times New Roman"/>
        </w:rPr>
        <w:t>d promotes strategic planner</w:t>
      </w:r>
      <w:r w:rsidRPr="00806AC5">
        <w:rPr>
          <w:rFonts w:cs="Times New Roman"/>
        </w:rPr>
        <w:t>. Nevertheless, by being descriptive, it restricts its forecast capabilities of dynamic relationships between environmental factors (Johnson et al., 2020).</w:t>
      </w:r>
    </w:p>
    <w:p w14:paraId="5AA8A933" w14:textId="77777777" w:rsidR="00F17D8D" w:rsidRPr="00806AC5" w:rsidRDefault="00F17D8D" w:rsidP="00F17D8D">
      <w:pPr>
        <w:rPr>
          <w:rFonts w:cs="Times New Roman"/>
          <w:b/>
          <w:bCs/>
        </w:rPr>
      </w:pPr>
      <w:r w:rsidRPr="00806AC5">
        <w:rPr>
          <w:rFonts w:cs="Times New Roman"/>
          <w:b/>
          <w:bCs/>
        </w:rPr>
        <w:t>Weaknesses of Porters Five Forces.</w:t>
      </w:r>
    </w:p>
    <w:p w14:paraId="481BCBAE" w14:textId="037E3F31" w:rsidR="00F17D8D" w:rsidRPr="00806AC5" w:rsidRDefault="00F17D8D" w:rsidP="00F17D8D">
      <w:pPr>
        <w:rPr>
          <w:rFonts w:cs="Times New Roman"/>
        </w:rPr>
      </w:pPr>
      <w:r w:rsidRPr="00806AC5">
        <w:rPr>
          <w:rFonts w:cs="Times New Roman"/>
        </w:rPr>
        <w:t>The Five Forces by Porter are an effective way of gauging the industry structure and competition. However, the model also presupposes steady market conditions and it might not take into consideration innovation, digital disruption, and strategic collaboration. These drawbacks minimise its explanatory capabilities in the fast-changing retailing conditions (Porter, 2019).</w:t>
      </w:r>
    </w:p>
    <w:p w14:paraId="6D61AF7F" w14:textId="77777777" w:rsidR="00F17D8D" w:rsidRPr="00806AC5" w:rsidRDefault="00F17D8D" w:rsidP="00F17D8D">
      <w:pPr>
        <w:rPr>
          <w:rFonts w:cs="Times New Roman"/>
          <w:b/>
          <w:bCs/>
        </w:rPr>
      </w:pPr>
      <w:r w:rsidRPr="00806AC5">
        <w:rPr>
          <w:rFonts w:cs="Times New Roman"/>
          <w:b/>
          <w:bCs/>
        </w:rPr>
        <w:t>Assessment of the Resource-Based View.</w:t>
      </w:r>
    </w:p>
    <w:p w14:paraId="7504E954" w14:textId="27A5CE98" w:rsidR="00F17D8D" w:rsidRPr="00806AC5" w:rsidRDefault="00F17D8D" w:rsidP="00F17D8D">
      <w:pPr>
        <w:rPr>
          <w:rFonts w:cs="Times New Roman"/>
        </w:rPr>
      </w:pPr>
      <w:r w:rsidRPr="00806AC5">
        <w:rPr>
          <w:rFonts w:cs="Times New Roman"/>
        </w:rPr>
        <w:t>Resource-based view emphasises that internal capabilities are very crucial in the realisation of competitive advantage. Nevertheless, it might be underestimating external institutional and cultural influences that influence international expansion. The added value of introducing outside analysis increases the topicality of this view (Barney, 2018).</w:t>
      </w:r>
    </w:p>
    <w:p w14:paraId="6262487F" w14:textId="016237EC" w:rsidR="00E80BC6" w:rsidRPr="00806AC5" w:rsidRDefault="00E80BC6" w:rsidP="00E80BC6">
      <w:pPr>
        <w:jc w:val="center"/>
        <w:rPr>
          <w:rFonts w:cs="Times New Roman"/>
        </w:rPr>
      </w:pPr>
      <w:r w:rsidRPr="00806AC5">
        <w:rPr>
          <w:rFonts w:cs="Times New Roman"/>
          <w:noProof/>
          <w:lang w:eastAsia="en-GB"/>
        </w:rPr>
        <w:drawing>
          <wp:inline distT="0" distB="0" distL="0" distR="0" wp14:anchorId="268C19EC" wp14:editId="47ED9726">
            <wp:extent cx="4215740" cy="2206508"/>
            <wp:effectExtent l="0" t="0" r="0" b="3810"/>
            <wp:docPr id="14" name="Picture 14" descr="Porter's Five Forces: The Ultimate Competitive Strategy Blueprint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orter's Five Forces: The Ultimate Competitive Strategy Blueprint | TSI"/>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18861" cy="2208141"/>
                    </a:xfrm>
                    <a:prstGeom prst="rect">
                      <a:avLst/>
                    </a:prstGeom>
                    <a:noFill/>
                    <a:ln>
                      <a:noFill/>
                    </a:ln>
                  </pic:spPr>
                </pic:pic>
              </a:graphicData>
            </a:graphic>
          </wp:inline>
        </w:drawing>
      </w:r>
    </w:p>
    <w:p w14:paraId="0EE0EA1B" w14:textId="0DEF33EE" w:rsidR="00E80BC6" w:rsidRPr="00806AC5" w:rsidRDefault="00E80BC6" w:rsidP="00E80BC6">
      <w:pPr>
        <w:jc w:val="center"/>
        <w:rPr>
          <w:rFonts w:cs="Times New Roman"/>
        </w:rPr>
      </w:pPr>
      <w:r w:rsidRPr="00806AC5">
        <w:rPr>
          <w:rFonts w:cs="Times New Roman"/>
        </w:rPr>
        <w:t>Figure: Potters five force (Cavusgil et al., 2020)</w:t>
      </w:r>
    </w:p>
    <w:p w14:paraId="2FBBFA7F" w14:textId="77777777" w:rsidR="00E80BC6" w:rsidRPr="00806AC5" w:rsidRDefault="00E80BC6" w:rsidP="00F17D8D">
      <w:pPr>
        <w:rPr>
          <w:rFonts w:cs="Times New Roman"/>
        </w:rPr>
      </w:pPr>
    </w:p>
    <w:p w14:paraId="5EBFAACE" w14:textId="77777777" w:rsidR="00F17D8D" w:rsidRPr="00806AC5" w:rsidRDefault="00F17D8D">
      <w:pPr>
        <w:spacing w:line="278" w:lineRule="auto"/>
        <w:jc w:val="left"/>
        <w:rPr>
          <w:rFonts w:cs="Times New Roman"/>
        </w:rPr>
      </w:pPr>
      <w:r w:rsidRPr="00806AC5">
        <w:rPr>
          <w:rFonts w:cs="Times New Roman"/>
        </w:rPr>
        <w:br w:type="page"/>
      </w:r>
    </w:p>
    <w:p w14:paraId="35D58381" w14:textId="38F29CD1" w:rsidR="00F17D8D" w:rsidRPr="00806AC5" w:rsidRDefault="00505BB4" w:rsidP="00505BB4">
      <w:pPr>
        <w:pStyle w:val="Heading1"/>
        <w:rPr>
          <w:rFonts w:cs="Times New Roman"/>
        </w:rPr>
      </w:pPr>
      <w:bookmarkStart w:id="10" w:name="_Toc217265101"/>
      <w:r w:rsidRPr="00806AC5">
        <w:rPr>
          <w:rFonts w:cs="Times New Roman"/>
        </w:rPr>
        <w:lastRenderedPageBreak/>
        <w:t>4. Strategy Development and Formulation</w:t>
      </w:r>
      <w:bookmarkEnd w:id="10"/>
    </w:p>
    <w:p w14:paraId="6E841837" w14:textId="2A4A98C0" w:rsidR="00505BB4" w:rsidRDefault="00505BB4" w:rsidP="00505BB4">
      <w:pPr>
        <w:pStyle w:val="Heading2"/>
        <w:rPr>
          <w:rFonts w:cs="Times New Roman"/>
        </w:rPr>
      </w:pPr>
      <w:bookmarkStart w:id="11" w:name="_Toc217265102"/>
      <w:r w:rsidRPr="00806AC5">
        <w:rPr>
          <w:rFonts w:cs="Times New Roman"/>
        </w:rPr>
        <w:t>4.1 Strategic Goals of expansion into the UAE Market.</w:t>
      </w:r>
      <w:bookmarkEnd w:id="11"/>
    </w:p>
    <w:p w14:paraId="0AD2BE1E" w14:textId="47491586" w:rsidR="008C7075" w:rsidRPr="008C7075" w:rsidRDefault="008C7075" w:rsidP="008C7075">
      <w:pPr>
        <w:jc w:val="center"/>
        <w:rPr>
          <w:sz w:val="28"/>
        </w:rPr>
      </w:pPr>
      <w:r w:rsidRPr="008C7075">
        <w:rPr>
          <w:sz w:val="28"/>
        </w:rPr>
        <w:t>Ansoff’s Growth Matrix</w:t>
      </w:r>
    </w:p>
    <w:p w14:paraId="14718452" w14:textId="77777777" w:rsidR="001037EE" w:rsidRDefault="001037EE" w:rsidP="00505BB4">
      <w:pPr>
        <w:rPr>
          <w:rFonts w:cs="Times New Roman"/>
          <w:b/>
          <w:bCs/>
        </w:rPr>
      </w:pPr>
      <w:r w:rsidRPr="001037EE">
        <w:rPr>
          <w:rFonts w:cs="Times New Roman"/>
          <w:b/>
          <w:bCs/>
        </w:rPr>
        <w:t>Market Penetration</w:t>
      </w:r>
    </w:p>
    <w:p w14:paraId="203A08E6" w14:textId="79001D50" w:rsidR="00505BB4" w:rsidRPr="00806AC5" w:rsidRDefault="00505BB4" w:rsidP="00505BB4">
      <w:pPr>
        <w:rPr>
          <w:rFonts w:cs="Times New Roman"/>
        </w:rPr>
      </w:pPr>
      <w:r w:rsidRPr="00806AC5">
        <w:rPr>
          <w:rFonts w:cs="Times New Roman"/>
        </w:rPr>
        <w:t>The strategic aim of the expansion of Currys PLC into the UAE is to facilitate sustainable growth of revenue through the penetration of high-income and technology-focused market. The creation of the initial presence in the market will allow the organisation to seize the new demand and establish brand recognition, as well as customer relationships over the long term (Peng, 2022).</w:t>
      </w:r>
    </w:p>
    <w:p w14:paraId="6D742FA7" w14:textId="77777777" w:rsidR="00505BB4" w:rsidRPr="00806AC5" w:rsidRDefault="00505BB4" w:rsidP="00505BB4">
      <w:pPr>
        <w:rPr>
          <w:rFonts w:cs="Times New Roman"/>
          <w:b/>
          <w:bCs/>
        </w:rPr>
      </w:pPr>
      <w:r w:rsidRPr="00806AC5">
        <w:rPr>
          <w:rFonts w:cs="Times New Roman"/>
          <w:b/>
          <w:bCs/>
        </w:rPr>
        <w:t>Diversification Strategy of Revenue.</w:t>
      </w:r>
    </w:p>
    <w:p w14:paraId="600E6863" w14:textId="7F4FBB00" w:rsidR="00505BB4" w:rsidRDefault="00505BB4" w:rsidP="00505BB4">
      <w:pPr>
        <w:rPr>
          <w:rFonts w:cs="Times New Roman"/>
        </w:rPr>
      </w:pPr>
      <w:r w:rsidRPr="00806AC5">
        <w:rPr>
          <w:rFonts w:cs="Times New Roman"/>
        </w:rPr>
        <w:t>The move to the UAE promotes the goal of Currys PLC in diversifying the revenue base outside of the bedrock markets in Europe. The geographic diversification decreases the sensitivity of organisations to regional economic variations and makes organisations resilient. The strategy not only promotes growth in the long term internationally, but also intensifies financial stability (Hitt et al., 2020).</w:t>
      </w:r>
    </w:p>
    <w:p w14:paraId="0F3AEB0B" w14:textId="0F923B78" w:rsidR="0024663E" w:rsidRDefault="00257C64" w:rsidP="0024663E">
      <w:pPr>
        <w:jc w:val="center"/>
      </w:pPr>
      <w:r w:rsidRPr="00257C64">
        <w:rPr>
          <w:noProof/>
          <w:lang w:eastAsia="en-GB"/>
        </w:rPr>
        <w:drawing>
          <wp:inline distT="0" distB="0" distL="0" distR="0" wp14:anchorId="3F20AB92" wp14:editId="7464A266">
            <wp:extent cx="4090729" cy="2934955"/>
            <wp:effectExtent l="0" t="0" r="5080" b="0"/>
            <wp:docPr id="17" name="Picture 17" descr="C:\Users\FB PC\Desktop\Ansoff_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FB PC\Desktop\Ansoff_Matrix.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92875" cy="2936494"/>
                    </a:xfrm>
                    <a:prstGeom prst="rect">
                      <a:avLst/>
                    </a:prstGeom>
                    <a:noFill/>
                    <a:ln>
                      <a:noFill/>
                    </a:ln>
                  </pic:spPr>
                </pic:pic>
              </a:graphicData>
            </a:graphic>
          </wp:inline>
        </w:drawing>
      </w:r>
    </w:p>
    <w:p w14:paraId="30C5F2BA" w14:textId="35654406" w:rsidR="0024663E" w:rsidRDefault="0025147C" w:rsidP="0024663E">
      <w:pPr>
        <w:jc w:val="center"/>
      </w:pPr>
      <w:r>
        <w:t>Figure:</w:t>
      </w:r>
      <w:r w:rsidR="00ED45B3">
        <w:t xml:space="preserve"> Ansoff’s Growth Matrix </w:t>
      </w:r>
      <w:r w:rsidR="0024663E">
        <w:t>(Johnson et al., 2020).</w:t>
      </w:r>
    </w:p>
    <w:p w14:paraId="06B1F445" w14:textId="5096A50B" w:rsidR="00257C64" w:rsidRPr="0024663E" w:rsidRDefault="00257C64" w:rsidP="001037EE"/>
    <w:p w14:paraId="23C78837" w14:textId="059E34E4" w:rsidR="00505BB4" w:rsidRPr="00806AC5" w:rsidRDefault="001037EE" w:rsidP="00505BB4">
      <w:pPr>
        <w:rPr>
          <w:rFonts w:cs="Times New Roman"/>
          <w:b/>
          <w:bCs/>
        </w:rPr>
      </w:pPr>
      <w:r>
        <w:rPr>
          <w:rFonts w:cs="Times New Roman"/>
          <w:b/>
          <w:bCs/>
        </w:rPr>
        <w:lastRenderedPageBreak/>
        <w:t xml:space="preserve">Product </w:t>
      </w:r>
      <w:r w:rsidR="00505BB4" w:rsidRPr="00806AC5">
        <w:rPr>
          <w:rFonts w:cs="Times New Roman"/>
          <w:b/>
          <w:bCs/>
        </w:rPr>
        <w:t>Development and Positioning.</w:t>
      </w:r>
    </w:p>
    <w:p w14:paraId="6FD349AB" w14:textId="52DE6F92" w:rsidR="00505BB4" w:rsidRPr="00806AC5" w:rsidRDefault="00505BB4" w:rsidP="00505BB4">
      <w:pPr>
        <w:rPr>
          <w:rFonts w:cs="Times New Roman"/>
        </w:rPr>
      </w:pPr>
      <w:r w:rsidRPr="00806AC5">
        <w:rPr>
          <w:rFonts w:cs="Times New Roman"/>
        </w:rPr>
        <w:t xml:space="preserve">The other strategic goal is to position Currys PLC as a reputable technology and electronic retailer in the UAE. Good brand positioning in terms of service quality and technical competence </w:t>
      </w:r>
      <w:r w:rsidR="00C51E1F">
        <w:rPr>
          <w:rFonts w:cs="Times New Roman"/>
        </w:rPr>
        <w:t>give rise to customer confidene</w:t>
      </w:r>
      <w:r w:rsidRPr="00806AC5">
        <w:rPr>
          <w:rFonts w:cs="Times New Roman"/>
        </w:rPr>
        <w:t xml:space="preserve"> (Grant, 2019).</w:t>
      </w:r>
    </w:p>
    <w:p w14:paraId="0E064152" w14:textId="77777777" w:rsidR="00B448F7" w:rsidRDefault="00B448F7" w:rsidP="00505BB4">
      <w:pPr>
        <w:rPr>
          <w:rFonts w:cs="Times New Roman"/>
          <w:b/>
          <w:bCs/>
        </w:rPr>
      </w:pPr>
      <w:r w:rsidRPr="00B448F7">
        <w:rPr>
          <w:rFonts w:cs="Times New Roman"/>
          <w:b/>
          <w:bCs/>
        </w:rPr>
        <w:t>Market Development</w:t>
      </w:r>
    </w:p>
    <w:p w14:paraId="55C26B70" w14:textId="19571BA1" w:rsidR="00505BB4" w:rsidRDefault="00505BB4" w:rsidP="00505BB4">
      <w:pPr>
        <w:rPr>
          <w:rFonts w:cs="Times New Roman"/>
        </w:rPr>
      </w:pPr>
      <w:r w:rsidRPr="00806AC5">
        <w:rPr>
          <w:rFonts w:cs="Times New Roman"/>
        </w:rPr>
        <w:t>Currys PLC can use several market entry modes and they include exporting, franchising, joint venture and wholly owned subsidiary. All the options have varying degrees of control, risk and levels of resource requirement. A strategic assessment is necessary to optimise the entry mode selection and organisational goals and risk-taking capacity (Cavusgil et al., 2020).</w:t>
      </w:r>
    </w:p>
    <w:p w14:paraId="50AAF305" w14:textId="77777777" w:rsidR="00155E6C" w:rsidRPr="00155E6C" w:rsidRDefault="00155E6C" w:rsidP="00155E6C">
      <w:pPr>
        <w:jc w:val="center"/>
        <w:rPr>
          <w:rFonts w:cs="Times New Roman"/>
          <w:sz w:val="28"/>
        </w:rPr>
      </w:pPr>
      <w:r w:rsidRPr="00155E6C">
        <w:rPr>
          <w:sz w:val="28"/>
        </w:rPr>
        <w:t>Porter’s Generic Competitive Strategies</w:t>
      </w:r>
    </w:p>
    <w:p w14:paraId="4939DA49" w14:textId="77777777" w:rsidR="00155E6C" w:rsidRPr="00806AC5" w:rsidRDefault="00155E6C" w:rsidP="00155E6C">
      <w:pPr>
        <w:rPr>
          <w:rFonts w:cs="Times New Roman"/>
          <w:b/>
          <w:bCs/>
        </w:rPr>
      </w:pPr>
      <w:r w:rsidRPr="00806AC5">
        <w:rPr>
          <w:rFonts w:cs="Times New Roman"/>
          <w:b/>
          <w:bCs/>
        </w:rPr>
        <w:t>Differentiation Based Competitive Strategy.</w:t>
      </w:r>
    </w:p>
    <w:p w14:paraId="4B7809B2" w14:textId="7FBEB187" w:rsidR="00155E6C" w:rsidRDefault="00155E6C" w:rsidP="00155E6C">
      <w:pPr>
        <w:rPr>
          <w:rFonts w:cs="Times New Roman"/>
        </w:rPr>
      </w:pPr>
      <w:r w:rsidRPr="00806AC5">
        <w:rPr>
          <w:rFonts w:cs="Times New Roman"/>
        </w:rPr>
        <w:t>The approach that Currys PLC needs to embrace in the context of the UAE market is differentiation strategy, focusing on the quality of services, technical knowledge, and customer experience. Differentiation minimises the use of price competition and assists high-end positioning. The strategy is consistent with consumer anticipations of high levels of service in the UAE retail sector (Porter, 2019).</w:t>
      </w:r>
    </w:p>
    <w:p w14:paraId="51AD8C71" w14:textId="3F8361A3" w:rsidR="00CD5F8F" w:rsidRPr="00CD5F8F" w:rsidRDefault="00CD5F8F" w:rsidP="00CD5F8F">
      <w:pPr>
        <w:jc w:val="center"/>
      </w:pPr>
      <w:r w:rsidRPr="00CD5F8F">
        <w:rPr>
          <w:noProof/>
        </w:rPr>
        <w:drawing>
          <wp:inline distT="0" distB="0" distL="0" distR="0" wp14:anchorId="72E92C75" wp14:editId="248F762C">
            <wp:extent cx="3369856" cy="2541333"/>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72026" cy="2542970"/>
                    </a:xfrm>
                    <a:prstGeom prst="rect">
                      <a:avLst/>
                    </a:prstGeom>
                  </pic:spPr>
                </pic:pic>
              </a:graphicData>
            </a:graphic>
          </wp:inline>
        </w:drawing>
      </w:r>
    </w:p>
    <w:p w14:paraId="2E4592BE" w14:textId="31D05004" w:rsidR="00CD5F8F" w:rsidRPr="00CD5F8F" w:rsidRDefault="00CD5F8F" w:rsidP="00CD5F8F">
      <w:pPr>
        <w:jc w:val="center"/>
      </w:pPr>
      <w:r w:rsidRPr="00CD5F8F">
        <w:t>Figure: Porter’s Generic Competitive Strategies</w:t>
      </w:r>
      <w:r w:rsidR="00E54768">
        <w:t xml:space="preserve"> </w:t>
      </w:r>
      <w:r w:rsidR="00E54768">
        <w:rPr>
          <w:rFonts w:cs="Times New Roman"/>
        </w:rPr>
        <w:t>(Barney, 2018).</w:t>
      </w:r>
    </w:p>
    <w:p w14:paraId="5718D013" w14:textId="77777777" w:rsidR="00155E6C" w:rsidRPr="00806AC5" w:rsidRDefault="00155E6C" w:rsidP="00155E6C">
      <w:pPr>
        <w:rPr>
          <w:rFonts w:cs="Times New Roman"/>
          <w:b/>
          <w:bCs/>
        </w:rPr>
      </w:pPr>
      <w:r>
        <w:rPr>
          <w:rFonts w:cs="Times New Roman"/>
          <w:b/>
          <w:bCs/>
        </w:rPr>
        <w:lastRenderedPageBreak/>
        <w:t>Service New</w:t>
      </w:r>
      <w:r w:rsidRPr="00806AC5">
        <w:rPr>
          <w:rFonts w:cs="Times New Roman"/>
          <w:b/>
          <w:bCs/>
        </w:rPr>
        <w:t xml:space="preserve"> and Value-Added Gifts.</w:t>
      </w:r>
    </w:p>
    <w:p w14:paraId="126C6B44" w14:textId="0CE35404" w:rsidR="00155E6C" w:rsidRPr="00806AC5" w:rsidRDefault="00155E6C" w:rsidP="00CD5F8F">
      <w:pPr>
        <w:rPr>
          <w:rFonts w:cs="Times New Roman"/>
        </w:rPr>
      </w:pPr>
      <w:r w:rsidRPr="00806AC5">
        <w:rPr>
          <w:rFonts w:cs="Times New Roman"/>
        </w:rPr>
        <w:t>Value-added services provided like installation, extended warranties and technical services improve the value perception. A service innovation makes the relationships between customers strong and costs of switching high. These services have competitive advantages that cannot be easily duplicated, even</w:t>
      </w:r>
      <w:r w:rsidR="00443223">
        <w:rPr>
          <w:rFonts w:cs="Times New Roman"/>
        </w:rPr>
        <w:t xml:space="preserve"> by competitors </w:t>
      </w:r>
      <w:r w:rsidR="00443223">
        <w:t>(Verbeke and Asmussen, 2022)</w:t>
      </w:r>
    </w:p>
    <w:p w14:paraId="645BDCA7" w14:textId="77777777" w:rsidR="00155E6C" w:rsidRPr="00806AC5" w:rsidRDefault="00155E6C" w:rsidP="00155E6C">
      <w:pPr>
        <w:rPr>
          <w:rFonts w:cs="Times New Roman"/>
          <w:b/>
          <w:bCs/>
        </w:rPr>
      </w:pPr>
      <w:r w:rsidRPr="00806AC5">
        <w:rPr>
          <w:rFonts w:cs="Times New Roman"/>
          <w:b/>
          <w:bCs/>
        </w:rPr>
        <w:t>Omnichannel Integration Strategy.</w:t>
      </w:r>
    </w:p>
    <w:p w14:paraId="332CE16A" w14:textId="607966F0" w:rsidR="00155E6C" w:rsidRDefault="00155E6C" w:rsidP="00155E6C">
      <w:pPr>
        <w:rPr>
          <w:rFonts w:cs="Times New Roman"/>
        </w:rPr>
      </w:pPr>
      <w:r w:rsidRPr="00806AC5">
        <w:rPr>
          <w:rFonts w:cs="Times New Roman"/>
        </w:rPr>
        <w:t>Optimised omnichannel approach can be used to provide to facilitate two-way communication between online and brick-and-mortar retail environments. Omnichannel convergence results in better convenience and access and automates data-driven personalisation. This move goes in line with the digital maturity of the UAE and will help to develop the scalable growth of retailing through the flexibility of formats (Teece, 2018).</w:t>
      </w:r>
    </w:p>
    <w:p w14:paraId="5379B62E" w14:textId="77777777" w:rsidR="00CD5F8F" w:rsidRPr="00806AC5" w:rsidRDefault="00CD5F8F" w:rsidP="00CD5F8F">
      <w:pPr>
        <w:jc w:val="center"/>
        <w:rPr>
          <w:rFonts w:cs="Times New Roman"/>
        </w:rPr>
      </w:pPr>
      <w:r w:rsidRPr="00806AC5">
        <w:rPr>
          <w:rFonts w:cs="Times New Roman"/>
          <w:noProof/>
          <w:lang w:eastAsia="en-GB"/>
        </w:rPr>
        <w:drawing>
          <wp:inline distT="0" distB="0" distL="0" distR="0" wp14:anchorId="137D9036" wp14:editId="5312232F">
            <wp:extent cx="4132530" cy="1977656"/>
            <wp:effectExtent l="0" t="0" r="190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44869" cy="1983561"/>
                    </a:xfrm>
                    <a:prstGeom prst="rect">
                      <a:avLst/>
                    </a:prstGeom>
                  </pic:spPr>
                </pic:pic>
              </a:graphicData>
            </a:graphic>
          </wp:inline>
        </w:drawing>
      </w:r>
    </w:p>
    <w:p w14:paraId="2C6EEB17" w14:textId="26865382" w:rsidR="00CD5F8F" w:rsidRPr="00806AC5" w:rsidRDefault="00CD5F8F" w:rsidP="00CD5F8F">
      <w:pPr>
        <w:jc w:val="center"/>
        <w:rPr>
          <w:rFonts w:cs="Times New Roman"/>
        </w:rPr>
      </w:pPr>
      <w:r w:rsidRPr="00806AC5">
        <w:rPr>
          <w:rFonts w:cs="Times New Roman"/>
        </w:rPr>
        <w:t>Figure: Omnichannel integration (Porter, 2019)</w:t>
      </w:r>
    </w:p>
    <w:p w14:paraId="5BD064D1" w14:textId="77777777" w:rsidR="00155E6C" w:rsidRPr="00806AC5" w:rsidRDefault="00155E6C" w:rsidP="00155E6C">
      <w:pPr>
        <w:rPr>
          <w:rFonts w:cs="Times New Roman"/>
          <w:b/>
          <w:bCs/>
        </w:rPr>
      </w:pPr>
      <w:r w:rsidRPr="00806AC5">
        <w:rPr>
          <w:rFonts w:cs="Times New Roman"/>
          <w:b/>
          <w:bCs/>
        </w:rPr>
        <w:t>Differences between the local and standard-form.</w:t>
      </w:r>
    </w:p>
    <w:p w14:paraId="64B88070" w14:textId="2C8F7277" w:rsidR="00155E6C" w:rsidRDefault="00155E6C" w:rsidP="00155E6C">
      <w:pPr>
        <w:rPr>
          <w:rFonts w:cs="Times New Roman"/>
        </w:rPr>
      </w:pPr>
      <w:r w:rsidRPr="00806AC5">
        <w:rPr>
          <w:rFonts w:cs="Times New Roman"/>
        </w:rPr>
        <w:t>Currys PLC has to strike a balance between standardisation globally and adaptation locally to satisfy the European and Arabic preferences of the UAE consumers. Although the values of the core brand and service norms are the same, the products range and marketing messages must reflect local cultures. Relevance and operational effectiveness are pegged on this balance (Yip and Hult, 2018).</w:t>
      </w:r>
    </w:p>
    <w:p w14:paraId="162700B8" w14:textId="77777777" w:rsidR="00CD5F8F" w:rsidRDefault="00CD5F8F" w:rsidP="00155E6C">
      <w:pPr>
        <w:rPr>
          <w:rFonts w:cs="Times New Roman"/>
        </w:rPr>
      </w:pPr>
    </w:p>
    <w:p w14:paraId="3DCBB89E" w14:textId="77777777" w:rsidR="00155E6C" w:rsidRDefault="00155E6C" w:rsidP="00505BB4">
      <w:pPr>
        <w:rPr>
          <w:rFonts w:cs="Times New Roman"/>
        </w:rPr>
      </w:pPr>
    </w:p>
    <w:p w14:paraId="0306ED00" w14:textId="13822E0A" w:rsidR="00155E6C" w:rsidRPr="00155E6C" w:rsidRDefault="00155E6C" w:rsidP="00155E6C">
      <w:pPr>
        <w:jc w:val="center"/>
        <w:rPr>
          <w:rFonts w:cs="Times New Roman"/>
          <w:sz w:val="28"/>
        </w:rPr>
      </w:pPr>
      <w:r w:rsidRPr="00155E6C">
        <w:rPr>
          <w:sz w:val="28"/>
        </w:rPr>
        <w:lastRenderedPageBreak/>
        <w:t>Entry Mode Strategy</w:t>
      </w:r>
    </w:p>
    <w:p w14:paraId="1EA07B3C" w14:textId="77777777" w:rsidR="00505BB4" w:rsidRPr="00806AC5" w:rsidRDefault="00505BB4" w:rsidP="00505BB4">
      <w:pPr>
        <w:rPr>
          <w:rFonts w:cs="Times New Roman"/>
          <w:b/>
          <w:bCs/>
        </w:rPr>
      </w:pPr>
      <w:r w:rsidRPr="00806AC5">
        <w:rPr>
          <w:rFonts w:cs="Times New Roman"/>
          <w:b/>
          <w:bCs/>
        </w:rPr>
        <w:t>Reasons to use Joint venture Entry Mode.</w:t>
      </w:r>
    </w:p>
    <w:p w14:paraId="79192C0D" w14:textId="55F0D035" w:rsidR="00505BB4" w:rsidRDefault="00505BB4" w:rsidP="00505BB4">
      <w:pPr>
        <w:rPr>
          <w:rFonts w:cs="Times New Roman"/>
        </w:rPr>
      </w:pPr>
      <w:r w:rsidRPr="00806AC5">
        <w:rPr>
          <w:rFonts w:cs="Times New Roman"/>
        </w:rPr>
        <w:t>The UAE market entry strategy should be a joint venture because of the complexity of regulations and culture. A joint venture would grant it knowledge of the market, distribution channels and regulatory experience. (Dunning and Lundan, 2016).</w:t>
      </w:r>
    </w:p>
    <w:p w14:paraId="0DEC605F" w14:textId="77777777" w:rsidR="00155E6C" w:rsidRPr="00806AC5" w:rsidRDefault="00155E6C" w:rsidP="00155E6C">
      <w:pPr>
        <w:rPr>
          <w:rFonts w:cs="Times New Roman"/>
          <w:b/>
          <w:bCs/>
        </w:rPr>
      </w:pPr>
      <w:r w:rsidRPr="00806AC5">
        <w:rPr>
          <w:rFonts w:cs="Times New Roman"/>
          <w:b/>
          <w:bCs/>
        </w:rPr>
        <w:t>Capability Leveraging and Learning.</w:t>
      </w:r>
    </w:p>
    <w:p w14:paraId="5B154AFD" w14:textId="70C62913" w:rsidR="00155E6C" w:rsidRPr="00806AC5" w:rsidRDefault="00155E6C" w:rsidP="00505BB4">
      <w:pPr>
        <w:rPr>
          <w:rFonts w:cs="Times New Roman"/>
        </w:rPr>
      </w:pPr>
      <w:r w:rsidRPr="00806AC5">
        <w:rPr>
          <w:rFonts w:cs="Times New Roman"/>
        </w:rPr>
        <w:t xml:space="preserve">The expansion into the UAE has the potential of organisational learning and capability building. Knowledge and innovation are facilitated by exposure to technologically </w:t>
      </w:r>
      <w:r w:rsidR="00D7312D" w:rsidRPr="00806AC5">
        <w:rPr>
          <w:rFonts w:cs="Times New Roman"/>
        </w:rPr>
        <w:t>develop</w:t>
      </w:r>
      <w:r w:rsidRPr="00806AC5">
        <w:rPr>
          <w:rFonts w:cs="Times New Roman"/>
        </w:rPr>
        <w:t xml:space="preserve"> and the culturally diverse market. The international experience is also used to reinforce dynamic capabilities and increase the prospects of global expansion in the future (Teece, 2018).</w:t>
      </w:r>
    </w:p>
    <w:p w14:paraId="55BBEA34" w14:textId="77777777" w:rsidR="00505BB4" w:rsidRPr="00806AC5" w:rsidRDefault="00505BB4" w:rsidP="00505BB4">
      <w:pPr>
        <w:rPr>
          <w:rFonts w:cs="Times New Roman"/>
          <w:b/>
          <w:bCs/>
        </w:rPr>
      </w:pPr>
      <w:r w:rsidRPr="00806AC5">
        <w:rPr>
          <w:rFonts w:cs="Times New Roman"/>
          <w:b/>
          <w:bCs/>
        </w:rPr>
        <w:t>Risk Balance and Strategic Control.</w:t>
      </w:r>
    </w:p>
    <w:p w14:paraId="27142C39" w14:textId="70FEB57E" w:rsidR="0024663E" w:rsidRPr="00806AC5" w:rsidRDefault="00505BB4" w:rsidP="00505BB4">
      <w:pPr>
        <w:rPr>
          <w:rFonts w:cs="Times New Roman"/>
        </w:rPr>
      </w:pPr>
      <w:r w:rsidRPr="00806AC5">
        <w:rPr>
          <w:rFonts w:cs="Times New Roman"/>
        </w:rPr>
        <w:t>Job ventures allow Currys PLC to adopt strategic control and risk sharing. Partnerships lessen the financial risk but leave the firm able to utilise its operational and brand management capabilities. This balance facilitates the successful entry to the market and the maintenance of the opportunity to adjust strategies dependin</w:t>
      </w:r>
      <w:r w:rsidR="002A7C59">
        <w:rPr>
          <w:rFonts w:cs="Times New Roman"/>
        </w:rPr>
        <w:t xml:space="preserve">g on performance in the market </w:t>
      </w:r>
      <w:r w:rsidR="002A7C59">
        <w:t>(Narayanan et al., 2021)</w:t>
      </w:r>
    </w:p>
    <w:p w14:paraId="0F115175" w14:textId="77777777" w:rsidR="00505BB4" w:rsidRPr="00806AC5" w:rsidRDefault="00505BB4" w:rsidP="00505BB4">
      <w:pPr>
        <w:rPr>
          <w:rFonts w:cs="Times New Roman"/>
          <w:b/>
          <w:bCs/>
        </w:rPr>
      </w:pPr>
      <w:r w:rsidRPr="00806AC5">
        <w:rPr>
          <w:rFonts w:cs="Times New Roman"/>
          <w:b/>
          <w:bCs/>
        </w:rPr>
        <w:t>Speed of Market Entry</w:t>
      </w:r>
    </w:p>
    <w:p w14:paraId="00B9BB50" w14:textId="1156156D" w:rsidR="00505BB4" w:rsidRDefault="00505BB4" w:rsidP="00505BB4">
      <w:pPr>
        <w:rPr>
          <w:rFonts w:cs="Times New Roman"/>
        </w:rPr>
      </w:pPr>
      <w:r w:rsidRPr="00806AC5">
        <w:rPr>
          <w:rFonts w:cs="Times New Roman"/>
        </w:rPr>
        <w:t>Forming partnership with a local company is also a fast-track to market penetration because it capitalises on relationship and infrastructure already available. The speed of entry helps Currys PLC to be able to exploit first-mover advantages in the selected segments. The speed is important especially in markets that are driven by technology and have high-innovation cycles (Rothaermel, 2021).</w:t>
      </w:r>
    </w:p>
    <w:p w14:paraId="736345E2" w14:textId="3843AB86" w:rsidR="0024663E" w:rsidRDefault="0024663E" w:rsidP="00505BB4">
      <w:pPr>
        <w:rPr>
          <w:rFonts w:cs="Times New Roman"/>
        </w:rPr>
      </w:pPr>
    </w:p>
    <w:p w14:paraId="1717FBC3" w14:textId="632AEA25" w:rsidR="0024663E" w:rsidRDefault="0024663E" w:rsidP="00505BB4">
      <w:pPr>
        <w:rPr>
          <w:rFonts w:cs="Times New Roman"/>
        </w:rPr>
      </w:pPr>
    </w:p>
    <w:p w14:paraId="00658674" w14:textId="1E69BDA1" w:rsidR="0024663E" w:rsidRDefault="0024663E" w:rsidP="00505BB4">
      <w:pPr>
        <w:rPr>
          <w:rFonts w:cs="Times New Roman"/>
        </w:rPr>
      </w:pPr>
    </w:p>
    <w:p w14:paraId="73876E52" w14:textId="072BA573" w:rsidR="0024663E" w:rsidRPr="00806AC5" w:rsidRDefault="0024663E" w:rsidP="00505BB4">
      <w:pPr>
        <w:rPr>
          <w:rFonts w:cs="Times New Roman"/>
        </w:rPr>
      </w:pPr>
    </w:p>
    <w:p w14:paraId="7EE4E009" w14:textId="06033169" w:rsidR="004019EC" w:rsidRDefault="006A77A9" w:rsidP="004019EC">
      <w:pPr>
        <w:pStyle w:val="Heading2"/>
      </w:pPr>
      <w:bookmarkStart w:id="12" w:name="_Toc217265103"/>
      <w:r>
        <w:lastRenderedPageBreak/>
        <w:t>4.2</w:t>
      </w:r>
      <w:r w:rsidR="004019EC">
        <w:t xml:space="preserve"> L</w:t>
      </w:r>
      <w:r w:rsidR="004019EC" w:rsidRPr="0066532C">
        <w:t>everaging identified opportunities</w:t>
      </w:r>
      <w:bookmarkEnd w:id="12"/>
    </w:p>
    <w:p w14:paraId="2D73B893" w14:textId="77777777" w:rsidR="004019EC" w:rsidRPr="00806AC5" w:rsidRDefault="004019EC" w:rsidP="004019EC">
      <w:pPr>
        <w:rPr>
          <w:rFonts w:cs="Times New Roman"/>
          <w:b/>
          <w:bCs/>
        </w:rPr>
      </w:pPr>
      <w:r w:rsidRPr="00806AC5">
        <w:rPr>
          <w:rFonts w:cs="Times New Roman"/>
          <w:b/>
          <w:bCs/>
        </w:rPr>
        <w:t>Corporate Strategy Alignment.</w:t>
      </w:r>
    </w:p>
    <w:p w14:paraId="4B7CAA41" w14:textId="77777777" w:rsidR="004019EC" w:rsidRPr="00806AC5" w:rsidRDefault="004019EC" w:rsidP="004019EC">
      <w:pPr>
        <w:rPr>
          <w:rFonts w:cs="Times New Roman"/>
        </w:rPr>
      </w:pPr>
      <w:r w:rsidRPr="00806AC5">
        <w:rPr>
          <w:rFonts w:cs="Times New Roman"/>
        </w:rPr>
        <w:t>The proposed UAE expansion is in line with the overall corporate strategy of sustainable international expansion as developed by Currys PLC. The firm is boosting its long-term strategic focus by capitalising on available strengths to develop new markets with huge potential in terms of growth. Strategic alignment is a guarantee of consistency between corporate goals and strategies at the level of the markets (Johnson et al., 2020).</w:t>
      </w:r>
    </w:p>
    <w:p w14:paraId="089C6B10" w14:textId="77777777" w:rsidR="004019EC" w:rsidRPr="00806AC5" w:rsidRDefault="004019EC" w:rsidP="004019EC">
      <w:pPr>
        <w:rPr>
          <w:rFonts w:cs="Times New Roman"/>
          <w:b/>
          <w:bCs/>
        </w:rPr>
      </w:pPr>
      <w:r w:rsidRPr="00806AC5">
        <w:rPr>
          <w:rFonts w:cs="Times New Roman"/>
          <w:b/>
          <w:bCs/>
        </w:rPr>
        <w:t>Organisational Governing Model and Structure.</w:t>
      </w:r>
    </w:p>
    <w:p w14:paraId="73C40A6B" w14:textId="25A6FFD4" w:rsidR="004019EC" w:rsidRDefault="004019EC" w:rsidP="004019EC">
      <w:pPr>
        <w:rPr>
          <w:rFonts w:cs="Times New Roman"/>
        </w:rPr>
      </w:pPr>
      <w:r w:rsidRPr="00806AC5">
        <w:rPr>
          <w:rFonts w:cs="Times New Roman"/>
        </w:rPr>
        <w:t xml:space="preserve">The organisational structure needs to ensure the coordination of operation between local operation and headquarters in order to effectively implement them. Decision-making and performance oversight are made easy through the available clear governance mechanisms. Good leadership and accountability systems increase the efficiency of strategic implementation and efficiency </w:t>
      </w:r>
      <w:r w:rsidR="002A7C59">
        <w:t>(Kano et al., 2020)</w:t>
      </w:r>
    </w:p>
    <w:p w14:paraId="42D0A142" w14:textId="77777777" w:rsidR="004019EC" w:rsidRPr="00806AC5" w:rsidRDefault="004019EC" w:rsidP="004019EC">
      <w:pPr>
        <w:spacing w:line="278" w:lineRule="auto"/>
        <w:jc w:val="center"/>
        <w:rPr>
          <w:rFonts w:cs="Times New Roman"/>
        </w:rPr>
      </w:pPr>
      <w:r w:rsidRPr="00806AC5">
        <w:rPr>
          <w:rFonts w:cs="Times New Roman"/>
          <w:noProof/>
          <w:lang w:eastAsia="en-GB"/>
        </w:rPr>
        <w:drawing>
          <wp:inline distT="0" distB="0" distL="0" distR="0" wp14:anchorId="0592C596" wp14:editId="6AB2B2FA">
            <wp:extent cx="3800104" cy="3439453"/>
            <wp:effectExtent l="0" t="0" r="0" b="8890"/>
            <wp:docPr id="23" name="Picture 23" descr="Change Management in IT: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hange Management in IT: Explain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486" b="3698"/>
                    <a:stretch/>
                  </pic:blipFill>
                  <pic:spPr bwMode="auto">
                    <a:xfrm>
                      <a:off x="0" y="0"/>
                      <a:ext cx="3802637" cy="3441745"/>
                    </a:xfrm>
                    <a:prstGeom prst="rect">
                      <a:avLst/>
                    </a:prstGeom>
                    <a:noFill/>
                    <a:ln>
                      <a:noFill/>
                    </a:ln>
                    <a:extLst>
                      <a:ext uri="{53640926-AAD7-44D8-BBD7-CCE9431645EC}">
                        <a14:shadowObscured xmlns:a14="http://schemas.microsoft.com/office/drawing/2010/main"/>
                      </a:ext>
                    </a:extLst>
                  </pic:spPr>
                </pic:pic>
              </a:graphicData>
            </a:graphic>
          </wp:inline>
        </w:drawing>
      </w:r>
    </w:p>
    <w:p w14:paraId="58C73A84" w14:textId="77777777" w:rsidR="004019EC" w:rsidRDefault="004019EC" w:rsidP="004019EC">
      <w:pPr>
        <w:jc w:val="center"/>
        <w:rPr>
          <w:rFonts w:cs="Times New Roman"/>
        </w:rPr>
      </w:pPr>
      <w:r w:rsidRPr="00806AC5">
        <w:rPr>
          <w:rFonts w:cs="Times New Roman"/>
        </w:rPr>
        <w:t>Figure: Change management (Hitt et al., 2020)</w:t>
      </w:r>
    </w:p>
    <w:p w14:paraId="6E1CB61D" w14:textId="77777777" w:rsidR="004019EC" w:rsidRPr="00806AC5" w:rsidRDefault="004019EC" w:rsidP="004019EC">
      <w:pPr>
        <w:rPr>
          <w:rFonts w:cs="Times New Roman"/>
        </w:rPr>
      </w:pPr>
    </w:p>
    <w:p w14:paraId="5E836068" w14:textId="77777777" w:rsidR="004019EC" w:rsidRPr="00806AC5" w:rsidRDefault="004019EC" w:rsidP="004019EC">
      <w:pPr>
        <w:rPr>
          <w:rFonts w:cs="Times New Roman"/>
          <w:b/>
          <w:bCs/>
        </w:rPr>
      </w:pPr>
      <w:r w:rsidRPr="00806AC5">
        <w:rPr>
          <w:rFonts w:cs="Times New Roman"/>
          <w:b/>
          <w:bCs/>
        </w:rPr>
        <w:lastRenderedPageBreak/>
        <w:t>Innovation and Continuous Improvement.</w:t>
      </w:r>
    </w:p>
    <w:p w14:paraId="711668F2" w14:textId="77777777" w:rsidR="004019EC" w:rsidRPr="00806AC5" w:rsidRDefault="004019EC" w:rsidP="004019EC">
      <w:pPr>
        <w:rPr>
          <w:rFonts w:cs="Times New Roman"/>
        </w:rPr>
      </w:pPr>
      <w:r w:rsidRPr="00806AC5">
        <w:rPr>
          <w:rFonts w:cs="Times New Roman"/>
        </w:rPr>
        <w:t>Human resource management is very important in implementing the strategy. Hiring the local talent and bringing the organisational knowledge with one hand facilitates the cultural fit and consistency in services. The training programmes help to build employee capabilities, as well as match the workforce performance to the strategic goals (Rothaermel, 2021).</w:t>
      </w:r>
    </w:p>
    <w:p w14:paraId="03C4ECBA" w14:textId="77777777" w:rsidR="004019EC" w:rsidRPr="00806AC5" w:rsidRDefault="004019EC" w:rsidP="004019EC">
      <w:pPr>
        <w:rPr>
          <w:rFonts w:cs="Times New Roman"/>
          <w:b/>
          <w:bCs/>
        </w:rPr>
      </w:pPr>
      <w:r w:rsidRPr="00806AC5">
        <w:rPr>
          <w:rFonts w:cs="Times New Roman"/>
          <w:b/>
          <w:bCs/>
        </w:rPr>
        <w:t>Adaptability and Change Management.</w:t>
      </w:r>
    </w:p>
    <w:p w14:paraId="34BA42C2" w14:textId="77777777" w:rsidR="004019EC" w:rsidRPr="00806AC5" w:rsidRDefault="004019EC" w:rsidP="004019EC">
      <w:pPr>
        <w:rPr>
          <w:rFonts w:cs="Times New Roman"/>
        </w:rPr>
      </w:pPr>
      <w:r w:rsidRPr="00806AC5">
        <w:rPr>
          <w:rFonts w:cs="Times New Roman"/>
        </w:rPr>
        <w:t>The global expansion requires organisational change and flexibility. There is possible resistance to change that can result in impediments to the effectiveness of the implementation. Employee engagement and effective strategic transitions in new market conditions are promoted with the help of structured change management processes and open communication (Wenzel et al., 2021).</w:t>
      </w:r>
    </w:p>
    <w:p w14:paraId="689FE63D" w14:textId="77777777" w:rsidR="004019EC" w:rsidRPr="00806AC5" w:rsidRDefault="004019EC" w:rsidP="004019EC">
      <w:pPr>
        <w:rPr>
          <w:rFonts w:cs="Times New Roman"/>
          <w:b/>
          <w:bCs/>
        </w:rPr>
      </w:pPr>
      <w:r w:rsidRPr="00806AC5">
        <w:rPr>
          <w:rFonts w:cs="Times New Roman"/>
          <w:b/>
          <w:bCs/>
        </w:rPr>
        <w:t>Sustainable Competitive Advantage.</w:t>
      </w:r>
    </w:p>
    <w:p w14:paraId="5950A33A" w14:textId="215D37E3" w:rsidR="004019EC" w:rsidRPr="00806AC5" w:rsidRDefault="004019EC" w:rsidP="004019EC">
      <w:pPr>
        <w:rPr>
          <w:rFonts w:cs="Times New Roman"/>
        </w:rPr>
      </w:pPr>
      <w:r w:rsidRPr="00806AC5">
        <w:rPr>
          <w:rFonts w:cs="Times New Roman"/>
        </w:rPr>
        <w:t>The differentiation strategy of Currys PLC helps in ensuring sustainable competitive advantage based on the quality of services and customer experience. Long term positioning is enhanced by constant investment in capabilities and from innovation. Sustainable advantage decreases the susceptibility to price-based rivalry and an i</w:t>
      </w:r>
      <w:r w:rsidR="002A7C59">
        <w:rPr>
          <w:rFonts w:cs="Times New Roman"/>
        </w:rPr>
        <w:t xml:space="preserve">ncrease in the market strength </w:t>
      </w:r>
      <w:r w:rsidR="002A7C59">
        <w:t>(Hutzschenreuter et al., 2021)</w:t>
      </w:r>
    </w:p>
    <w:p w14:paraId="3AD85FD0" w14:textId="6F1DAC39" w:rsidR="004019EC" w:rsidRDefault="004019EC" w:rsidP="00505BB4">
      <w:pPr>
        <w:pStyle w:val="Heading2"/>
        <w:rPr>
          <w:rFonts w:cs="Times New Roman"/>
        </w:rPr>
      </w:pPr>
    </w:p>
    <w:p w14:paraId="6064F91F" w14:textId="1BDE9D7A" w:rsidR="006A77A9" w:rsidRDefault="006A77A9" w:rsidP="006A77A9"/>
    <w:p w14:paraId="464C1714" w14:textId="066D7072" w:rsidR="006A77A9" w:rsidRDefault="006A77A9" w:rsidP="006A77A9"/>
    <w:p w14:paraId="2F7F68EE" w14:textId="4508A529" w:rsidR="006A77A9" w:rsidRDefault="006A77A9" w:rsidP="006A77A9"/>
    <w:p w14:paraId="77B4F55A" w14:textId="024DCD07" w:rsidR="006A77A9" w:rsidRDefault="006A77A9" w:rsidP="006A77A9"/>
    <w:p w14:paraId="7DBF3F02" w14:textId="7AED58BC" w:rsidR="006A77A9" w:rsidRDefault="006A77A9" w:rsidP="006A77A9"/>
    <w:p w14:paraId="7E72282B" w14:textId="463CB78C" w:rsidR="006A77A9" w:rsidRDefault="006A77A9" w:rsidP="006A77A9"/>
    <w:p w14:paraId="225A5F5C" w14:textId="39B3D980" w:rsidR="006A77A9" w:rsidRDefault="006A77A9" w:rsidP="006A77A9"/>
    <w:p w14:paraId="43ABD300" w14:textId="77777777" w:rsidR="006A77A9" w:rsidRPr="006A77A9" w:rsidRDefault="006A77A9" w:rsidP="006A77A9"/>
    <w:p w14:paraId="32D0D31B" w14:textId="569766B5" w:rsidR="00505BB4" w:rsidRPr="00806AC5" w:rsidRDefault="00505BB4" w:rsidP="00505BB4">
      <w:pPr>
        <w:pStyle w:val="Heading2"/>
        <w:rPr>
          <w:rFonts w:cs="Times New Roman"/>
        </w:rPr>
      </w:pPr>
      <w:bookmarkStart w:id="13" w:name="_Toc217265104"/>
      <w:r w:rsidRPr="00806AC5">
        <w:rPr>
          <w:rFonts w:cs="Times New Roman"/>
        </w:rPr>
        <w:lastRenderedPageBreak/>
        <w:t>4</w:t>
      </w:r>
      <w:r w:rsidR="006A77A9">
        <w:rPr>
          <w:rFonts w:cs="Times New Roman"/>
        </w:rPr>
        <w:t>.3</w:t>
      </w:r>
      <w:r w:rsidRPr="00806AC5">
        <w:rPr>
          <w:rFonts w:cs="Times New Roman"/>
        </w:rPr>
        <w:t xml:space="preserve"> Risk Identification and Strategic Thinkings.</w:t>
      </w:r>
      <w:bookmarkEnd w:id="13"/>
    </w:p>
    <w:p w14:paraId="103F70A1" w14:textId="77777777" w:rsidR="00505BB4" w:rsidRPr="00806AC5" w:rsidRDefault="00505BB4" w:rsidP="00505BB4">
      <w:pPr>
        <w:rPr>
          <w:rFonts w:cs="Times New Roman"/>
          <w:b/>
          <w:bCs/>
        </w:rPr>
      </w:pPr>
      <w:r w:rsidRPr="00806AC5">
        <w:rPr>
          <w:rFonts w:cs="Times New Roman"/>
          <w:b/>
          <w:bCs/>
        </w:rPr>
        <w:t>Competitive and Market Risks.</w:t>
      </w:r>
    </w:p>
    <w:p w14:paraId="158BD61B" w14:textId="6A2220A3" w:rsidR="00505BB4" w:rsidRPr="00806AC5" w:rsidRDefault="00505BB4" w:rsidP="00505BB4">
      <w:pPr>
        <w:rPr>
          <w:rFonts w:cs="Times New Roman"/>
        </w:rPr>
      </w:pPr>
      <w:r w:rsidRPr="00806AC5">
        <w:rPr>
          <w:rFonts w:cs="Times New Roman"/>
        </w:rPr>
        <w:t>There is a high market risk of having intense competition with the well-established regional retailers. The market penetration can be hampered using aggressive pricing and promotional strategies. To avoid this threat, Currys PLC will need to address this need by ensuring differentiation, brand positioning, and creative innovation in its service delivery in order to m</w:t>
      </w:r>
      <w:r w:rsidR="002A7C59">
        <w:rPr>
          <w:rFonts w:cs="Times New Roman"/>
        </w:rPr>
        <w:t xml:space="preserve">aintain their competitive edge </w:t>
      </w:r>
      <w:r w:rsidR="002A7C59">
        <w:t>(Ghemawat, 2020)</w:t>
      </w:r>
    </w:p>
    <w:p w14:paraId="0833D7E1" w14:textId="733B60D9" w:rsidR="00E80BC6" w:rsidRPr="00806AC5" w:rsidRDefault="00EF5F81" w:rsidP="00EF5F81">
      <w:pPr>
        <w:jc w:val="center"/>
        <w:rPr>
          <w:rFonts w:cs="Times New Roman"/>
        </w:rPr>
      </w:pPr>
      <w:r w:rsidRPr="00806AC5">
        <w:rPr>
          <w:rFonts w:cs="Times New Roman"/>
          <w:noProof/>
          <w:lang w:eastAsia="en-GB"/>
        </w:rPr>
        <w:drawing>
          <wp:inline distT="0" distB="0" distL="0" distR="0" wp14:anchorId="1CD309A3" wp14:editId="2D05E565">
            <wp:extent cx="4672940" cy="2359935"/>
            <wp:effectExtent l="0" t="0" r="0" b="2540"/>
            <wp:docPr id="19" name="Picture 19" descr="What is Market Risk and How Do You Avoid it? - I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is Market Risk and How Do You Avoid it? - IG UK"/>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78113" cy="2362547"/>
                    </a:xfrm>
                    <a:prstGeom prst="rect">
                      <a:avLst/>
                    </a:prstGeom>
                    <a:noFill/>
                    <a:ln>
                      <a:noFill/>
                    </a:ln>
                  </pic:spPr>
                </pic:pic>
              </a:graphicData>
            </a:graphic>
          </wp:inline>
        </w:drawing>
      </w:r>
    </w:p>
    <w:p w14:paraId="7C88FD45" w14:textId="7CFB7C99" w:rsidR="00EF5F81" w:rsidRPr="00806AC5" w:rsidRDefault="00EF5F81" w:rsidP="00EF5F81">
      <w:pPr>
        <w:jc w:val="center"/>
        <w:rPr>
          <w:rFonts w:cs="Times New Roman"/>
        </w:rPr>
      </w:pPr>
      <w:r w:rsidRPr="00806AC5">
        <w:rPr>
          <w:rFonts w:cs="Times New Roman"/>
        </w:rPr>
        <w:t>Figure: Market risk (Grant, 2019).</w:t>
      </w:r>
    </w:p>
    <w:p w14:paraId="30A17F15" w14:textId="77777777" w:rsidR="00505BB4" w:rsidRPr="00806AC5" w:rsidRDefault="00505BB4" w:rsidP="00505BB4">
      <w:pPr>
        <w:rPr>
          <w:rFonts w:cs="Times New Roman"/>
          <w:b/>
          <w:bCs/>
        </w:rPr>
      </w:pPr>
      <w:r w:rsidRPr="00806AC5">
        <w:rPr>
          <w:rFonts w:cs="Times New Roman"/>
          <w:b/>
          <w:bCs/>
        </w:rPr>
        <w:t>Cultural and Operational Problems.</w:t>
      </w:r>
    </w:p>
    <w:p w14:paraId="7B2FBD90" w14:textId="258F0A79" w:rsidR="00505BB4" w:rsidRPr="00806AC5" w:rsidRDefault="00505BB4" w:rsidP="00505BB4">
      <w:pPr>
        <w:rPr>
          <w:rFonts w:cs="Times New Roman"/>
        </w:rPr>
      </w:pPr>
      <w:r w:rsidRPr="00806AC5">
        <w:rPr>
          <w:rFonts w:cs="Times New Roman"/>
        </w:rPr>
        <w:t>Through cross-cultural differences and management of the workforce, operational issues arise during international expansion. Inconsistency in the organisational practises and local norms can influence performance. The training of cultural awareness and integration of local talents can ensure the successful functioning and minimise the chance of implementation risks (Cavusgil et al., 2020).</w:t>
      </w:r>
    </w:p>
    <w:p w14:paraId="71883AE4" w14:textId="77777777" w:rsidR="00505BB4" w:rsidRPr="00806AC5" w:rsidRDefault="00505BB4" w:rsidP="00505BB4">
      <w:pPr>
        <w:rPr>
          <w:rFonts w:cs="Times New Roman"/>
          <w:b/>
          <w:bCs/>
        </w:rPr>
      </w:pPr>
      <w:r w:rsidRPr="00806AC5">
        <w:rPr>
          <w:rFonts w:cs="Times New Roman"/>
          <w:b/>
          <w:bCs/>
        </w:rPr>
        <w:t>Risks of Regulations and Compliance.</w:t>
      </w:r>
    </w:p>
    <w:p w14:paraId="7512D36A" w14:textId="7B919853" w:rsidR="00505BB4" w:rsidRPr="00806AC5" w:rsidRDefault="00505BB4" w:rsidP="00505BB4">
      <w:pPr>
        <w:rPr>
          <w:rFonts w:cs="Times New Roman"/>
        </w:rPr>
      </w:pPr>
      <w:r w:rsidRPr="00806AC5">
        <w:rPr>
          <w:rFonts w:cs="Times New Roman"/>
        </w:rPr>
        <w:t>Regulatory compliance is one of the major risks affecting the market entry of the UAE because of changing legal requirements and specific regulations. The consequences of failure to do so could include fines and publicity. Creating partnerships with local organisations and legal control may minimise the uncertainty of compliance and operations break (Dunning and Lundan, 2016).</w:t>
      </w:r>
    </w:p>
    <w:p w14:paraId="6E4577F3" w14:textId="77777777" w:rsidR="00505BB4" w:rsidRPr="00806AC5" w:rsidRDefault="00505BB4" w:rsidP="00505BB4">
      <w:pPr>
        <w:rPr>
          <w:rFonts w:cs="Times New Roman"/>
          <w:b/>
          <w:bCs/>
        </w:rPr>
      </w:pPr>
      <w:r w:rsidRPr="00806AC5">
        <w:rPr>
          <w:rFonts w:cs="Times New Roman"/>
          <w:b/>
          <w:bCs/>
        </w:rPr>
        <w:lastRenderedPageBreak/>
        <w:t>Financial and Investment risks.</w:t>
      </w:r>
    </w:p>
    <w:p w14:paraId="76B8C280" w14:textId="356EFC1D" w:rsidR="00505BB4" w:rsidRPr="00806AC5" w:rsidRDefault="00505BB4" w:rsidP="00505BB4">
      <w:pPr>
        <w:rPr>
          <w:rFonts w:cs="Times New Roman"/>
        </w:rPr>
      </w:pPr>
      <w:r w:rsidRPr="00806AC5">
        <w:rPr>
          <w:rFonts w:cs="Times New Roman"/>
        </w:rPr>
        <w:t>The resources and personnel needed in the market entry are very huge in terms of financial commitment in regards to the infrastructures, marketing, and manpower</w:t>
      </w:r>
      <w:r w:rsidR="006F552C">
        <w:rPr>
          <w:rFonts w:cs="Times New Roman"/>
        </w:rPr>
        <w:t xml:space="preserve">. </w:t>
      </w:r>
      <w:r w:rsidRPr="00806AC5">
        <w:rPr>
          <w:rFonts w:cs="Times New Roman"/>
        </w:rPr>
        <w:t>Joint venture risk-sharing, and gradually increased investments can result in the reduction of the financial risk and a resulting increase in capital efficiency (Hitt et al., 2020).</w:t>
      </w:r>
    </w:p>
    <w:p w14:paraId="1C2448AB" w14:textId="7127175B" w:rsidR="00EF5F81" w:rsidRPr="00806AC5" w:rsidRDefault="00EF5F81" w:rsidP="00EF5F81">
      <w:pPr>
        <w:jc w:val="center"/>
        <w:rPr>
          <w:rFonts w:cs="Times New Roman"/>
        </w:rPr>
      </w:pPr>
      <w:r w:rsidRPr="00806AC5">
        <w:rPr>
          <w:rFonts w:cs="Times New Roman"/>
          <w:noProof/>
          <w:lang w:eastAsia="en-GB"/>
        </w:rPr>
        <w:drawing>
          <wp:inline distT="0" distB="0" distL="0" distR="0" wp14:anchorId="03B7DFB2" wp14:editId="16BA75E1">
            <wp:extent cx="5052951" cy="207786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55529" cy="2078924"/>
                    </a:xfrm>
                    <a:prstGeom prst="rect">
                      <a:avLst/>
                    </a:prstGeom>
                  </pic:spPr>
                </pic:pic>
              </a:graphicData>
            </a:graphic>
          </wp:inline>
        </w:drawing>
      </w:r>
    </w:p>
    <w:p w14:paraId="2E2442EB" w14:textId="35F2298B" w:rsidR="00EF5F81" w:rsidRPr="00806AC5" w:rsidRDefault="002A7C59" w:rsidP="00EF5F81">
      <w:pPr>
        <w:jc w:val="center"/>
        <w:rPr>
          <w:rFonts w:cs="Times New Roman"/>
        </w:rPr>
      </w:pPr>
      <w:r>
        <w:rPr>
          <w:rFonts w:cs="Times New Roman"/>
        </w:rPr>
        <w:t xml:space="preserve">Figure: Financial investment </w:t>
      </w:r>
      <w:r>
        <w:t>(De Villa et al., 2020)</w:t>
      </w:r>
    </w:p>
    <w:p w14:paraId="290A8FD4" w14:textId="77777777" w:rsidR="00505BB4" w:rsidRPr="00806AC5" w:rsidRDefault="00505BB4" w:rsidP="00505BB4">
      <w:pPr>
        <w:rPr>
          <w:rFonts w:cs="Times New Roman"/>
          <w:b/>
          <w:bCs/>
        </w:rPr>
      </w:pPr>
      <w:r w:rsidRPr="00806AC5">
        <w:rPr>
          <w:rFonts w:cs="Times New Roman"/>
          <w:b/>
          <w:bCs/>
        </w:rPr>
        <w:t>Supply Chain Risk and Operational Risk.</w:t>
      </w:r>
    </w:p>
    <w:p w14:paraId="4CBD725F" w14:textId="21C8DC1B" w:rsidR="00505BB4" w:rsidRPr="00806AC5" w:rsidRDefault="00505BB4" w:rsidP="00505BB4">
      <w:pPr>
        <w:rPr>
          <w:rFonts w:cs="Times New Roman"/>
        </w:rPr>
      </w:pPr>
      <w:r w:rsidRPr="00806AC5">
        <w:rPr>
          <w:rFonts w:cs="Times New Roman"/>
        </w:rPr>
        <w:t>The dependence on overseas suppliers and the logistics chain is a threat to operations because of supply chain disruptions. Delays or increase in costs can go through the product availability and customer satisfaction. Operation resilience and continuity are facilitated by supplier diversification and the deployment of effective inventory management (Grant, 2019).</w:t>
      </w:r>
    </w:p>
    <w:p w14:paraId="1AD98DB1" w14:textId="77777777" w:rsidR="00505BB4" w:rsidRPr="00806AC5" w:rsidRDefault="00505BB4" w:rsidP="00505BB4">
      <w:pPr>
        <w:rPr>
          <w:rFonts w:cs="Times New Roman"/>
          <w:b/>
          <w:bCs/>
        </w:rPr>
      </w:pPr>
      <w:r w:rsidRPr="00806AC5">
        <w:rPr>
          <w:rFonts w:cs="Times New Roman"/>
          <w:b/>
          <w:bCs/>
        </w:rPr>
        <w:t>Risks in Technologies and Cybersecurity.</w:t>
      </w:r>
    </w:p>
    <w:p w14:paraId="30786614" w14:textId="3AA4A760" w:rsidR="00505BB4" w:rsidRDefault="00505BB4" w:rsidP="00505BB4">
      <w:pPr>
        <w:rPr>
          <w:rFonts w:cs="Times New Roman"/>
        </w:rPr>
      </w:pPr>
      <w:r w:rsidRPr="00806AC5">
        <w:rPr>
          <w:rFonts w:cs="Times New Roman"/>
        </w:rPr>
        <w:t>Dependence on digital platforms will create more vulnerabilities regarding cybersecurity threats and system failures to Currys PLC. Customer trust and regulatory compliance may be compromised by the occurrence of data breaches. To ensure security of operations and consumer confidence, it is necessary to invest in safe digital infrastructure and data protection solutions (Teece, 2018).</w:t>
      </w:r>
    </w:p>
    <w:p w14:paraId="7254C384" w14:textId="23B3A6C9" w:rsidR="00653FAC" w:rsidRPr="00806AC5" w:rsidRDefault="00653FAC" w:rsidP="00D7312D">
      <w:pPr>
        <w:spacing w:line="278" w:lineRule="auto"/>
        <w:rPr>
          <w:rFonts w:eastAsiaTheme="majorEastAsia" w:cs="Times New Roman"/>
          <w:sz w:val="32"/>
          <w:szCs w:val="40"/>
        </w:rPr>
      </w:pPr>
      <w:r w:rsidRPr="00806AC5">
        <w:rPr>
          <w:rFonts w:cs="Times New Roman"/>
        </w:rPr>
        <w:br w:type="page"/>
      </w:r>
    </w:p>
    <w:p w14:paraId="268035F9" w14:textId="63A2499D" w:rsidR="00505BB4" w:rsidRDefault="00505BB4" w:rsidP="00C43267">
      <w:pPr>
        <w:pStyle w:val="Heading1"/>
      </w:pPr>
      <w:bookmarkStart w:id="14" w:name="_Toc217265105"/>
      <w:r w:rsidRPr="00806AC5">
        <w:lastRenderedPageBreak/>
        <w:t>5. Performance Evaluation Framework</w:t>
      </w:r>
      <w:bookmarkEnd w:id="14"/>
    </w:p>
    <w:p w14:paraId="63EEF83B" w14:textId="5AE7B64A" w:rsidR="00AC0F47" w:rsidRDefault="00AC0F47" w:rsidP="00C43267">
      <w:pPr>
        <w:pStyle w:val="Heading2"/>
      </w:pPr>
      <w:bookmarkStart w:id="15" w:name="_Toc217265106"/>
      <w:r>
        <w:t>5.1 Design a Balanced Scorecard</w:t>
      </w:r>
      <w:bookmarkEnd w:id="15"/>
    </w:p>
    <w:p w14:paraId="077F9206" w14:textId="77777777" w:rsidR="00DC19A1" w:rsidRPr="00EC1ECB" w:rsidRDefault="00DC19A1" w:rsidP="00EC1ECB">
      <w:pPr>
        <w:jc w:val="center"/>
        <w:rPr>
          <w:sz w:val="28"/>
        </w:rPr>
      </w:pPr>
      <w:r w:rsidRPr="00EC1ECB">
        <w:rPr>
          <w:sz w:val="28"/>
        </w:rPr>
        <w:t>Balanced Scorecard for Currys PLC – UAE Market Entry</w:t>
      </w:r>
    </w:p>
    <w:p w14:paraId="4411AF32" w14:textId="77777777" w:rsidR="00DC19A1" w:rsidRPr="00020E87" w:rsidRDefault="00DC19A1" w:rsidP="00EC1ECB">
      <w:pPr>
        <w:rPr>
          <w:b/>
        </w:rPr>
      </w:pPr>
      <w:r w:rsidRPr="00020E87">
        <w:rPr>
          <w:b/>
        </w:rPr>
        <w:t>1. Financial Perspective</w:t>
      </w:r>
    </w:p>
    <w:p w14:paraId="6ADCB73D" w14:textId="77777777" w:rsidR="00355DE6" w:rsidRDefault="00355DE6" w:rsidP="00355DE6">
      <w:r>
        <w:t>(Which financial performance do Currys PLC need in order to perform well in the UAE)?</w:t>
      </w:r>
    </w:p>
    <w:tbl>
      <w:tblPr>
        <w:tblStyle w:val="TableGrid"/>
        <w:tblW w:w="0" w:type="auto"/>
        <w:tblLook w:val="04A0" w:firstRow="1" w:lastRow="0" w:firstColumn="1" w:lastColumn="0" w:noHBand="0" w:noVBand="1"/>
      </w:tblPr>
      <w:tblGrid>
        <w:gridCol w:w="2017"/>
        <w:gridCol w:w="2612"/>
        <w:gridCol w:w="1489"/>
        <w:gridCol w:w="3232"/>
      </w:tblGrid>
      <w:tr w:rsidR="00DC19A1" w:rsidRPr="00EC1ECB" w14:paraId="1A946BA5" w14:textId="77777777" w:rsidTr="00CE2AD6">
        <w:tc>
          <w:tcPr>
            <w:tcW w:w="0" w:type="auto"/>
            <w:hideMark/>
          </w:tcPr>
          <w:p w14:paraId="0634C6F2" w14:textId="77777777" w:rsidR="00DC19A1" w:rsidRPr="00101676" w:rsidRDefault="00DC19A1" w:rsidP="00EC1ECB">
            <w:pPr>
              <w:rPr>
                <w:b/>
              </w:rPr>
            </w:pPr>
            <w:r w:rsidRPr="00101676">
              <w:rPr>
                <w:b/>
              </w:rPr>
              <w:t>Strategic Objective</w:t>
            </w:r>
          </w:p>
        </w:tc>
        <w:tc>
          <w:tcPr>
            <w:tcW w:w="0" w:type="auto"/>
            <w:hideMark/>
          </w:tcPr>
          <w:p w14:paraId="31C0ED2F" w14:textId="77777777" w:rsidR="00DC19A1" w:rsidRPr="00101676" w:rsidRDefault="00DC19A1" w:rsidP="00EC1ECB">
            <w:pPr>
              <w:rPr>
                <w:b/>
              </w:rPr>
            </w:pPr>
            <w:r w:rsidRPr="00101676">
              <w:rPr>
                <w:b/>
              </w:rPr>
              <w:t>Key Performance Indicator (KPI)</w:t>
            </w:r>
          </w:p>
        </w:tc>
        <w:tc>
          <w:tcPr>
            <w:tcW w:w="0" w:type="auto"/>
            <w:hideMark/>
          </w:tcPr>
          <w:p w14:paraId="5157F18D" w14:textId="77777777" w:rsidR="00DC19A1" w:rsidRPr="00101676" w:rsidRDefault="00DC19A1" w:rsidP="00EC1ECB">
            <w:pPr>
              <w:rPr>
                <w:b/>
              </w:rPr>
            </w:pPr>
            <w:r w:rsidRPr="00101676">
              <w:rPr>
                <w:b/>
              </w:rPr>
              <w:t>Target</w:t>
            </w:r>
          </w:p>
        </w:tc>
        <w:tc>
          <w:tcPr>
            <w:tcW w:w="0" w:type="auto"/>
            <w:hideMark/>
          </w:tcPr>
          <w:p w14:paraId="35DA8105" w14:textId="77777777" w:rsidR="00DC19A1" w:rsidRPr="00101676" w:rsidRDefault="00DC19A1" w:rsidP="00EC1ECB">
            <w:pPr>
              <w:rPr>
                <w:b/>
              </w:rPr>
            </w:pPr>
            <w:r w:rsidRPr="00101676">
              <w:rPr>
                <w:b/>
              </w:rPr>
              <w:t>Strategic Rationale</w:t>
            </w:r>
          </w:p>
        </w:tc>
      </w:tr>
      <w:tr w:rsidR="00DC19A1" w:rsidRPr="00EC1ECB" w14:paraId="3B68C34A" w14:textId="77777777" w:rsidTr="00CE2AD6">
        <w:tc>
          <w:tcPr>
            <w:tcW w:w="0" w:type="auto"/>
            <w:hideMark/>
          </w:tcPr>
          <w:p w14:paraId="4AF24FB7" w14:textId="77777777" w:rsidR="00DC19A1" w:rsidRPr="00EC1ECB" w:rsidRDefault="00DC19A1" w:rsidP="00EC1ECB">
            <w:r w:rsidRPr="00EC1ECB">
              <w:t>Achieve revenue growth in UAE</w:t>
            </w:r>
          </w:p>
        </w:tc>
        <w:tc>
          <w:tcPr>
            <w:tcW w:w="0" w:type="auto"/>
            <w:hideMark/>
          </w:tcPr>
          <w:p w14:paraId="4CE8F0DA" w14:textId="4A9F1224" w:rsidR="00DC19A1" w:rsidRPr="00EC1ECB" w:rsidRDefault="00D748D8" w:rsidP="00EC1ECB">
            <w:r>
              <w:t>Annual growth rate of revenue (local operation)</w:t>
            </w:r>
          </w:p>
        </w:tc>
        <w:tc>
          <w:tcPr>
            <w:tcW w:w="0" w:type="auto"/>
            <w:hideMark/>
          </w:tcPr>
          <w:p w14:paraId="1F6CBF14" w14:textId="77777777" w:rsidR="00DC19A1" w:rsidRPr="00EC1ECB" w:rsidRDefault="00DC19A1" w:rsidP="00EC1ECB">
            <w:r w:rsidRPr="00EC1ECB">
              <w:t>≥ 12% per annum</w:t>
            </w:r>
          </w:p>
        </w:tc>
        <w:tc>
          <w:tcPr>
            <w:tcW w:w="0" w:type="auto"/>
            <w:hideMark/>
          </w:tcPr>
          <w:p w14:paraId="29EB1A9D" w14:textId="77777777" w:rsidR="00DC19A1" w:rsidRPr="00EC1ECB" w:rsidRDefault="00DC19A1" w:rsidP="00EC1ECB">
            <w:r w:rsidRPr="00EC1ECB">
              <w:t>Measures success of market penetration and demand capture</w:t>
            </w:r>
          </w:p>
        </w:tc>
      </w:tr>
      <w:tr w:rsidR="00DC19A1" w:rsidRPr="00EC1ECB" w14:paraId="396D51D7" w14:textId="77777777" w:rsidTr="00CE2AD6">
        <w:tc>
          <w:tcPr>
            <w:tcW w:w="0" w:type="auto"/>
            <w:hideMark/>
          </w:tcPr>
          <w:p w14:paraId="3D18C7F2" w14:textId="77777777" w:rsidR="00DC19A1" w:rsidRPr="00EC1ECB" w:rsidRDefault="00DC19A1" w:rsidP="00EC1ECB">
            <w:r w:rsidRPr="00EC1ECB">
              <w:t>Improve profitability</w:t>
            </w:r>
          </w:p>
        </w:tc>
        <w:tc>
          <w:tcPr>
            <w:tcW w:w="0" w:type="auto"/>
            <w:hideMark/>
          </w:tcPr>
          <w:p w14:paraId="7ABB757D" w14:textId="208ECBCC" w:rsidR="00DC19A1" w:rsidRPr="00EC1ECB" w:rsidRDefault="00840BD9" w:rsidP="00EC1ECB">
            <w:r>
              <w:t>Operating profit margin (UAE)</w:t>
            </w:r>
          </w:p>
        </w:tc>
        <w:tc>
          <w:tcPr>
            <w:tcW w:w="0" w:type="auto"/>
            <w:hideMark/>
          </w:tcPr>
          <w:p w14:paraId="04972FCE" w14:textId="77777777" w:rsidR="00DC19A1" w:rsidRPr="00EC1ECB" w:rsidRDefault="00DC19A1" w:rsidP="00EC1ECB">
            <w:r w:rsidRPr="00EC1ECB">
              <w:t>≥ 8–10%</w:t>
            </w:r>
          </w:p>
        </w:tc>
        <w:tc>
          <w:tcPr>
            <w:tcW w:w="0" w:type="auto"/>
            <w:hideMark/>
          </w:tcPr>
          <w:p w14:paraId="37119AD3" w14:textId="76B0EDA9" w:rsidR="00DC19A1" w:rsidRPr="00EC1ECB" w:rsidRDefault="00F10001" w:rsidP="00EC1ECB">
            <w:r>
              <w:t>Guarantees survival even in t</w:t>
            </w:r>
            <w:r w:rsidR="00533D99">
              <w:t>he face of a stiff competition.</w:t>
            </w:r>
          </w:p>
        </w:tc>
      </w:tr>
      <w:tr w:rsidR="00DC19A1" w:rsidRPr="00EC1ECB" w14:paraId="3614176F" w14:textId="77777777" w:rsidTr="00CE2AD6">
        <w:tc>
          <w:tcPr>
            <w:tcW w:w="0" w:type="auto"/>
            <w:hideMark/>
          </w:tcPr>
          <w:p w14:paraId="31E97FFF" w14:textId="77777777" w:rsidR="00DC19A1" w:rsidRPr="00EC1ECB" w:rsidRDefault="00DC19A1" w:rsidP="00EC1ECB">
            <w:r w:rsidRPr="00EC1ECB">
              <w:t>Maximise return on investment</w:t>
            </w:r>
          </w:p>
        </w:tc>
        <w:tc>
          <w:tcPr>
            <w:tcW w:w="0" w:type="auto"/>
            <w:hideMark/>
          </w:tcPr>
          <w:p w14:paraId="65E019C6" w14:textId="77777777" w:rsidR="00DC19A1" w:rsidRPr="00EC1ECB" w:rsidRDefault="00DC19A1" w:rsidP="00EC1ECB">
            <w:r w:rsidRPr="00EC1ECB">
              <w:t>ROI on UAE expansion</w:t>
            </w:r>
          </w:p>
        </w:tc>
        <w:tc>
          <w:tcPr>
            <w:tcW w:w="0" w:type="auto"/>
            <w:hideMark/>
          </w:tcPr>
          <w:p w14:paraId="6149AD59" w14:textId="77777777" w:rsidR="00DC19A1" w:rsidRPr="00EC1ECB" w:rsidRDefault="00DC19A1" w:rsidP="00EC1ECB">
            <w:r w:rsidRPr="00EC1ECB">
              <w:t>Positive within 3 years</w:t>
            </w:r>
          </w:p>
        </w:tc>
        <w:tc>
          <w:tcPr>
            <w:tcW w:w="0" w:type="auto"/>
            <w:hideMark/>
          </w:tcPr>
          <w:p w14:paraId="628C292A" w14:textId="2BAD3F4C" w:rsidR="00DC19A1" w:rsidRPr="00EC1ECB" w:rsidRDefault="00533D99" w:rsidP="00EC1ECB">
            <w:r>
              <w:t>Assesses financial s</w:t>
            </w:r>
            <w:r w:rsidR="00C47706">
              <w:t>ustainability of the expansion.</w:t>
            </w:r>
          </w:p>
        </w:tc>
      </w:tr>
      <w:tr w:rsidR="00DC19A1" w:rsidRPr="00EC1ECB" w14:paraId="326C2F7F" w14:textId="77777777" w:rsidTr="00CE2AD6">
        <w:tc>
          <w:tcPr>
            <w:tcW w:w="0" w:type="auto"/>
            <w:hideMark/>
          </w:tcPr>
          <w:p w14:paraId="3BD3DBBC" w14:textId="77777777" w:rsidR="00DC19A1" w:rsidRPr="00EC1ECB" w:rsidRDefault="00DC19A1" w:rsidP="00EC1ECB">
            <w:r w:rsidRPr="00EC1ECB">
              <w:t>Control operating costs</w:t>
            </w:r>
          </w:p>
        </w:tc>
        <w:tc>
          <w:tcPr>
            <w:tcW w:w="0" w:type="auto"/>
            <w:hideMark/>
          </w:tcPr>
          <w:p w14:paraId="27C3B418" w14:textId="77777777" w:rsidR="00697A90" w:rsidRDefault="00697A90" w:rsidP="00697A90">
            <w:r>
              <w:t xml:space="preserve">Operating cost control </w:t>
            </w:r>
          </w:p>
          <w:p w14:paraId="49A1900A" w14:textId="25361B58" w:rsidR="00DC19A1" w:rsidRPr="00EC1ECB" w:rsidRDefault="00DC19A1" w:rsidP="00EC1ECB"/>
        </w:tc>
        <w:tc>
          <w:tcPr>
            <w:tcW w:w="0" w:type="auto"/>
            <w:hideMark/>
          </w:tcPr>
          <w:p w14:paraId="561FBA2E" w14:textId="77777777" w:rsidR="00DC19A1" w:rsidRPr="00EC1ECB" w:rsidRDefault="00DC19A1" w:rsidP="00EC1ECB">
            <w:r w:rsidRPr="00EC1ECB">
              <w:t>Below industry average</w:t>
            </w:r>
          </w:p>
        </w:tc>
        <w:tc>
          <w:tcPr>
            <w:tcW w:w="0" w:type="auto"/>
            <w:hideMark/>
          </w:tcPr>
          <w:p w14:paraId="1A365BCB" w14:textId="0E07F6D8" w:rsidR="00DC19A1" w:rsidRPr="00EC1ECB" w:rsidRDefault="0026443E" w:rsidP="00EC1ECB">
            <w:r>
              <w:t>Support differenti</w:t>
            </w:r>
            <w:r w:rsidR="002A7C59">
              <w:t>ation and does not hurt profits (Contractor, 2021)</w:t>
            </w:r>
          </w:p>
        </w:tc>
      </w:tr>
    </w:tbl>
    <w:p w14:paraId="0351EACE" w14:textId="77777777" w:rsidR="00C47706" w:rsidRPr="00806AC5" w:rsidRDefault="00C47706" w:rsidP="00C47706">
      <w:pPr>
        <w:jc w:val="center"/>
        <w:rPr>
          <w:rFonts w:cs="Times New Roman"/>
        </w:rPr>
      </w:pPr>
      <w:r w:rsidRPr="00806AC5">
        <w:rPr>
          <w:rFonts w:cs="Times New Roman"/>
          <w:noProof/>
          <w:lang w:eastAsia="en-GB"/>
        </w:rPr>
        <w:drawing>
          <wp:inline distT="0" distB="0" distL="0" distR="0" wp14:anchorId="1CEDAFC4" wp14:editId="710F3678">
            <wp:extent cx="4425188" cy="2392325"/>
            <wp:effectExtent l="0" t="0" r="0" b="8255"/>
            <wp:docPr id="24" name="Picture 24" descr="Balanced Scorecard : Strategic Management System-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alanced Scorecard : Strategic Management System-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42646" cy="2401763"/>
                    </a:xfrm>
                    <a:prstGeom prst="rect">
                      <a:avLst/>
                    </a:prstGeom>
                    <a:noFill/>
                    <a:ln>
                      <a:noFill/>
                    </a:ln>
                  </pic:spPr>
                </pic:pic>
              </a:graphicData>
            </a:graphic>
          </wp:inline>
        </w:drawing>
      </w:r>
    </w:p>
    <w:p w14:paraId="43EFBCF1" w14:textId="018951BD" w:rsidR="00CE5D74" w:rsidRPr="00C47706" w:rsidRDefault="00C47706" w:rsidP="00C47706">
      <w:pPr>
        <w:jc w:val="center"/>
        <w:rPr>
          <w:rFonts w:cs="Times New Roman"/>
        </w:rPr>
      </w:pPr>
      <w:r w:rsidRPr="00806AC5">
        <w:rPr>
          <w:rFonts w:cs="Times New Roman"/>
        </w:rPr>
        <w:t>Figure: Balanced scorecard (Rothaermel, 2021).</w:t>
      </w:r>
    </w:p>
    <w:p w14:paraId="3718F4C5" w14:textId="77777777" w:rsidR="00DC19A1" w:rsidRPr="00EC011E" w:rsidRDefault="00DC19A1" w:rsidP="00EC1ECB">
      <w:pPr>
        <w:rPr>
          <w:b/>
        </w:rPr>
      </w:pPr>
      <w:r w:rsidRPr="00EC011E">
        <w:rPr>
          <w:b/>
        </w:rPr>
        <w:lastRenderedPageBreak/>
        <w:t>2. Customer Perspective</w:t>
      </w:r>
    </w:p>
    <w:p w14:paraId="0967A109" w14:textId="77777777" w:rsidR="00355DE6" w:rsidRDefault="00355DE6" w:rsidP="00355DE6">
      <w:r>
        <w:t>(What will UAE customers think of Currys PLC?</w:t>
      </w:r>
    </w:p>
    <w:tbl>
      <w:tblPr>
        <w:tblStyle w:val="TableGrid"/>
        <w:tblW w:w="0" w:type="auto"/>
        <w:tblLook w:val="04A0" w:firstRow="1" w:lastRow="0" w:firstColumn="1" w:lastColumn="0" w:noHBand="0" w:noVBand="1"/>
      </w:tblPr>
      <w:tblGrid>
        <w:gridCol w:w="2192"/>
        <w:gridCol w:w="2169"/>
        <w:gridCol w:w="1265"/>
        <w:gridCol w:w="3724"/>
      </w:tblGrid>
      <w:tr w:rsidR="00241796" w:rsidRPr="00EC1ECB" w14:paraId="0123208B" w14:textId="77777777" w:rsidTr="00CE2AD6">
        <w:tc>
          <w:tcPr>
            <w:tcW w:w="0" w:type="auto"/>
            <w:hideMark/>
          </w:tcPr>
          <w:p w14:paraId="7D93073E" w14:textId="77777777" w:rsidR="00DC19A1" w:rsidRPr="00CE5D74" w:rsidRDefault="00DC19A1" w:rsidP="00EC1ECB">
            <w:pPr>
              <w:rPr>
                <w:b/>
              </w:rPr>
            </w:pPr>
            <w:r w:rsidRPr="00CE5D74">
              <w:rPr>
                <w:b/>
              </w:rPr>
              <w:t>Strategic Objective</w:t>
            </w:r>
          </w:p>
        </w:tc>
        <w:tc>
          <w:tcPr>
            <w:tcW w:w="0" w:type="auto"/>
            <w:hideMark/>
          </w:tcPr>
          <w:p w14:paraId="0C89E0F8" w14:textId="77777777" w:rsidR="00DC19A1" w:rsidRPr="00CE5D74" w:rsidRDefault="00DC19A1" w:rsidP="00EC1ECB">
            <w:pPr>
              <w:rPr>
                <w:b/>
              </w:rPr>
            </w:pPr>
            <w:r w:rsidRPr="00CE5D74">
              <w:rPr>
                <w:b/>
              </w:rPr>
              <w:t>Key Performance Indicator (KPI)</w:t>
            </w:r>
          </w:p>
        </w:tc>
        <w:tc>
          <w:tcPr>
            <w:tcW w:w="0" w:type="auto"/>
            <w:hideMark/>
          </w:tcPr>
          <w:p w14:paraId="20883EEC" w14:textId="77777777" w:rsidR="00DC19A1" w:rsidRPr="00CE5D74" w:rsidRDefault="00DC19A1" w:rsidP="00EC1ECB">
            <w:pPr>
              <w:rPr>
                <w:b/>
              </w:rPr>
            </w:pPr>
            <w:r w:rsidRPr="00CE5D74">
              <w:rPr>
                <w:b/>
              </w:rPr>
              <w:t>Target</w:t>
            </w:r>
          </w:p>
        </w:tc>
        <w:tc>
          <w:tcPr>
            <w:tcW w:w="0" w:type="auto"/>
            <w:hideMark/>
          </w:tcPr>
          <w:p w14:paraId="25E29963" w14:textId="77777777" w:rsidR="00DC19A1" w:rsidRPr="00CE5D74" w:rsidRDefault="00DC19A1" w:rsidP="00EC1ECB">
            <w:pPr>
              <w:rPr>
                <w:b/>
              </w:rPr>
            </w:pPr>
            <w:r w:rsidRPr="00CE5D74">
              <w:rPr>
                <w:b/>
              </w:rPr>
              <w:t>Strategic Rationale</w:t>
            </w:r>
          </w:p>
        </w:tc>
      </w:tr>
      <w:tr w:rsidR="00531BC7" w:rsidRPr="00EC1ECB" w14:paraId="6A4CBA44" w14:textId="77777777" w:rsidTr="003D05C4">
        <w:tc>
          <w:tcPr>
            <w:tcW w:w="0" w:type="auto"/>
            <w:hideMark/>
          </w:tcPr>
          <w:p w14:paraId="3BA4231A" w14:textId="65B6B8E5" w:rsidR="00DC19A1" w:rsidRPr="00EC1ECB" w:rsidRDefault="00031601" w:rsidP="00EC1ECB">
            <w:r>
              <w:t xml:space="preserve">Establish powerful brand recognition </w:t>
            </w:r>
            <w:r>
              <w:tab/>
            </w:r>
          </w:p>
        </w:tc>
        <w:tc>
          <w:tcPr>
            <w:tcW w:w="0" w:type="auto"/>
          </w:tcPr>
          <w:p w14:paraId="22E3758A" w14:textId="58C2EBC8" w:rsidR="00DC19A1" w:rsidRPr="00EC1ECB" w:rsidRDefault="00531BC7" w:rsidP="00EC1ECB">
            <w:r>
              <w:t xml:space="preserve">Brand recognition rating in UAE </w:t>
            </w:r>
            <w:r>
              <w:tab/>
            </w:r>
          </w:p>
        </w:tc>
        <w:tc>
          <w:tcPr>
            <w:tcW w:w="0" w:type="auto"/>
            <w:hideMark/>
          </w:tcPr>
          <w:p w14:paraId="0B20ECF4" w14:textId="77777777" w:rsidR="00DC19A1" w:rsidRPr="00EC1ECB" w:rsidRDefault="00DC19A1" w:rsidP="00EC1ECB">
            <w:r w:rsidRPr="00EC1ECB">
              <w:t>≥ 60% within 2 years</w:t>
            </w:r>
          </w:p>
        </w:tc>
        <w:tc>
          <w:tcPr>
            <w:tcW w:w="0" w:type="auto"/>
          </w:tcPr>
          <w:p w14:paraId="092EFA80" w14:textId="5D0AD31B" w:rsidR="00DC19A1" w:rsidRPr="00EC1ECB" w:rsidRDefault="00241796" w:rsidP="00EC1ECB">
            <w:r>
              <w:t>Critical 2 years to compete with established retailers</w:t>
            </w:r>
          </w:p>
        </w:tc>
      </w:tr>
      <w:tr w:rsidR="00531BC7" w:rsidRPr="00EC1ECB" w14:paraId="2A041FAB" w14:textId="77777777" w:rsidTr="003D05C4">
        <w:tc>
          <w:tcPr>
            <w:tcW w:w="0" w:type="auto"/>
            <w:hideMark/>
          </w:tcPr>
          <w:p w14:paraId="1C92C4A2" w14:textId="7D7C57EF" w:rsidR="00DC19A1" w:rsidRPr="00EC1ECB" w:rsidRDefault="00241796" w:rsidP="00EC1ECB">
            <w:r>
              <w:t>Increase customer satisfaction</w:t>
            </w:r>
          </w:p>
        </w:tc>
        <w:tc>
          <w:tcPr>
            <w:tcW w:w="0" w:type="auto"/>
          </w:tcPr>
          <w:p w14:paraId="458E2CFB" w14:textId="5530204D" w:rsidR="00DC19A1" w:rsidRPr="00EC1ECB" w:rsidRDefault="00A542F4" w:rsidP="00EC1ECB">
            <w:r>
              <w:t>Customer Satisfaction Index (CSI)</w:t>
            </w:r>
          </w:p>
        </w:tc>
        <w:tc>
          <w:tcPr>
            <w:tcW w:w="0" w:type="auto"/>
            <w:hideMark/>
          </w:tcPr>
          <w:p w14:paraId="7A606083" w14:textId="77777777" w:rsidR="00DC19A1" w:rsidRPr="00EC1ECB" w:rsidRDefault="00DC19A1" w:rsidP="00EC1ECB">
            <w:r w:rsidRPr="00EC1ECB">
              <w:t>≥ 85%</w:t>
            </w:r>
          </w:p>
        </w:tc>
        <w:tc>
          <w:tcPr>
            <w:tcW w:w="0" w:type="auto"/>
          </w:tcPr>
          <w:p w14:paraId="5E637ECB" w14:textId="2F86DB6F" w:rsidR="00DC19A1" w:rsidRPr="00EC1ECB" w:rsidRDefault="00A542F4" w:rsidP="00EC1ECB">
            <w:r>
              <w:t xml:space="preserve">Reflects the difference in quality of service </w:t>
            </w:r>
            <w:r w:rsidR="00C47706">
              <w:t>and experience differentiation.</w:t>
            </w:r>
          </w:p>
        </w:tc>
      </w:tr>
      <w:tr w:rsidR="00531BC7" w:rsidRPr="00EC1ECB" w14:paraId="6AE54BB0" w14:textId="77777777" w:rsidTr="003D05C4">
        <w:tc>
          <w:tcPr>
            <w:tcW w:w="0" w:type="auto"/>
            <w:hideMark/>
          </w:tcPr>
          <w:p w14:paraId="7B3FA880" w14:textId="677D1A64" w:rsidR="00DC19A1" w:rsidRPr="00EC1ECB" w:rsidRDefault="00A542F4" w:rsidP="00EC1ECB">
            <w:r>
              <w:t>Enact more loyalty of the customers</w:t>
            </w:r>
          </w:p>
        </w:tc>
        <w:tc>
          <w:tcPr>
            <w:tcW w:w="0" w:type="auto"/>
          </w:tcPr>
          <w:p w14:paraId="54303E58" w14:textId="14BD3162" w:rsidR="00DC19A1" w:rsidRPr="00EC1ECB" w:rsidRDefault="000A0C75" w:rsidP="00EC1ECB">
            <w:r>
              <w:t>Customer retention rate</w:t>
            </w:r>
          </w:p>
        </w:tc>
        <w:tc>
          <w:tcPr>
            <w:tcW w:w="0" w:type="auto"/>
            <w:hideMark/>
          </w:tcPr>
          <w:p w14:paraId="59D49BF2" w14:textId="77777777" w:rsidR="00DC19A1" w:rsidRPr="00EC1ECB" w:rsidRDefault="00DC19A1" w:rsidP="00EC1ECB">
            <w:r w:rsidRPr="00EC1ECB">
              <w:t>≥ 70%</w:t>
            </w:r>
          </w:p>
        </w:tc>
        <w:tc>
          <w:tcPr>
            <w:tcW w:w="0" w:type="auto"/>
          </w:tcPr>
          <w:p w14:paraId="4C6F74EB" w14:textId="7BEA0C47" w:rsidR="00DC19A1" w:rsidRPr="00EC1ECB" w:rsidRDefault="009C068D" w:rsidP="00EC1ECB">
            <w:r>
              <w:t>Minimises switching behavio</w:t>
            </w:r>
            <w:r w:rsidR="006D13C9">
              <w:t>ur in a price-sensitive market.</w:t>
            </w:r>
          </w:p>
        </w:tc>
      </w:tr>
      <w:tr w:rsidR="00531BC7" w:rsidRPr="00EC1ECB" w14:paraId="540E3218" w14:textId="77777777" w:rsidTr="003D05C4">
        <w:tc>
          <w:tcPr>
            <w:tcW w:w="0" w:type="auto"/>
            <w:hideMark/>
          </w:tcPr>
          <w:p w14:paraId="7995837D" w14:textId="1A71DD56" w:rsidR="00DC19A1" w:rsidRPr="00EC1ECB" w:rsidRDefault="006D13C9" w:rsidP="00EC1ECB">
            <w:r>
              <w:t>Provide higher quality experience of service</w:t>
            </w:r>
          </w:p>
        </w:tc>
        <w:tc>
          <w:tcPr>
            <w:tcW w:w="0" w:type="auto"/>
          </w:tcPr>
          <w:p w14:paraId="77E2499E" w14:textId="03C6C70B" w:rsidR="00DC19A1" w:rsidRPr="00EC1ECB" w:rsidRDefault="007D56A6" w:rsidP="00EC1ECB">
            <w:r>
              <w:t>Net Promoter Score (NPS)</w:t>
            </w:r>
          </w:p>
        </w:tc>
        <w:tc>
          <w:tcPr>
            <w:tcW w:w="0" w:type="auto"/>
            <w:hideMark/>
          </w:tcPr>
          <w:p w14:paraId="3F2F324D" w14:textId="77777777" w:rsidR="00DC19A1" w:rsidRPr="00EC1ECB" w:rsidRDefault="00DC19A1" w:rsidP="00EC1ECB">
            <w:r w:rsidRPr="00EC1ECB">
              <w:t>≥ +40</w:t>
            </w:r>
          </w:p>
        </w:tc>
        <w:tc>
          <w:tcPr>
            <w:tcW w:w="0" w:type="auto"/>
          </w:tcPr>
          <w:p w14:paraId="10A99036" w14:textId="01FDEBDC" w:rsidR="00DC19A1" w:rsidRPr="00EC1ECB" w:rsidRDefault="008422FB" w:rsidP="00EC1ECB">
            <w:r>
              <w:t>Reflects preference and recommendat</w:t>
            </w:r>
            <w:r w:rsidR="005A28D2">
              <w:t xml:space="preserve">ion of service-based retailing </w:t>
            </w:r>
            <w:r w:rsidR="005A28D2" w:rsidRPr="00806AC5">
              <w:rPr>
                <w:rFonts w:cs="Times New Roman"/>
              </w:rPr>
              <w:t>(Wenzel et al., 2021).</w:t>
            </w:r>
          </w:p>
        </w:tc>
      </w:tr>
    </w:tbl>
    <w:p w14:paraId="2B9CE9DC" w14:textId="77777777" w:rsidR="00FE26A7" w:rsidRDefault="00FE26A7" w:rsidP="00EC1ECB">
      <w:pPr>
        <w:rPr>
          <w:b/>
        </w:rPr>
      </w:pPr>
    </w:p>
    <w:p w14:paraId="2C418727" w14:textId="3D4F7088" w:rsidR="00DC19A1" w:rsidRPr="00101676" w:rsidRDefault="00DC19A1" w:rsidP="00EC1ECB">
      <w:pPr>
        <w:rPr>
          <w:b/>
        </w:rPr>
      </w:pPr>
      <w:r w:rsidRPr="00101676">
        <w:rPr>
          <w:b/>
        </w:rPr>
        <w:t>3. Internal Business Process Perspective</w:t>
      </w:r>
    </w:p>
    <w:p w14:paraId="5E06D2F7" w14:textId="77777777" w:rsidR="00355DE6" w:rsidRDefault="00355DE6" w:rsidP="00355DE6">
      <w:r>
        <w:t>(What activities should Currys PLC perform well in internally)?</w:t>
      </w:r>
    </w:p>
    <w:tbl>
      <w:tblPr>
        <w:tblStyle w:val="TableGrid"/>
        <w:tblW w:w="0" w:type="auto"/>
        <w:tblLook w:val="04A0" w:firstRow="1" w:lastRow="0" w:firstColumn="1" w:lastColumn="0" w:noHBand="0" w:noVBand="1"/>
      </w:tblPr>
      <w:tblGrid>
        <w:gridCol w:w="2206"/>
        <w:gridCol w:w="2442"/>
        <w:gridCol w:w="1788"/>
        <w:gridCol w:w="2914"/>
      </w:tblGrid>
      <w:tr w:rsidR="003B0690" w:rsidRPr="00EC1ECB" w14:paraId="3C85A274" w14:textId="77777777" w:rsidTr="00CE2AD6">
        <w:tc>
          <w:tcPr>
            <w:tcW w:w="0" w:type="auto"/>
            <w:hideMark/>
          </w:tcPr>
          <w:p w14:paraId="0EA15B94" w14:textId="77777777" w:rsidR="00DC19A1" w:rsidRPr="00101676" w:rsidRDefault="00DC19A1" w:rsidP="00EC1ECB">
            <w:pPr>
              <w:rPr>
                <w:b/>
              </w:rPr>
            </w:pPr>
            <w:r w:rsidRPr="00101676">
              <w:rPr>
                <w:b/>
              </w:rPr>
              <w:t>Strategic Objective</w:t>
            </w:r>
          </w:p>
        </w:tc>
        <w:tc>
          <w:tcPr>
            <w:tcW w:w="0" w:type="auto"/>
            <w:hideMark/>
          </w:tcPr>
          <w:p w14:paraId="5F42E680" w14:textId="77777777" w:rsidR="00DC19A1" w:rsidRPr="00101676" w:rsidRDefault="00DC19A1" w:rsidP="00EC1ECB">
            <w:pPr>
              <w:rPr>
                <w:b/>
              </w:rPr>
            </w:pPr>
            <w:r w:rsidRPr="00101676">
              <w:rPr>
                <w:b/>
              </w:rPr>
              <w:t>Key Performance Indicator (KPI)</w:t>
            </w:r>
          </w:p>
        </w:tc>
        <w:tc>
          <w:tcPr>
            <w:tcW w:w="0" w:type="auto"/>
            <w:hideMark/>
          </w:tcPr>
          <w:p w14:paraId="24919D02" w14:textId="77777777" w:rsidR="00DC19A1" w:rsidRPr="00101676" w:rsidRDefault="00DC19A1" w:rsidP="00EC1ECB">
            <w:pPr>
              <w:rPr>
                <w:b/>
              </w:rPr>
            </w:pPr>
            <w:r w:rsidRPr="00101676">
              <w:rPr>
                <w:b/>
              </w:rPr>
              <w:t>Target</w:t>
            </w:r>
          </w:p>
        </w:tc>
        <w:tc>
          <w:tcPr>
            <w:tcW w:w="0" w:type="auto"/>
            <w:hideMark/>
          </w:tcPr>
          <w:p w14:paraId="01412DC5" w14:textId="77777777" w:rsidR="00DC19A1" w:rsidRPr="00101676" w:rsidRDefault="00DC19A1" w:rsidP="00EC1ECB">
            <w:pPr>
              <w:rPr>
                <w:b/>
              </w:rPr>
            </w:pPr>
            <w:r w:rsidRPr="00101676">
              <w:rPr>
                <w:b/>
              </w:rPr>
              <w:t>Strategic Rationale</w:t>
            </w:r>
          </w:p>
        </w:tc>
      </w:tr>
      <w:tr w:rsidR="003B0690" w:rsidRPr="00EC1ECB" w14:paraId="611EB27B" w14:textId="77777777" w:rsidTr="003D05C4">
        <w:tc>
          <w:tcPr>
            <w:tcW w:w="0" w:type="auto"/>
            <w:hideMark/>
          </w:tcPr>
          <w:p w14:paraId="6DB60558" w14:textId="662ECD73" w:rsidR="00DC19A1" w:rsidRPr="00EC1ECB" w:rsidRDefault="007B3257" w:rsidP="00EC1ECB">
            <w:r>
              <w:t>Establish effective supply chain</w:t>
            </w:r>
          </w:p>
        </w:tc>
        <w:tc>
          <w:tcPr>
            <w:tcW w:w="0" w:type="auto"/>
            <w:hideMark/>
          </w:tcPr>
          <w:p w14:paraId="7AF7F807" w14:textId="50417F01" w:rsidR="00DC19A1" w:rsidRPr="00EC1ECB" w:rsidRDefault="00A83200" w:rsidP="00EC1ECB">
            <w:r>
              <w:t>Industry benchmark or better</w:t>
            </w:r>
            <w:r>
              <w:tab/>
            </w:r>
          </w:p>
        </w:tc>
        <w:tc>
          <w:tcPr>
            <w:tcW w:w="0" w:type="auto"/>
            <w:hideMark/>
          </w:tcPr>
          <w:p w14:paraId="15F31683" w14:textId="77777777" w:rsidR="00DC19A1" w:rsidRPr="00EC1ECB" w:rsidRDefault="00DC19A1" w:rsidP="00EC1ECB">
            <w:r w:rsidRPr="00EC1ECB">
              <w:t>Industry benchmark or higher</w:t>
            </w:r>
          </w:p>
        </w:tc>
        <w:tc>
          <w:tcPr>
            <w:tcW w:w="0" w:type="auto"/>
          </w:tcPr>
          <w:p w14:paraId="29B35DB5" w14:textId="1A0ECF32" w:rsidR="00DC19A1" w:rsidRPr="00EC1ECB" w:rsidRDefault="00D0754D" w:rsidP="00EC1ECB">
            <w:r>
              <w:t>Reduces the risk of bei</w:t>
            </w:r>
            <w:r w:rsidR="00C47706">
              <w:t>ng obsolete through technology.</w:t>
            </w:r>
          </w:p>
        </w:tc>
      </w:tr>
      <w:tr w:rsidR="003B0690" w:rsidRPr="00EC1ECB" w14:paraId="47B85E9F" w14:textId="77777777" w:rsidTr="003D05C4">
        <w:tc>
          <w:tcPr>
            <w:tcW w:w="0" w:type="auto"/>
            <w:hideMark/>
          </w:tcPr>
          <w:p w14:paraId="71B20EB1" w14:textId="0B47AB10" w:rsidR="00DC19A1" w:rsidRPr="00EC1ECB" w:rsidRDefault="009E279B" w:rsidP="00EC1ECB">
            <w:r>
              <w:t>Provides accurate online-offline integration</w:t>
            </w:r>
          </w:p>
        </w:tc>
        <w:tc>
          <w:tcPr>
            <w:tcW w:w="0" w:type="auto"/>
            <w:hideMark/>
          </w:tcPr>
          <w:p w14:paraId="4E719F2F" w14:textId="77777777" w:rsidR="00DC19A1" w:rsidRDefault="003B0690" w:rsidP="00EC1ECB">
            <w:r>
              <w:t>Supported by reliable omni-channel operations</w:t>
            </w:r>
          </w:p>
          <w:p w14:paraId="20EE24EB" w14:textId="77777777" w:rsidR="00FE26A7" w:rsidRDefault="00FE26A7" w:rsidP="00EC1ECB"/>
          <w:p w14:paraId="56EA9FB9" w14:textId="3BB4C4C9" w:rsidR="00FE26A7" w:rsidRPr="00EC1ECB" w:rsidRDefault="00FE26A7" w:rsidP="00EC1ECB"/>
        </w:tc>
        <w:tc>
          <w:tcPr>
            <w:tcW w:w="0" w:type="auto"/>
            <w:hideMark/>
          </w:tcPr>
          <w:p w14:paraId="01FE6D21" w14:textId="77777777" w:rsidR="00DC19A1" w:rsidRPr="00EC1ECB" w:rsidRDefault="00DC19A1" w:rsidP="00EC1ECB">
            <w:r w:rsidRPr="00EC1ECB">
              <w:t>≥ 98%</w:t>
            </w:r>
          </w:p>
        </w:tc>
        <w:tc>
          <w:tcPr>
            <w:tcW w:w="0" w:type="auto"/>
          </w:tcPr>
          <w:p w14:paraId="18AD3434" w14:textId="38382853" w:rsidR="00DC19A1" w:rsidRPr="00EC1ECB" w:rsidRDefault="00F0059F" w:rsidP="00EC1ECB">
            <w:r>
              <w:t>Elements of online integration</w:t>
            </w:r>
            <w:r w:rsidR="002A7C59">
              <w:t xml:space="preserve"> (Clegg et al., 2021)</w:t>
            </w:r>
          </w:p>
        </w:tc>
      </w:tr>
      <w:tr w:rsidR="003B0690" w:rsidRPr="00EC1ECB" w14:paraId="341C22DC" w14:textId="77777777" w:rsidTr="003D05C4">
        <w:tc>
          <w:tcPr>
            <w:tcW w:w="0" w:type="auto"/>
            <w:hideMark/>
          </w:tcPr>
          <w:p w14:paraId="0712DF4B" w14:textId="24F1A63F" w:rsidR="00DC19A1" w:rsidRPr="00EC1ECB" w:rsidRDefault="005D371D" w:rsidP="00EC1ECB">
            <w:r>
              <w:t>Pushes efficiency in service delivery</w:t>
            </w:r>
          </w:p>
        </w:tc>
        <w:tc>
          <w:tcPr>
            <w:tcW w:w="0" w:type="auto"/>
            <w:hideMark/>
          </w:tcPr>
          <w:p w14:paraId="7A0CF870" w14:textId="111E4724" w:rsidR="00DC19A1" w:rsidRPr="00EC1ECB" w:rsidRDefault="00B33D00" w:rsidP="00EC1ECB">
            <w:r>
              <w:t>Average service response time</w:t>
            </w:r>
          </w:p>
        </w:tc>
        <w:tc>
          <w:tcPr>
            <w:tcW w:w="0" w:type="auto"/>
            <w:hideMark/>
          </w:tcPr>
          <w:p w14:paraId="5EA3E9BB" w14:textId="77777777" w:rsidR="00DC19A1" w:rsidRPr="00EC1ECB" w:rsidRDefault="00DC19A1" w:rsidP="00EC1ECB">
            <w:r w:rsidRPr="00EC1ECB">
              <w:t>&lt; 24 hours</w:t>
            </w:r>
          </w:p>
        </w:tc>
        <w:tc>
          <w:tcPr>
            <w:tcW w:w="0" w:type="auto"/>
          </w:tcPr>
          <w:p w14:paraId="514A8D50" w14:textId="16F35CE7" w:rsidR="00DC19A1" w:rsidRPr="00EC1ECB" w:rsidRDefault="00FA1720" w:rsidP="00EC1ECB">
            <w:r>
              <w:t>Enhances differentiation using custome</w:t>
            </w:r>
            <w:r w:rsidR="00C47706">
              <w:t>r service.</w:t>
            </w:r>
          </w:p>
        </w:tc>
      </w:tr>
      <w:tr w:rsidR="003B0690" w:rsidRPr="00EC1ECB" w14:paraId="3A167131" w14:textId="77777777" w:rsidTr="003D05C4">
        <w:tc>
          <w:tcPr>
            <w:tcW w:w="0" w:type="auto"/>
            <w:hideMark/>
          </w:tcPr>
          <w:p w14:paraId="367221DF" w14:textId="7D901D7B" w:rsidR="00DC19A1" w:rsidRPr="00EC1ECB" w:rsidRDefault="00802A27" w:rsidP="00EC1ECB">
            <w:r>
              <w:lastRenderedPageBreak/>
              <w:t>Increased partner cooperation</w:t>
            </w:r>
            <w:r>
              <w:tab/>
            </w:r>
          </w:p>
        </w:tc>
        <w:tc>
          <w:tcPr>
            <w:tcW w:w="0" w:type="auto"/>
            <w:hideMark/>
          </w:tcPr>
          <w:p w14:paraId="538A3A95" w14:textId="19FB33BE" w:rsidR="00DC19A1" w:rsidRPr="00EC1ECB" w:rsidRDefault="003D12CF" w:rsidP="00EC1ECB">
            <w:r>
              <w:t>Issues operational milestones on joint ventures</w:t>
            </w:r>
          </w:p>
        </w:tc>
        <w:tc>
          <w:tcPr>
            <w:tcW w:w="0" w:type="auto"/>
            <w:hideMark/>
          </w:tcPr>
          <w:p w14:paraId="78F64669" w14:textId="77777777" w:rsidR="00DC19A1" w:rsidRPr="00EC1ECB" w:rsidRDefault="00DC19A1" w:rsidP="00EC1ECB">
            <w:r w:rsidRPr="00EC1ECB">
              <w:t>100% on schedule</w:t>
            </w:r>
          </w:p>
        </w:tc>
        <w:tc>
          <w:tcPr>
            <w:tcW w:w="0" w:type="auto"/>
          </w:tcPr>
          <w:p w14:paraId="1AF813A5" w14:textId="3E3EF382" w:rsidR="00DC19A1" w:rsidRPr="00EC1ECB" w:rsidRDefault="00CA38E7" w:rsidP="00EC1ECB">
            <w:r>
              <w:t>Guarantees com</w:t>
            </w:r>
            <w:r w:rsidR="005A28D2">
              <w:t xml:space="preserve">petent local market performance </w:t>
            </w:r>
            <w:r w:rsidR="005A28D2" w:rsidRPr="00806AC5">
              <w:rPr>
                <w:rFonts w:cs="Times New Roman"/>
              </w:rPr>
              <w:t>(Grant, 2019).</w:t>
            </w:r>
          </w:p>
        </w:tc>
      </w:tr>
    </w:tbl>
    <w:p w14:paraId="0A012CE3" w14:textId="5E0E16B9" w:rsidR="00DC19A1" w:rsidRDefault="00DC19A1" w:rsidP="00EC1ECB"/>
    <w:p w14:paraId="22C703A6" w14:textId="04FC4CEC" w:rsidR="003D05C4" w:rsidRPr="00EC1ECB" w:rsidRDefault="003D05C4" w:rsidP="00EC1ECB"/>
    <w:p w14:paraId="6A23A9E6" w14:textId="77777777" w:rsidR="00DC19A1" w:rsidRPr="00101676" w:rsidRDefault="00DC19A1" w:rsidP="00EC1ECB">
      <w:pPr>
        <w:rPr>
          <w:b/>
        </w:rPr>
      </w:pPr>
      <w:r w:rsidRPr="00101676">
        <w:rPr>
          <w:b/>
        </w:rPr>
        <w:t>4. Learning and Growth Perspective</w:t>
      </w:r>
    </w:p>
    <w:p w14:paraId="3FF18AB4" w14:textId="77777777" w:rsidR="00355DE6" w:rsidRDefault="00355DE6" w:rsidP="00355DE6">
      <w:r>
        <w:t>(What can Currys PLC do in order to maintain innovation and capability development?)</w:t>
      </w:r>
    </w:p>
    <w:tbl>
      <w:tblPr>
        <w:tblStyle w:val="TableGrid"/>
        <w:tblW w:w="0" w:type="auto"/>
        <w:tblLook w:val="04A0" w:firstRow="1" w:lastRow="0" w:firstColumn="1" w:lastColumn="0" w:noHBand="0" w:noVBand="1"/>
      </w:tblPr>
      <w:tblGrid>
        <w:gridCol w:w="2100"/>
        <w:gridCol w:w="2603"/>
        <w:gridCol w:w="1455"/>
        <w:gridCol w:w="3192"/>
      </w:tblGrid>
      <w:tr w:rsidR="00DC19A1" w:rsidRPr="00EC1ECB" w14:paraId="2A28264A" w14:textId="77777777" w:rsidTr="00CE2AD6">
        <w:tc>
          <w:tcPr>
            <w:tcW w:w="0" w:type="auto"/>
            <w:hideMark/>
          </w:tcPr>
          <w:p w14:paraId="44A954BF" w14:textId="77777777" w:rsidR="00DC19A1" w:rsidRPr="00101676" w:rsidRDefault="00DC19A1" w:rsidP="00EC1ECB">
            <w:pPr>
              <w:rPr>
                <w:b/>
              </w:rPr>
            </w:pPr>
            <w:r w:rsidRPr="00101676">
              <w:rPr>
                <w:b/>
              </w:rPr>
              <w:t>Strategic Objective</w:t>
            </w:r>
          </w:p>
        </w:tc>
        <w:tc>
          <w:tcPr>
            <w:tcW w:w="0" w:type="auto"/>
            <w:hideMark/>
          </w:tcPr>
          <w:p w14:paraId="2F250C36" w14:textId="77777777" w:rsidR="00DC19A1" w:rsidRPr="00101676" w:rsidRDefault="00DC19A1" w:rsidP="00EC1ECB">
            <w:pPr>
              <w:rPr>
                <w:b/>
              </w:rPr>
            </w:pPr>
            <w:r w:rsidRPr="00101676">
              <w:rPr>
                <w:b/>
              </w:rPr>
              <w:t>Key Performance Indicator (KPI)</w:t>
            </w:r>
          </w:p>
        </w:tc>
        <w:tc>
          <w:tcPr>
            <w:tcW w:w="0" w:type="auto"/>
            <w:hideMark/>
          </w:tcPr>
          <w:p w14:paraId="3B5251E1" w14:textId="77777777" w:rsidR="00DC19A1" w:rsidRPr="00101676" w:rsidRDefault="00DC19A1" w:rsidP="00EC1ECB">
            <w:pPr>
              <w:rPr>
                <w:b/>
              </w:rPr>
            </w:pPr>
            <w:r w:rsidRPr="00101676">
              <w:rPr>
                <w:b/>
              </w:rPr>
              <w:t>Target</w:t>
            </w:r>
          </w:p>
        </w:tc>
        <w:tc>
          <w:tcPr>
            <w:tcW w:w="0" w:type="auto"/>
            <w:hideMark/>
          </w:tcPr>
          <w:p w14:paraId="601BEB8B" w14:textId="77777777" w:rsidR="00DC19A1" w:rsidRPr="00101676" w:rsidRDefault="00DC19A1" w:rsidP="00EC1ECB">
            <w:pPr>
              <w:rPr>
                <w:b/>
              </w:rPr>
            </w:pPr>
            <w:r w:rsidRPr="00101676">
              <w:rPr>
                <w:b/>
              </w:rPr>
              <w:t>Strategic Rationale</w:t>
            </w:r>
          </w:p>
        </w:tc>
      </w:tr>
      <w:tr w:rsidR="00DC19A1" w:rsidRPr="00EC1ECB" w14:paraId="61B47D77" w14:textId="77777777" w:rsidTr="00CA3E89">
        <w:tc>
          <w:tcPr>
            <w:tcW w:w="0" w:type="auto"/>
            <w:hideMark/>
          </w:tcPr>
          <w:p w14:paraId="6151A2D9" w14:textId="66AB4068" w:rsidR="00DC19A1" w:rsidRPr="00EC1ECB" w:rsidRDefault="003254D4" w:rsidP="00EC1ECB">
            <w:r>
              <w:t>Skilled labour supply</w:t>
            </w:r>
            <w:r>
              <w:tab/>
            </w:r>
          </w:p>
        </w:tc>
        <w:tc>
          <w:tcPr>
            <w:tcW w:w="0" w:type="auto"/>
          </w:tcPr>
          <w:p w14:paraId="13E140FE" w14:textId="7CA94A6C" w:rsidR="00DC19A1" w:rsidRPr="00EC1ECB" w:rsidRDefault="00DF7D39" w:rsidP="00EC1ECB">
            <w:r>
              <w:t>Hours training/employee</w:t>
            </w:r>
          </w:p>
        </w:tc>
        <w:tc>
          <w:tcPr>
            <w:tcW w:w="0" w:type="auto"/>
            <w:hideMark/>
          </w:tcPr>
          <w:p w14:paraId="438701CD" w14:textId="77777777" w:rsidR="00DC19A1" w:rsidRPr="00EC1ECB" w:rsidRDefault="00DC19A1" w:rsidP="00EC1ECB">
            <w:r w:rsidRPr="00EC1ECB">
              <w:t>≥ 40 hours annually</w:t>
            </w:r>
          </w:p>
        </w:tc>
        <w:tc>
          <w:tcPr>
            <w:tcW w:w="0" w:type="auto"/>
          </w:tcPr>
          <w:p w14:paraId="4CFF90A1" w14:textId="7BD4A7A5" w:rsidR="00DF7D39" w:rsidRDefault="00DF7D39" w:rsidP="00DF7D39">
            <w:r>
              <w:t>Develop technical skills and service leve</w:t>
            </w:r>
            <w:r w:rsidR="002A7C59">
              <w:t>ls (Burgelman et al., 2023)</w:t>
            </w:r>
          </w:p>
          <w:p w14:paraId="2D5CF1C9" w14:textId="7B4ED3AF" w:rsidR="00DC19A1" w:rsidRPr="00EC1ECB" w:rsidRDefault="00DC19A1" w:rsidP="00EC1ECB"/>
        </w:tc>
      </w:tr>
      <w:tr w:rsidR="00DC19A1" w:rsidRPr="00EC1ECB" w14:paraId="0E942C3C" w14:textId="77777777" w:rsidTr="00CA3E89">
        <w:tc>
          <w:tcPr>
            <w:tcW w:w="0" w:type="auto"/>
            <w:hideMark/>
          </w:tcPr>
          <w:p w14:paraId="643E2914" w14:textId="755EAD82" w:rsidR="00DC19A1" w:rsidRPr="00EC1ECB" w:rsidRDefault="00DF7D39" w:rsidP="00EC1ECB">
            <w:r>
              <w:t>Encourage employee participation</w:t>
            </w:r>
          </w:p>
        </w:tc>
        <w:tc>
          <w:tcPr>
            <w:tcW w:w="0" w:type="auto"/>
          </w:tcPr>
          <w:p w14:paraId="3FBABEDB" w14:textId="16356648" w:rsidR="00DC19A1" w:rsidRPr="00EC1ECB" w:rsidRDefault="00265824" w:rsidP="00EC1ECB">
            <w:r>
              <w:t>Employee participation scale</w:t>
            </w:r>
          </w:p>
        </w:tc>
        <w:tc>
          <w:tcPr>
            <w:tcW w:w="0" w:type="auto"/>
            <w:hideMark/>
          </w:tcPr>
          <w:p w14:paraId="7A38A22F" w14:textId="77777777" w:rsidR="00DC19A1" w:rsidRPr="00EC1ECB" w:rsidRDefault="00DC19A1" w:rsidP="00EC1ECB">
            <w:r w:rsidRPr="00EC1ECB">
              <w:t>≥ 80%</w:t>
            </w:r>
          </w:p>
        </w:tc>
        <w:tc>
          <w:tcPr>
            <w:tcW w:w="0" w:type="auto"/>
          </w:tcPr>
          <w:p w14:paraId="7A9A084C" w14:textId="77777777" w:rsidR="00265824" w:rsidRDefault="00265824" w:rsidP="00265824">
            <w:r>
              <w:t>Conducive to productivity and adoption of change.</w:t>
            </w:r>
          </w:p>
          <w:p w14:paraId="69B2E1FA" w14:textId="1A1BD11F" w:rsidR="00DC19A1" w:rsidRPr="00EC1ECB" w:rsidRDefault="00DC19A1" w:rsidP="00EC1ECB"/>
        </w:tc>
      </w:tr>
      <w:tr w:rsidR="00DC19A1" w:rsidRPr="00EC1ECB" w14:paraId="2B4D584B" w14:textId="77777777" w:rsidTr="00CA3E89">
        <w:tc>
          <w:tcPr>
            <w:tcW w:w="0" w:type="auto"/>
            <w:hideMark/>
          </w:tcPr>
          <w:p w14:paraId="6571A94D" w14:textId="355124C8" w:rsidR="00DC19A1" w:rsidRPr="00EC1ECB" w:rsidRDefault="00265824" w:rsidP="00EC1ECB">
            <w:r>
              <w:t>Hones digital capacities</w:t>
            </w:r>
          </w:p>
        </w:tc>
        <w:tc>
          <w:tcPr>
            <w:tcW w:w="0" w:type="auto"/>
          </w:tcPr>
          <w:p w14:paraId="5478CEF4" w14:textId="42CDE3E5" w:rsidR="00DC19A1" w:rsidRPr="00EC1ECB" w:rsidRDefault="00694898" w:rsidP="00EC1ECB">
            <w:r>
              <w:t>Share of decisions made with data</w:t>
            </w:r>
          </w:p>
        </w:tc>
        <w:tc>
          <w:tcPr>
            <w:tcW w:w="0" w:type="auto"/>
            <w:hideMark/>
          </w:tcPr>
          <w:p w14:paraId="39A85AA1" w14:textId="77777777" w:rsidR="00DC19A1" w:rsidRPr="00EC1ECB" w:rsidRDefault="00DC19A1" w:rsidP="00EC1ECB">
            <w:r w:rsidRPr="00EC1ECB">
              <w:t>≥ 70%</w:t>
            </w:r>
          </w:p>
        </w:tc>
        <w:tc>
          <w:tcPr>
            <w:tcW w:w="0" w:type="auto"/>
          </w:tcPr>
          <w:p w14:paraId="0AA9B339" w14:textId="3DCBD80A" w:rsidR="00DC19A1" w:rsidRPr="00EC1ECB" w:rsidRDefault="00694898" w:rsidP="00EC1ECB">
            <w:r>
              <w:t>Makes innovations</w:t>
            </w:r>
            <w:r w:rsidR="000B7452">
              <w:t xml:space="preserve"> in a technology-driven market.</w:t>
            </w:r>
          </w:p>
        </w:tc>
      </w:tr>
      <w:tr w:rsidR="00DC19A1" w:rsidRPr="00EC1ECB" w14:paraId="45822AA9" w14:textId="77777777" w:rsidTr="00CA3E89">
        <w:tc>
          <w:tcPr>
            <w:tcW w:w="0" w:type="auto"/>
            <w:hideMark/>
          </w:tcPr>
          <w:p w14:paraId="5140ECC4" w14:textId="57DB4CDF" w:rsidR="00DC19A1" w:rsidRPr="00EC1ECB" w:rsidRDefault="00590BB4" w:rsidP="00EC1ECB">
            <w:r>
              <w:t>Promotes organisational learning</w:t>
            </w:r>
          </w:p>
        </w:tc>
        <w:tc>
          <w:tcPr>
            <w:tcW w:w="0" w:type="auto"/>
          </w:tcPr>
          <w:p w14:paraId="42C80BE5" w14:textId="1ECB6AD9" w:rsidR="00DC19A1" w:rsidRPr="00EC1ECB" w:rsidRDefault="001A3875" w:rsidP="00EC1ECB">
            <w:r>
              <w:t>Knowledge-sharing programmes deployed</w:t>
            </w:r>
          </w:p>
        </w:tc>
        <w:tc>
          <w:tcPr>
            <w:tcW w:w="0" w:type="auto"/>
            <w:hideMark/>
          </w:tcPr>
          <w:p w14:paraId="0F7D313A" w14:textId="77777777" w:rsidR="00DC19A1" w:rsidRPr="00EC1ECB" w:rsidRDefault="00DC19A1" w:rsidP="00EC1ECB">
            <w:r w:rsidRPr="00EC1ECB">
              <w:t>Minimum 4 per year</w:t>
            </w:r>
          </w:p>
        </w:tc>
        <w:tc>
          <w:tcPr>
            <w:tcW w:w="0" w:type="auto"/>
          </w:tcPr>
          <w:p w14:paraId="50D63A29" w14:textId="61C1A487" w:rsidR="00DC19A1" w:rsidRPr="00EC1ECB" w:rsidRDefault="00A12F5C" w:rsidP="00EC1ECB">
            <w:r>
              <w:t>Facilitates the long-term int</w:t>
            </w:r>
            <w:r w:rsidR="00B55668">
              <w:t xml:space="preserve">ernational capability building </w:t>
            </w:r>
            <w:r w:rsidR="00B55668" w:rsidRPr="00806AC5">
              <w:rPr>
                <w:rFonts w:cs="Times New Roman"/>
              </w:rPr>
              <w:t>(Johnson et al., 2020).</w:t>
            </w:r>
          </w:p>
        </w:tc>
      </w:tr>
    </w:tbl>
    <w:p w14:paraId="2DAB6139" w14:textId="5B40E3FB" w:rsidR="00DC19A1" w:rsidRDefault="00DC19A1" w:rsidP="00EC1ECB"/>
    <w:p w14:paraId="6377058C" w14:textId="2DA19740" w:rsidR="002C56E1" w:rsidRDefault="002C56E1" w:rsidP="00EC1ECB"/>
    <w:p w14:paraId="2B342EDE" w14:textId="077F5CCA" w:rsidR="002C56E1" w:rsidRDefault="002C56E1" w:rsidP="00EC1ECB"/>
    <w:p w14:paraId="3C176A41" w14:textId="0D1D1B88" w:rsidR="002C56E1" w:rsidRDefault="002C56E1" w:rsidP="00EC1ECB"/>
    <w:p w14:paraId="70B60581" w14:textId="0D569F93" w:rsidR="003D05C4" w:rsidRPr="00EC1ECB" w:rsidRDefault="003D05C4" w:rsidP="00EC1ECB"/>
    <w:p w14:paraId="22BD9AA8" w14:textId="77777777" w:rsidR="00DC19A1" w:rsidRPr="00101676" w:rsidRDefault="00DC19A1" w:rsidP="00EC1ECB">
      <w:pPr>
        <w:rPr>
          <w:b/>
        </w:rPr>
      </w:pPr>
      <w:r w:rsidRPr="00101676">
        <w:rPr>
          <w:b/>
        </w:rPr>
        <w:t>5. Sustainability &amp; Corporate Responsibility Perspective</w:t>
      </w:r>
    </w:p>
    <w:p w14:paraId="7BA912FC" w14:textId="77777777" w:rsidR="00355DE6" w:rsidRDefault="00355DE6" w:rsidP="00355DE6">
      <w:r>
        <w:lastRenderedPageBreak/>
        <w:t>(What does the Currys PLC do to generate long-term societal and environmental value?</w:t>
      </w:r>
    </w:p>
    <w:tbl>
      <w:tblPr>
        <w:tblStyle w:val="TableGrid"/>
        <w:tblW w:w="0" w:type="auto"/>
        <w:tblLook w:val="04A0" w:firstRow="1" w:lastRow="0" w:firstColumn="1" w:lastColumn="0" w:noHBand="0" w:noVBand="1"/>
      </w:tblPr>
      <w:tblGrid>
        <w:gridCol w:w="2435"/>
        <w:gridCol w:w="2065"/>
        <w:gridCol w:w="2286"/>
        <w:gridCol w:w="2564"/>
      </w:tblGrid>
      <w:tr w:rsidR="00DC19A1" w:rsidRPr="00EC1ECB" w14:paraId="65E080DB" w14:textId="77777777" w:rsidTr="00CE2AD6">
        <w:tc>
          <w:tcPr>
            <w:tcW w:w="0" w:type="auto"/>
            <w:hideMark/>
          </w:tcPr>
          <w:p w14:paraId="3F22B1DB" w14:textId="77777777" w:rsidR="00DC19A1" w:rsidRPr="00101676" w:rsidRDefault="00DC19A1" w:rsidP="00EC1ECB">
            <w:pPr>
              <w:rPr>
                <w:b/>
              </w:rPr>
            </w:pPr>
            <w:r w:rsidRPr="00101676">
              <w:rPr>
                <w:b/>
              </w:rPr>
              <w:t>Strategic Objective</w:t>
            </w:r>
          </w:p>
        </w:tc>
        <w:tc>
          <w:tcPr>
            <w:tcW w:w="0" w:type="auto"/>
            <w:hideMark/>
          </w:tcPr>
          <w:p w14:paraId="310DF0AE" w14:textId="77777777" w:rsidR="00DC19A1" w:rsidRPr="00101676" w:rsidRDefault="00DC19A1" w:rsidP="00EC1ECB">
            <w:pPr>
              <w:rPr>
                <w:b/>
              </w:rPr>
            </w:pPr>
            <w:r w:rsidRPr="00101676">
              <w:rPr>
                <w:b/>
              </w:rPr>
              <w:t>Key Performance Indicator (KPI)</w:t>
            </w:r>
          </w:p>
        </w:tc>
        <w:tc>
          <w:tcPr>
            <w:tcW w:w="0" w:type="auto"/>
            <w:hideMark/>
          </w:tcPr>
          <w:p w14:paraId="7ED7200B" w14:textId="77777777" w:rsidR="00DC19A1" w:rsidRPr="00101676" w:rsidRDefault="00DC19A1" w:rsidP="00EC1ECB">
            <w:pPr>
              <w:rPr>
                <w:b/>
              </w:rPr>
            </w:pPr>
            <w:r w:rsidRPr="00101676">
              <w:rPr>
                <w:b/>
              </w:rPr>
              <w:t>Target</w:t>
            </w:r>
          </w:p>
        </w:tc>
        <w:tc>
          <w:tcPr>
            <w:tcW w:w="0" w:type="auto"/>
            <w:hideMark/>
          </w:tcPr>
          <w:p w14:paraId="1DF54839" w14:textId="77777777" w:rsidR="00DC19A1" w:rsidRPr="00101676" w:rsidRDefault="00DC19A1" w:rsidP="00EC1ECB">
            <w:pPr>
              <w:rPr>
                <w:b/>
              </w:rPr>
            </w:pPr>
            <w:r w:rsidRPr="00101676">
              <w:rPr>
                <w:b/>
              </w:rPr>
              <w:t>Strategic Rationale</w:t>
            </w:r>
          </w:p>
        </w:tc>
      </w:tr>
      <w:tr w:rsidR="00DC19A1" w:rsidRPr="00EC1ECB" w14:paraId="78929299" w14:textId="77777777" w:rsidTr="00CA3E89">
        <w:tc>
          <w:tcPr>
            <w:tcW w:w="0" w:type="auto"/>
            <w:hideMark/>
          </w:tcPr>
          <w:p w14:paraId="70BC3CB4" w14:textId="4AC72F2D" w:rsidR="00DC19A1" w:rsidRPr="00EC1ECB" w:rsidRDefault="0022598C" w:rsidP="00EC1ECB">
            <w:r>
              <w:t>Enhance on the environment performance</w:t>
            </w:r>
          </w:p>
        </w:tc>
        <w:tc>
          <w:tcPr>
            <w:tcW w:w="0" w:type="auto"/>
          </w:tcPr>
          <w:p w14:paraId="0071BBDB" w14:textId="735CC8A2" w:rsidR="00DC19A1" w:rsidRPr="00EC1ECB" w:rsidRDefault="006D7139" w:rsidP="00EC1ECB">
            <w:r>
              <w:t>Ratio energy-efficient operations proportion</w:t>
            </w:r>
          </w:p>
        </w:tc>
        <w:tc>
          <w:tcPr>
            <w:tcW w:w="0" w:type="auto"/>
            <w:hideMark/>
          </w:tcPr>
          <w:p w14:paraId="26407AC8" w14:textId="77777777" w:rsidR="00DC19A1" w:rsidRPr="00EC1ECB" w:rsidRDefault="00DC19A1" w:rsidP="00EC1ECB">
            <w:r w:rsidRPr="00EC1ECB">
              <w:t>≥ 30% renewable/efficient usage</w:t>
            </w:r>
          </w:p>
        </w:tc>
        <w:tc>
          <w:tcPr>
            <w:tcW w:w="0" w:type="auto"/>
          </w:tcPr>
          <w:p w14:paraId="36E93B1F" w14:textId="06F7773C" w:rsidR="006D7139" w:rsidRDefault="006D7139" w:rsidP="006D7139">
            <w:r>
              <w:t>Conforming to the UAE sustainability agenda.</w:t>
            </w:r>
          </w:p>
          <w:p w14:paraId="12B3034E" w14:textId="627B94D3" w:rsidR="00DC19A1" w:rsidRPr="00EC1ECB" w:rsidRDefault="00DC19A1" w:rsidP="00EC1ECB"/>
        </w:tc>
      </w:tr>
      <w:tr w:rsidR="00DC19A1" w:rsidRPr="00EC1ECB" w14:paraId="65028A89" w14:textId="77777777" w:rsidTr="00CA3E89">
        <w:tc>
          <w:tcPr>
            <w:tcW w:w="0" w:type="auto"/>
            <w:hideMark/>
          </w:tcPr>
          <w:p w14:paraId="2A0EF62D" w14:textId="5D63E4B4" w:rsidR="00DC19A1" w:rsidRPr="00EC1ECB" w:rsidRDefault="006D7139" w:rsidP="00EC1ECB">
            <w:r>
              <w:t>Reasonable renewable/efficient use</w:t>
            </w:r>
          </w:p>
        </w:tc>
        <w:tc>
          <w:tcPr>
            <w:tcW w:w="0" w:type="auto"/>
          </w:tcPr>
          <w:p w14:paraId="1B06DE83" w14:textId="2C37546E" w:rsidR="00DC19A1" w:rsidRPr="00EC1ECB" w:rsidRDefault="0013261D" w:rsidP="00EC1ECB">
            <w:r>
              <w:t>Support responsible sourcing</w:t>
            </w:r>
          </w:p>
        </w:tc>
        <w:tc>
          <w:tcPr>
            <w:tcW w:w="0" w:type="auto"/>
            <w:hideMark/>
          </w:tcPr>
          <w:p w14:paraId="719309F9" w14:textId="77777777" w:rsidR="00DC19A1" w:rsidRPr="00EC1ECB" w:rsidRDefault="00DC19A1" w:rsidP="00EC1ECB">
            <w:r w:rsidRPr="00EC1ECB">
              <w:t>100%</w:t>
            </w:r>
          </w:p>
        </w:tc>
        <w:tc>
          <w:tcPr>
            <w:tcW w:w="0" w:type="auto"/>
          </w:tcPr>
          <w:p w14:paraId="30F2931D" w14:textId="2EEE71D0" w:rsidR="00DC19A1" w:rsidRPr="00EC1ECB" w:rsidRDefault="0013261D" w:rsidP="00EC1ECB">
            <w:r>
              <w:t xml:space="preserve">Guarantees brand </w:t>
            </w:r>
            <w:r w:rsidR="00727CF9">
              <w:t>image and regulatory standards.</w:t>
            </w:r>
          </w:p>
        </w:tc>
      </w:tr>
      <w:tr w:rsidR="00DC19A1" w:rsidRPr="00EC1ECB" w14:paraId="698EB367" w14:textId="77777777" w:rsidTr="00CA3E89">
        <w:trPr>
          <w:trHeight w:val="77"/>
        </w:trPr>
        <w:tc>
          <w:tcPr>
            <w:tcW w:w="0" w:type="auto"/>
            <w:hideMark/>
          </w:tcPr>
          <w:p w14:paraId="2D89A328" w14:textId="45F76722" w:rsidR="00DC19A1" w:rsidRPr="00EC1ECB" w:rsidRDefault="0013261D" w:rsidP="00EC1ECB">
            <w:r>
              <w:t>Improves corporate reputation</w:t>
            </w:r>
          </w:p>
        </w:tc>
        <w:tc>
          <w:tcPr>
            <w:tcW w:w="0" w:type="auto"/>
          </w:tcPr>
          <w:p w14:paraId="1444F2E7" w14:textId="64E58D84" w:rsidR="00DC19A1" w:rsidRPr="00EC1ECB" w:rsidRDefault="00727CF9" w:rsidP="00EC1ECB">
            <w:r>
              <w:t>ESG performance rating</w:t>
            </w:r>
          </w:p>
        </w:tc>
        <w:tc>
          <w:tcPr>
            <w:tcW w:w="0" w:type="auto"/>
            <w:hideMark/>
          </w:tcPr>
          <w:p w14:paraId="34273254" w14:textId="77777777" w:rsidR="00DC19A1" w:rsidRPr="00EC1ECB" w:rsidRDefault="00DC19A1" w:rsidP="00EC1ECB">
            <w:r w:rsidRPr="00EC1ECB">
              <w:t>Continuous annual improvement</w:t>
            </w:r>
          </w:p>
        </w:tc>
        <w:tc>
          <w:tcPr>
            <w:tcW w:w="0" w:type="auto"/>
          </w:tcPr>
          <w:p w14:paraId="5EC29303" w14:textId="78155960" w:rsidR="00DC19A1" w:rsidRPr="00EC1ECB" w:rsidRDefault="00727CF9" w:rsidP="00EC1ECB">
            <w:r>
              <w:t>Long term trust bui</w:t>
            </w:r>
            <w:r w:rsidR="00B010FA">
              <w:t>lding amongst the stakeholders.</w:t>
            </w:r>
          </w:p>
        </w:tc>
      </w:tr>
      <w:tr w:rsidR="00DC19A1" w:rsidRPr="00EC1ECB" w14:paraId="21965BDE" w14:textId="77777777" w:rsidTr="00CA3E89">
        <w:tc>
          <w:tcPr>
            <w:tcW w:w="0" w:type="auto"/>
            <w:hideMark/>
          </w:tcPr>
          <w:p w14:paraId="2285640A" w14:textId="34A50B12" w:rsidR="00DC19A1" w:rsidRPr="00EC1ECB" w:rsidRDefault="00727CF9" w:rsidP="00EC1ECB">
            <w:r>
              <w:t>Continuous annual improvement</w:t>
            </w:r>
          </w:p>
        </w:tc>
        <w:tc>
          <w:tcPr>
            <w:tcW w:w="0" w:type="auto"/>
          </w:tcPr>
          <w:p w14:paraId="725BA381" w14:textId="0E56CD80" w:rsidR="00DC19A1" w:rsidRPr="00EC1ECB" w:rsidRDefault="00E95616" w:rsidP="00EC1ECB">
            <w:r>
              <w:t>Minimise waste and emissions</w:t>
            </w:r>
            <w:r w:rsidR="002A7C59">
              <w:t xml:space="preserve"> (Afuah, 2020)</w:t>
            </w:r>
          </w:p>
        </w:tc>
        <w:tc>
          <w:tcPr>
            <w:tcW w:w="0" w:type="auto"/>
            <w:hideMark/>
          </w:tcPr>
          <w:p w14:paraId="409C7DD4" w14:textId="77777777" w:rsidR="00DC19A1" w:rsidRPr="00EC1ECB" w:rsidRDefault="00DC19A1" w:rsidP="00EC1ECB">
            <w:r w:rsidRPr="00EC1ECB">
              <w:t>≥ 75%</w:t>
            </w:r>
          </w:p>
        </w:tc>
        <w:tc>
          <w:tcPr>
            <w:tcW w:w="0" w:type="auto"/>
          </w:tcPr>
          <w:p w14:paraId="6F5F203E" w14:textId="61189432" w:rsidR="00E95616" w:rsidRDefault="00E95616" w:rsidP="00E95616">
            <w:r>
              <w:t>Vindicates sensible s</w:t>
            </w:r>
            <w:r w:rsidR="005A28D2">
              <w:t xml:space="preserve">cience in electronics retailing </w:t>
            </w:r>
            <w:r w:rsidR="005A28D2" w:rsidRPr="00806AC5">
              <w:rPr>
                <w:rFonts w:cs="Times New Roman"/>
              </w:rPr>
              <w:t>(Kaplan and Norton, 2020).</w:t>
            </w:r>
          </w:p>
          <w:p w14:paraId="4E94127E" w14:textId="1D5B166F" w:rsidR="00DC19A1" w:rsidRPr="00EC1ECB" w:rsidRDefault="00DC19A1" w:rsidP="00EC1ECB"/>
        </w:tc>
      </w:tr>
    </w:tbl>
    <w:p w14:paraId="6793B8CD" w14:textId="33AA174C" w:rsidR="00AC0F47" w:rsidRDefault="00AC0F47" w:rsidP="00AC0F47"/>
    <w:p w14:paraId="1F4C971A" w14:textId="301826ED" w:rsidR="003D05C4" w:rsidRDefault="003D05C4" w:rsidP="00AC0F47"/>
    <w:p w14:paraId="299A1828" w14:textId="56FA8465" w:rsidR="003D05C4" w:rsidRDefault="003D05C4" w:rsidP="00AC0F47"/>
    <w:p w14:paraId="63B5EBBC" w14:textId="300A44BE" w:rsidR="003D05C4" w:rsidRDefault="003D05C4" w:rsidP="00AC0F47"/>
    <w:p w14:paraId="14FC07B1" w14:textId="65EA3E8F" w:rsidR="003D05C4" w:rsidRDefault="003D05C4" w:rsidP="00AC0F47"/>
    <w:p w14:paraId="666ED714" w14:textId="0D202772" w:rsidR="003D05C4" w:rsidRDefault="003D05C4" w:rsidP="00AC0F47"/>
    <w:p w14:paraId="2595EF65" w14:textId="5F3D87A3" w:rsidR="003D05C4" w:rsidRDefault="003D05C4" w:rsidP="00AC0F47"/>
    <w:p w14:paraId="37956D8E" w14:textId="42D59B26" w:rsidR="003D05C4" w:rsidRPr="00AC0F47" w:rsidRDefault="003D05C4" w:rsidP="00AC0F47"/>
    <w:p w14:paraId="1A3FDC90" w14:textId="17852660" w:rsidR="00505BB4" w:rsidRPr="00806AC5" w:rsidRDefault="00505BB4" w:rsidP="00505BB4">
      <w:pPr>
        <w:pStyle w:val="Heading2"/>
        <w:rPr>
          <w:rFonts w:cs="Times New Roman"/>
        </w:rPr>
      </w:pPr>
      <w:bookmarkStart w:id="16" w:name="_Toc217265107"/>
      <w:r w:rsidRPr="00806AC5">
        <w:rPr>
          <w:rFonts w:cs="Times New Roman"/>
        </w:rPr>
        <w:t>5.2 Key Strategic Control Mechanisms and Key Performance Indicators.</w:t>
      </w:r>
      <w:bookmarkEnd w:id="16"/>
    </w:p>
    <w:p w14:paraId="1EFD48FF" w14:textId="77777777" w:rsidR="00505BB4" w:rsidRPr="00806AC5" w:rsidRDefault="00505BB4" w:rsidP="00505BB4">
      <w:pPr>
        <w:rPr>
          <w:rFonts w:cs="Times New Roman"/>
          <w:b/>
          <w:bCs/>
        </w:rPr>
      </w:pPr>
      <w:r w:rsidRPr="00806AC5">
        <w:rPr>
          <w:rFonts w:cs="Times New Roman"/>
          <w:b/>
          <w:bCs/>
        </w:rPr>
        <w:t>Financial Performance Indicators.</w:t>
      </w:r>
    </w:p>
    <w:p w14:paraId="176B6789" w14:textId="3B24F1FC" w:rsidR="00505BB4" w:rsidRPr="00806AC5" w:rsidRDefault="00505BB4" w:rsidP="00505BB4">
      <w:pPr>
        <w:rPr>
          <w:rFonts w:cs="Times New Roman"/>
        </w:rPr>
      </w:pPr>
      <w:r w:rsidRPr="00806AC5">
        <w:rPr>
          <w:rFonts w:cs="Times New Roman"/>
        </w:rPr>
        <w:lastRenderedPageBreak/>
        <w:t>The financial KPIs that include the growth of revenue, profit margins and turnover of investment give an indication on the economic feasibility of the expansion into UAE. These tools evaluate the contribution of the expansion to the financial performance of the organisation. Keeping track of financial performance promotes the allocation of resources and investment promotion over the long term (Hitt et al., 2020).</w:t>
      </w:r>
    </w:p>
    <w:p w14:paraId="47AAB8BB" w14:textId="77BF0077" w:rsidR="00EF5F81" w:rsidRPr="00806AC5" w:rsidRDefault="00EF5F81" w:rsidP="00EF5F81">
      <w:pPr>
        <w:jc w:val="center"/>
        <w:rPr>
          <w:rFonts w:cs="Times New Roman"/>
        </w:rPr>
      </w:pPr>
      <w:r w:rsidRPr="00806AC5">
        <w:rPr>
          <w:rFonts w:cs="Times New Roman"/>
          <w:noProof/>
          <w:lang w:eastAsia="en-GB"/>
        </w:rPr>
        <w:drawing>
          <wp:inline distT="0" distB="0" distL="0" distR="0" wp14:anchorId="47344620" wp14:editId="4A13F63A">
            <wp:extent cx="4990638" cy="2363189"/>
            <wp:effectExtent l="0" t="0" r="635" b="0"/>
            <wp:docPr id="25" name="Picture 25" descr="6 Key Performance Indicators (KPIs) for Online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6 Key Performance Indicators (KPIs) for Online Business Success"/>
                    <pic:cNvPicPr>
                      <a:picLocks noChangeAspect="1" noChangeArrowheads="1"/>
                    </pic:cNvPicPr>
                  </pic:nvPicPr>
                  <pic:blipFill rotWithShape="1">
                    <a:blip r:embed="rId26">
                      <a:extLst>
                        <a:ext uri="{28A0092B-C50C-407E-A947-70E740481C1C}">
                          <a14:useLocalDpi xmlns:a14="http://schemas.microsoft.com/office/drawing/2010/main" val="0"/>
                        </a:ext>
                      </a:extLst>
                    </a:blip>
                    <a:srcRect t="7311" b="6055"/>
                    <a:stretch/>
                  </pic:blipFill>
                  <pic:spPr bwMode="auto">
                    <a:xfrm>
                      <a:off x="0" y="0"/>
                      <a:ext cx="4995118" cy="2365310"/>
                    </a:xfrm>
                    <a:prstGeom prst="rect">
                      <a:avLst/>
                    </a:prstGeom>
                    <a:noFill/>
                    <a:ln>
                      <a:noFill/>
                    </a:ln>
                    <a:extLst>
                      <a:ext uri="{53640926-AAD7-44D8-BBD7-CCE9431645EC}">
                        <a14:shadowObscured xmlns:a14="http://schemas.microsoft.com/office/drawing/2010/main"/>
                      </a:ext>
                    </a:extLst>
                  </pic:spPr>
                </pic:pic>
              </a:graphicData>
            </a:graphic>
          </wp:inline>
        </w:drawing>
      </w:r>
    </w:p>
    <w:p w14:paraId="161C350F" w14:textId="265C87C3" w:rsidR="00EF5F81" w:rsidRPr="00806AC5" w:rsidRDefault="00EF5F81" w:rsidP="00EF5F81">
      <w:pPr>
        <w:jc w:val="center"/>
        <w:rPr>
          <w:rFonts w:cs="Times New Roman"/>
        </w:rPr>
      </w:pPr>
      <w:r w:rsidRPr="00806AC5">
        <w:rPr>
          <w:rFonts w:cs="Times New Roman"/>
        </w:rPr>
        <w:t>Figure: KPI (Cavusgil et al., 2020).</w:t>
      </w:r>
    </w:p>
    <w:p w14:paraId="0E6FB7EF" w14:textId="77777777" w:rsidR="00505BB4" w:rsidRPr="00806AC5" w:rsidRDefault="00505BB4" w:rsidP="00505BB4">
      <w:pPr>
        <w:rPr>
          <w:rFonts w:cs="Times New Roman"/>
          <w:b/>
          <w:bCs/>
        </w:rPr>
      </w:pPr>
      <w:r w:rsidRPr="00806AC5">
        <w:rPr>
          <w:rFonts w:cs="Times New Roman"/>
          <w:b/>
          <w:bCs/>
        </w:rPr>
        <w:t>Customer Perspective Measures.</w:t>
      </w:r>
    </w:p>
    <w:p w14:paraId="0625358A" w14:textId="1364309C" w:rsidR="00505BB4" w:rsidRPr="00806AC5" w:rsidRDefault="00505BB4" w:rsidP="00505BB4">
      <w:pPr>
        <w:rPr>
          <w:rFonts w:cs="Times New Roman"/>
        </w:rPr>
      </w:pPr>
      <w:r w:rsidRPr="00806AC5">
        <w:rPr>
          <w:rFonts w:cs="Times New Roman"/>
        </w:rPr>
        <w:t>Some of the customer-centred KPIs are customer satisfaction, retention rates and the level of brand awareness in the UAE market. These actions evaluate the efficacy of service quality and value propositions. A good market facilitator can be indicated by a strong customer performance situation, indicating a strong positioning and competitive advantage in service-based retailing (Rothaermel, 2021).</w:t>
      </w:r>
    </w:p>
    <w:p w14:paraId="5C83A2C2" w14:textId="77777777" w:rsidR="00505BB4" w:rsidRPr="00806AC5" w:rsidRDefault="00505BB4" w:rsidP="00505BB4">
      <w:pPr>
        <w:rPr>
          <w:rFonts w:cs="Times New Roman"/>
          <w:b/>
          <w:bCs/>
        </w:rPr>
      </w:pPr>
      <w:r w:rsidRPr="00806AC5">
        <w:rPr>
          <w:rFonts w:cs="Times New Roman"/>
          <w:b/>
          <w:bCs/>
        </w:rPr>
        <w:t>Internal Process Performance Measures.</w:t>
      </w:r>
    </w:p>
    <w:p w14:paraId="632D3923" w14:textId="05A97EE8" w:rsidR="00505BB4" w:rsidRPr="00806AC5" w:rsidRDefault="00505BB4" w:rsidP="00505BB4">
      <w:pPr>
        <w:rPr>
          <w:rFonts w:cs="Times New Roman"/>
        </w:rPr>
      </w:pPr>
      <w:r w:rsidRPr="00806AC5">
        <w:rPr>
          <w:rFonts w:cs="Times New Roman"/>
        </w:rPr>
        <w:t>Internal process KPIs assess the performance of operations, reliability of the supply chain and effectiveness of service delivery. Tracking these indicators is useful in optimisation of processes and controlling of costs. Effective internal processes improve the customer experience and aid the maintenance of performance both at physical and online retail connexions (Grant, 2019).</w:t>
      </w:r>
    </w:p>
    <w:p w14:paraId="58F5E90D" w14:textId="77777777" w:rsidR="00505BB4" w:rsidRPr="00806AC5" w:rsidRDefault="00505BB4" w:rsidP="00505BB4">
      <w:pPr>
        <w:rPr>
          <w:rFonts w:cs="Times New Roman"/>
          <w:b/>
          <w:bCs/>
        </w:rPr>
      </w:pPr>
      <w:r w:rsidRPr="00806AC5">
        <w:rPr>
          <w:rFonts w:cs="Times New Roman"/>
          <w:b/>
          <w:bCs/>
        </w:rPr>
        <w:t>Learning and Development Coworkers.</w:t>
      </w:r>
    </w:p>
    <w:p w14:paraId="6178953D" w14:textId="52764087" w:rsidR="00505BB4" w:rsidRPr="00806AC5" w:rsidRDefault="00505BB4" w:rsidP="00505BB4">
      <w:pPr>
        <w:rPr>
          <w:rFonts w:cs="Times New Roman"/>
        </w:rPr>
      </w:pPr>
      <w:r w:rsidRPr="00806AC5">
        <w:rPr>
          <w:rFonts w:cs="Times New Roman"/>
        </w:rPr>
        <w:lastRenderedPageBreak/>
        <w:t>KPIs that relate to learning and growth revolve around training employees, helping them develop skills, and transfer knowledge within the organisation. These metrics measure the capability of the organisation to accommodate innovation and flexibility. Workforce development enhances the long-term capacity building and facilitates the international growth that is sustainable (Teece, 2018).</w:t>
      </w:r>
    </w:p>
    <w:p w14:paraId="6A0229C9" w14:textId="77777777" w:rsidR="00505BB4" w:rsidRPr="00806AC5" w:rsidRDefault="00505BB4" w:rsidP="00505BB4">
      <w:pPr>
        <w:rPr>
          <w:rFonts w:cs="Times New Roman"/>
          <w:b/>
          <w:bCs/>
        </w:rPr>
      </w:pPr>
      <w:r w:rsidRPr="00806AC5">
        <w:rPr>
          <w:rFonts w:cs="Times New Roman"/>
          <w:b/>
          <w:bCs/>
        </w:rPr>
        <w:t>Sustainability Metrics and Responsibility Metrics.</w:t>
      </w:r>
    </w:p>
    <w:p w14:paraId="0342D36D" w14:textId="1852C202" w:rsidR="00EF5F81" w:rsidRPr="00806AC5" w:rsidRDefault="00505BB4" w:rsidP="00505BB4">
      <w:pPr>
        <w:rPr>
          <w:rFonts w:cs="Times New Roman"/>
        </w:rPr>
      </w:pPr>
      <w:r w:rsidRPr="00806AC5">
        <w:rPr>
          <w:rFonts w:cs="Times New Roman"/>
        </w:rPr>
        <w:t>The integration of sustainability KPIs will increase the congruence with environmental and social demands in the UAE. Exist metrics that are social responsibilities in energy efficiency and responsible sourcing. The performance related to sustainability helps to build reputation and trust of long-term stakeholders in the international market (Whittington et al., 2017).</w:t>
      </w:r>
      <w:r w:rsidR="00EF5F81" w:rsidRPr="00806AC5">
        <w:rPr>
          <w:rFonts w:cs="Times New Roman"/>
        </w:rPr>
        <w:t xml:space="preserve"> </w:t>
      </w:r>
    </w:p>
    <w:p w14:paraId="002039FF" w14:textId="6DE4F2C8" w:rsidR="00505BB4" w:rsidRPr="00806AC5" w:rsidRDefault="00505BB4" w:rsidP="00505BB4">
      <w:pPr>
        <w:rPr>
          <w:rFonts w:cs="Times New Roman"/>
        </w:rPr>
      </w:pPr>
      <w:r w:rsidRPr="00806AC5">
        <w:rPr>
          <w:rFonts w:cs="Times New Roman"/>
        </w:rPr>
        <w:br w:type="page"/>
      </w:r>
    </w:p>
    <w:p w14:paraId="66F61A79" w14:textId="1EA98EA7" w:rsidR="00505BB4" w:rsidRPr="00806AC5" w:rsidRDefault="00505BB4" w:rsidP="00505BB4">
      <w:pPr>
        <w:pStyle w:val="Heading1"/>
        <w:rPr>
          <w:rFonts w:cs="Times New Roman"/>
        </w:rPr>
      </w:pPr>
      <w:bookmarkStart w:id="17" w:name="_Toc217265108"/>
      <w:r w:rsidRPr="00806AC5">
        <w:rPr>
          <w:rFonts w:cs="Times New Roman"/>
        </w:rPr>
        <w:lastRenderedPageBreak/>
        <w:t>6. Conclusion</w:t>
      </w:r>
      <w:bookmarkEnd w:id="17"/>
    </w:p>
    <w:p w14:paraId="5FDA6B1E" w14:textId="1A71C573" w:rsidR="00653FAC" w:rsidRPr="00806AC5" w:rsidRDefault="00505BB4" w:rsidP="00653FAC">
      <w:pPr>
        <w:rPr>
          <w:rFonts w:cs="Times New Roman"/>
        </w:rPr>
      </w:pPr>
      <w:r w:rsidRPr="00806AC5">
        <w:rPr>
          <w:rFonts w:cs="Times New Roman"/>
        </w:rPr>
        <w:t xml:space="preserve">This report has outlined an overall organisational expansion strategy of Currys PLC with an entry into the United Arab Emirates as a strategically appealing international market. The analysis via the implementation of the established strategic management frameworks revealed how global organisations can manoeuvre through the complex and dynamic international environment through matching the internal capabilities with the external market conditions. </w:t>
      </w:r>
      <w:r w:rsidR="00D427CB">
        <w:rPr>
          <w:rFonts w:cs="Times New Roman"/>
        </w:rPr>
        <w:t xml:space="preserve"> </w:t>
      </w:r>
      <w:r w:rsidRPr="00806AC5">
        <w:rPr>
          <w:rFonts w:cs="Times New Roman"/>
        </w:rPr>
        <w:t>The combination of various analysing models offered a comprehensive evaluation of the opportunities and risks, which allows making evidence-based decisions. Based on this analysis, a differentiation-styled strategy aligned with joint venture market entry.</w:t>
      </w:r>
      <w:r w:rsidR="00D427CB">
        <w:rPr>
          <w:rFonts w:cs="Times New Roman"/>
        </w:rPr>
        <w:t xml:space="preserve"> </w:t>
      </w:r>
      <w:r w:rsidRPr="00806AC5">
        <w:rPr>
          <w:rFonts w:cs="Times New Roman"/>
        </w:rPr>
        <w:t>Moreover, the creation of the Balanced Scorecard-based performance assessment framework accentuated the importance of strategic control and measurement as the key to success of the implementation. The framework helps in tracking progress of the monitoring and strategic adjustment by integrating financial, customer, internal process, learning, and sustainability measures. On the whole, this report shows that an effective and theoretically informed strategic management can be considered the key to successful.</w:t>
      </w:r>
    </w:p>
    <w:p w14:paraId="2628B086" w14:textId="77777777" w:rsidR="00653FAC" w:rsidRPr="00806AC5" w:rsidRDefault="00653FAC">
      <w:pPr>
        <w:spacing w:line="278" w:lineRule="auto"/>
        <w:jc w:val="left"/>
        <w:rPr>
          <w:rFonts w:cs="Times New Roman"/>
        </w:rPr>
      </w:pPr>
      <w:r w:rsidRPr="00806AC5">
        <w:rPr>
          <w:rFonts w:cs="Times New Roman"/>
        </w:rPr>
        <w:br w:type="page"/>
      </w:r>
    </w:p>
    <w:p w14:paraId="422CE9D0" w14:textId="418C4368" w:rsidR="007924D9" w:rsidRPr="007924D9" w:rsidRDefault="007A0ABE" w:rsidP="007924D9">
      <w:pPr>
        <w:pStyle w:val="Heading1"/>
        <w:rPr>
          <w:rFonts w:cs="Times New Roman"/>
        </w:rPr>
      </w:pPr>
      <w:bookmarkStart w:id="18" w:name="_Toc217265109"/>
      <w:r>
        <w:rPr>
          <w:rFonts w:cs="Times New Roman"/>
        </w:rPr>
        <w:lastRenderedPageBreak/>
        <w:t xml:space="preserve">7. </w:t>
      </w:r>
      <w:r w:rsidR="00653FAC" w:rsidRPr="00806AC5">
        <w:rPr>
          <w:rFonts w:cs="Times New Roman"/>
        </w:rPr>
        <w:t>References</w:t>
      </w:r>
      <w:bookmarkEnd w:id="18"/>
    </w:p>
    <w:p w14:paraId="5012B57E" w14:textId="77777777" w:rsidR="007924D9" w:rsidRPr="00593AE6" w:rsidRDefault="007924D9" w:rsidP="00593AE6">
      <w:r w:rsidRPr="00593AE6">
        <w:t>Afuah, A. (2020) Strategic Innovation: New Game Strategies for Competitive Advantage. New York: Routledge.</w:t>
      </w:r>
    </w:p>
    <w:p w14:paraId="78C96FF2" w14:textId="77777777" w:rsidR="007924D9" w:rsidRPr="00593AE6" w:rsidRDefault="007924D9" w:rsidP="00593AE6">
      <w:r w:rsidRPr="00593AE6">
        <w:t>Barney, J.B. (2018) Gaining and Sustaining Competitive Advantage. 5th edn. Boston: Pearson.</w:t>
      </w:r>
    </w:p>
    <w:p w14:paraId="62D89A90" w14:textId="77777777" w:rsidR="007924D9" w:rsidRPr="00593AE6" w:rsidRDefault="007924D9" w:rsidP="00593AE6">
      <w:r w:rsidRPr="00593AE6">
        <w:t>Burgelman, R.A., Floyd, S.W., Laamanen, T., Mantere, S., Vaara, E. and Whittington, R. (2023) Strategy Processes and Practices. 2nd edn. Cambridge: Cambridge University Press.</w:t>
      </w:r>
    </w:p>
    <w:p w14:paraId="2AAE65B3" w14:textId="77777777" w:rsidR="007924D9" w:rsidRPr="00593AE6" w:rsidRDefault="007924D9" w:rsidP="00593AE6">
      <w:r w:rsidRPr="00593AE6">
        <w:t>Cavusgil, S.T., Knight, G. and Riesenberger, J.R. (2020) International Business: The New Realities. 5th edn. Harlow: Pearson Education.</w:t>
      </w:r>
    </w:p>
    <w:p w14:paraId="7F804044" w14:textId="77777777" w:rsidR="007924D9" w:rsidRPr="00593AE6" w:rsidRDefault="007924D9" w:rsidP="00593AE6">
      <w:r w:rsidRPr="00593AE6">
        <w:t>Clegg, S.R., Kornberger, M. and Pitsis, T. (2021) Managing and Organizations: An Introduction to Theory and Practice. 5th edn. London: SAGE Publications.</w:t>
      </w:r>
    </w:p>
    <w:p w14:paraId="762E7267" w14:textId="719E3F3A" w:rsidR="007924D9" w:rsidRPr="00593AE6" w:rsidRDefault="007924D9" w:rsidP="00593AE6">
      <w:r w:rsidRPr="00593AE6">
        <w:t>Contractor, F.J. (2021) Global Strategy: Global Expansion, Diversification, and Strategic Alliances. 4th edn. Cheltenham: Edward Elgar Publishing.</w:t>
      </w:r>
      <w:r w:rsidR="00174537">
        <w:t xml:space="preserve"> WRK</w:t>
      </w:r>
    </w:p>
    <w:p w14:paraId="6EE7C370" w14:textId="77777777" w:rsidR="007924D9" w:rsidRPr="00593AE6" w:rsidRDefault="007924D9" w:rsidP="00593AE6">
      <w:r w:rsidRPr="00593AE6">
        <w:t>De Villa, M.A., Rajwani, T. and Lawton, T. (2020) ‘Market entry modes in emerging markets’, Journal of World Business, 55(4), pp. 1–14.</w:t>
      </w:r>
    </w:p>
    <w:p w14:paraId="4C41A0CA" w14:textId="77777777" w:rsidR="007924D9" w:rsidRPr="00593AE6" w:rsidRDefault="007924D9" w:rsidP="00593AE6">
      <w:r w:rsidRPr="00593AE6">
        <w:t>Dunning, J.H. and Lundan, S.M. (2016) Multinational Enterprises and the Global Economy. 2nd edn. Cheltenham: Edward Elgar Publishing.</w:t>
      </w:r>
    </w:p>
    <w:p w14:paraId="0CC23E07" w14:textId="77777777" w:rsidR="007924D9" w:rsidRPr="00593AE6" w:rsidRDefault="007924D9" w:rsidP="00593AE6">
      <w:r w:rsidRPr="00593AE6">
        <w:t>Elbanna, S., Andrews, R. and Pollanen, R. (2016) ‘Strategic planning and implementation success’, Public Management Review, 18(7), pp. 1017–1042.</w:t>
      </w:r>
    </w:p>
    <w:p w14:paraId="12D24173" w14:textId="77777777" w:rsidR="007924D9" w:rsidRPr="00593AE6" w:rsidRDefault="007924D9" w:rsidP="00593AE6">
      <w:r w:rsidRPr="00593AE6">
        <w:t>Ghemawat, P. (2020) ‘The laws of globalization and business applications’, Harvard Business Review, 98(1), pp. 90–98.</w:t>
      </w:r>
    </w:p>
    <w:p w14:paraId="2725A761" w14:textId="77777777" w:rsidR="007924D9" w:rsidRPr="00593AE6" w:rsidRDefault="007924D9" w:rsidP="00593AE6">
      <w:r w:rsidRPr="00593AE6">
        <w:t>Grant, R.M. (2019) Contemporary Strategy Analysis. 10th edn. Chichester: Wiley.</w:t>
      </w:r>
    </w:p>
    <w:p w14:paraId="6A92FC78" w14:textId="77777777" w:rsidR="007924D9" w:rsidRPr="00593AE6" w:rsidRDefault="007924D9" w:rsidP="00593AE6">
      <w:r w:rsidRPr="00593AE6">
        <w:t>Hitt, M.A., Ireland, R.D. and Hoskisson, R.E. (2020) Strategic Management: Competitiveness and Globalization. 13th edn. Boston: Cengage Learning.</w:t>
      </w:r>
    </w:p>
    <w:p w14:paraId="23EC6555" w14:textId="77777777" w:rsidR="007924D9" w:rsidRPr="00593AE6" w:rsidRDefault="007924D9" w:rsidP="00593AE6">
      <w:r w:rsidRPr="00593AE6">
        <w:t>Hutzschenreuter, T., Kleindienst, I. and Lange, S. (2021) ‘Corporate strategy and performance’, Strategic Management Journal, 42(2), pp. 1–28.</w:t>
      </w:r>
    </w:p>
    <w:p w14:paraId="3EF82A46" w14:textId="77777777" w:rsidR="007924D9" w:rsidRPr="00593AE6" w:rsidRDefault="007924D9" w:rsidP="00593AE6">
      <w:r w:rsidRPr="00593AE6">
        <w:lastRenderedPageBreak/>
        <w:t>Johnson, G., Scholes, K. and Whittington, R. (2020) Exploring Strategy. 12th edn. Harlow: Pearson Education.</w:t>
      </w:r>
    </w:p>
    <w:p w14:paraId="517A8257" w14:textId="77777777" w:rsidR="007924D9" w:rsidRPr="00593AE6" w:rsidRDefault="007924D9" w:rsidP="00593AE6">
      <w:r w:rsidRPr="00593AE6">
        <w:t>Kano, L., Tsang, E.W.K. and Yeung, H.W.C. (2020) ‘Global value chains: A review’, Journal of International Business Studies, 51(4), pp. 577–622.</w:t>
      </w:r>
    </w:p>
    <w:p w14:paraId="63E7254F" w14:textId="77777777" w:rsidR="007924D9" w:rsidRPr="00593AE6" w:rsidRDefault="007924D9" w:rsidP="00593AE6">
      <w:r w:rsidRPr="00593AE6">
        <w:t>Kaplan, R.S. and Norton, D.P. (2020) ‘The balanced scorecard: Measures that drive performance’, Harvard Business Review, 98(5), pp. 70–79.</w:t>
      </w:r>
    </w:p>
    <w:p w14:paraId="358F4282" w14:textId="77777777" w:rsidR="007924D9" w:rsidRPr="00593AE6" w:rsidRDefault="007924D9" w:rsidP="00593AE6">
      <w:r w:rsidRPr="00593AE6">
        <w:t>Luo, Y. and Tung, R.L. (2018) ‘A general theory of springboard MNEs’, Journal of International Business Studies, 49(2), pp. 129–152.</w:t>
      </w:r>
    </w:p>
    <w:p w14:paraId="53F743E6" w14:textId="77777777" w:rsidR="007924D9" w:rsidRPr="00593AE6" w:rsidRDefault="007924D9" w:rsidP="00593AE6">
      <w:r w:rsidRPr="00593AE6">
        <w:t>Narayanan, V.K., Zane, L.J. and Kemmerer, B. (2021) The Strategic Management of Innovation. 2nd edn. Stanford: Stanford University Press.</w:t>
      </w:r>
    </w:p>
    <w:p w14:paraId="4FF4C41E" w14:textId="77777777" w:rsidR="007924D9" w:rsidRPr="00593AE6" w:rsidRDefault="007924D9" w:rsidP="00593AE6">
      <w:r w:rsidRPr="00593AE6">
        <w:t>Peng, M.W. (2022) Global Strategy. 5th edn. Boston: Cengage Learning.</w:t>
      </w:r>
    </w:p>
    <w:p w14:paraId="7C148C82" w14:textId="77777777" w:rsidR="007924D9" w:rsidRPr="00593AE6" w:rsidRDefault="007924D9" w:rsidP="00593AE6">
      <w:r w:rsidRPr="00593AE6">
        <w:t>Porter, M.E. (2019) The Competitive Strategy: Techniques for Analyzing Industries and Competitors. Updated edn. New York: Free Press.</w:t>
      </w:r>
    </w:p>
    <w:p w14:paraId="3B5F60B8" w14:textId="77777777" w:rsidR="007924D9" w:rsidRPr="00593AE6" w:rsidRDefault="007924D9" w:rsidP="00593AE6">
      <w:r w:rsidRPr="00593AE6">
        <w:t>Rothaermel, F.T. (2021) Strategic Management. 5th edn. New York: McGraw-Hill Education.</w:t>
      </w:r>
    </w:p>
    <w:p w14:paraId="550E58AC" w14:textId="77777777" w:rsidR="007924D9" w:rsidRPr="00593AE6" w:rsidRDefault="007924D9" w:rsidP="00593AE6">
      <w:r w:rsidRPr="00593AE6">
        <w:t>Teece, D.J. (2018) ‘Business models and dynamic capabilities’, Long Range Planning, 51(1), pp. 40–49.</w:t>
      </w:r>
    </w:p>
    <w:p w14:paraId="226C928E" w14:textId="77777777" w:rsidR="007924D9" w:rsidRPr="00593AE6" w:rsidRDefault="007924D9" w:rsidP="00593AE6">
      <w:r w:rsidRPr="00593AE6">
        <w:t>Verbeke, A. and Asmussen, C.G. (2022) Global Strategy: An International Perspective. 3rd edn. Cambridge: Cambridge University Press.</w:t>
      </w:r>
    </w:p>
    <w:p w14:paraId="3A3F23C8" w14:textId="77777777" w:rsidR="007924D9" w:rsidRPr="00593AE6" w:rsidRDefault="007924D9" w:rsidP="00593AE6">
      <w:r w:rsidRPr="00593AE6">
        <w:t>Wenzel, M., Stanske, S. and Lieberman, M.B. (2021) ‘Strategic responses to crisis’, Strategic Management Journal, 42(2), pp. 233–260.</w:t>
      </w:r>
    </w:p>
    <w:p w14:paraId="234C9376" w14:textId="77777777" w:rsidR="007924D9" w:rsidRPr="00593AE6" w:rsidRDefault="007924D9" w:rsidP="00593AE6">
      <w:r w:rsidRPr="00593AE6">
        <w:t>Whittington, R., Yakis-Douglas, B., Ahn, K. and Cailluet, L. (2017) ‘Strategic planning in uncertain times’, Strategic Management Journal, 38(6), pp. 1197–1215.</w:t>
      </w:r>
    </w:p>
    <w:p w14:paraId="4BC1ED9C" w14:textId="77777777" w:rsidR="007924D9" w:rsidRPr="00593AE6" w:rsidRDefault="007924D9" w:rsidP="00593AE6">
      <w:r w:rsidRPr="00593AE6">
        <w:t>Yip, G.S. and Hult, G.T.M. (2018) Total Global Strategy. 3rd edn. Upper Saddle River: Pearson.</w:t>
      </w:r>
    </w:p>
    <w:sectPr w:rsidR="007924D9" w:rsidRPr="00593AE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29FC" w14:textId="77777777" w:rsidR="008C2C4F" w:rsidRDefault="008C2C4F" w:rsidP="00EF5F81">
      <w:pPr>
        <w:spacing w:after="0" w:line="240" w:lineRule="auto"/>
      </w:pPr>
      <w:r>
        <w:separator/>
      </w:r>
    </w:p>
  </w:endnote>
  <w:endnote w:type="continuationSeparator" w:id="0">
    <w:p w14:paraId="297D57C1" w14:textId="77777777" w:rsidR="008C2C4F" w:rsidRDefault="008C2C4F" w:rsidP="00EF5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221847"/>
      <w:docPartObj>
        <w:docPartGallery w:val="Page Numbers (Bottom of Page)"/>
        <w:docPartUnique/>
      </w:docPartObj>
    </w:sdtPr>
    <w:sdtEndPr>
      <w:rPr>
        <w:color w:val="7F7F7F" w:themeColor="background1" w:themeShade="7F"/>
        <w:spacing w:val="60"/>
      </w:rPr>
    </w:sdtEndPr>
    <w:sdtContent>
      <w:p w14:paraId="0D0C8848" w14:textId="1D63A7B8" w:rsidR="00CA3E89" w:rsidRDefault="00CA3E89">
        <w:pPr>
          <w:pStyle w:val="Footer"/>
          <w:pBdr>
            <w:top w:val="single" w:sz="4" w:space="1" w:color="D9D9D9" w:themeColor="background1" w:themeShade="D9"/>
          </w:pBdr>
          <w:jc w:val="right"/>
        </w:pPr>
        <w:r>
          <w:fldChar w:fldCharType="begin"/>
        </w:r>
        <w:r>
          <w:instrText>PAGE   \* MERGEFORMAT</w:instrText>
        </w:r>
        <w:r>
          <w:fldChar w:fldCharType="separate"/>
        </w:r>
        <w:r w:rsidR="00301383">
          <w:rPr>
            <w:noProof/>
          </w:rPr>
          <w:t>1</w:t>
        </w:r>
        <w:r>
          <w:fldChar w:fldCharType="end"/>
        </w:r>
        <w:r>
          <w:t xml:space="preserve"> | </w:t>
        </w:r>
        <w:r>
          <w:rPr>
            <w:color w:val="7F7F7F" w:themeColor="background1" w:themeShade="7F"/>
            <w:spacing w:val="60"/>
          </w:rPr>
          <w:t>Page</w:t>
        </w:r>
      </w:p>
    </w:sdtContent>
  </w:sdt>
  <w:p w14:paraId="50FA47F5" w14:textId="77777777" w:rsidR="00CA3E89" w:rsidRDefault="00CA3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82930" w14:textId="77777777" w:rsidR="008C2C4F" w:rsidRDefault="008C2C4F" w:rsidP="00EF5F81">
      <w:pPr>
        <w:spacing w:after="0" w:line="240" w:lineRule="auto"/>
      </w:pPr>
      <w:r>
        <w:separator/>
      </w:r>
    </w:p>
  </w:footnote>
  <w:footnote w:type="continuationSeparator" w:id="0">
    <w:p w14:paraId="5D993AD8" w14:textId="77777777" w:rsidR="008C2C4F" w:rsidRDefault="008C2C4F" w:rsidP="00EF5F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6B8"/>
    <w:rsid w:val="000014AF"/>
    <w:rsid w:val="000100D6"/>
    <w:rsid w:val="00012AF3"/>
    <w:rsid w:val="00014B35"/>
    <w:rsid w:val="00020E87"/>
    <w:rsid w:val="00031601"/>
    <w:rsid w:val="00072345"/>
    <w:rsid w:val="0008706A"/>
    <w:rsid w:val="000A0C75"/>
    <w:rsid w:val="000B7452"/>
    <w:rsid w:val="000C7067"/>
    <w:rsid w:val="000E3522"/>
    <w:rsid w:val="000F5406"/>
    <w:rsid w:val="00101676"/>
    <w:rsid w:val="001037EE"/>
    <w:rsid w:val="00115A74"/>
    <w:rsid w:val="0013261D"/>
    <w:rsid w:val="00155E6C"/>
    <w:rsid w:val="001671F6"/>
    <w:rsid w:val="00174537"/>
    <w:rsid w:val="00197E6E"/>
    <w:rsid w:val="001A3875"/>
    <w:rsid w:val="002070BF"/>
    <w:rsid w:val="0022598C"/>
    <w:rsid w:val="00241796"/>
    <w:rsid w:val="0024663E"/>
    <w:rsid w:val="0025147C"/>
    <w:rsid w:val="00257C64"/>
    <w:rsid w:val="0026443E"/>
    <w:rsid w:val="00264FA1"/>
    <w:rsid w:val="00265824"/>
    <w:rsid w:val="002A7C59"/>
    <w:rsid w:val="002C56E1"/>
    <w:rsid w:val="00301383"/>
    <w:rsid w:val="003254D4"/>
    <w:rsid w:val="00355DE6"/>
    <w:rsid w:val="00356C3D"/>
    <w:rsid w:val="00360555"/>
    <w:rsid w:val="00361FD8"/>
    <w:rsid w:val="003769DA"/>
    <w:rsid w:val="003A6477"/>
    <w:rsid w:val="003B0690"/>
    <w:rsid w:val="003B4D6C"/>
    <w:rsid w:val="003D05C4"/>
    <w:rsid w:val="003D12CF"/>
    <w:rsid w:val="004019EC"/>
    <w:rsid w:val="00443223"/>
    <w:rsid w:val="004924AD"/>
    <w:rsid w:val="004A6CDE"/>
    <w:rsid w:val="00505BB4"/>
    <w:rsid w:val="005063B3"/>
    <w:rsid w:val="005115B6"/>
    <w:rsid w:val="00531BC7"/>
    <w:rsid w:val="00533D99"/>
    <w:rsid w:val="00546734"/>
    <w:rsid w:val="00590BB4"/>
    <w:rsid w:val="00593AE6"/>
    <w:rsid w:val="00597DD0"/>
    <w:rsid w:val="005A28D2"/>
    <w:rsid w:val="005D371D"/>
    <w:rsid w:val="0061107D"/>
    <w:rsid w:val="00613F9F"/>
    <w:rsid w:val="006461D3"/>
    <w:rsid w:val="006532B1"/>
    <w:rsid w:val="00653FAC"/>
    <w:rsid w:val="0066532C"/>
    <w:rsid w:val="00694898"/>
    <w:rsid w:val="00697A90"/>
    <w:rsid w:val="006A77A9"/>
    <w:rsid w:val="006D13C9"/>
    <w:rsid w:val="006D7139"/>
    <w:rsid w:val="006F552C"/>
    <w:rsid w:val="00723152"/>
    <w:rsid w:val="00727CF9"/>
    <w:rsid w:val="00734B88"/>
    <w:rsid w:val="007924D9"/>
    <w:rsid w:val="007A0ABE"/>
    <w:rsid w:val="007B3257"/>
    <w:rsid w:val="007D4C2B"/>
    <w:rsid w:val="007D56A6"/>
    <w:rsid w:val="00802A27"/>
    <w:rsid w:val="00806AC5"/>
    <w:rsid w:val="00811CD0"/>
    <w:rsid w:val="0083211B"/>
    <w:rsid w:val="00840BD9"/>
    <w:rsid w:val="008422FB"/>
    <w:rsid w:val="00851925"/>
    <w:rsid w:val="008C2C4F"/>
    <w:rsid w:val="008C7075"/>
    <w:rsid w:val="009007B8"/>
    <w:rsid w:val="00903BE4"/>
    <w:rsid w:val="009A3F12"/>
    <w:rsid w:val="009B33EE"/>
    <w:rsid w:val="009C068D"/>
    <w:rsid w:val="009C755E"/>
    <w:rsid w:val="009E279B"/>
    <w:rsid w:val="00A12F5C"/>
    <w:rsid w:val="00A542F4"/>
    <w:rsid w:val="00A83200"/>
    <w:rsid w:val="00AC0F47"/>
    <w:rsid w:val="00B010FA"/>
    <w:rsid w:val="00B17B13"/>
    <w:rsid w:val="00B33A9D"/>
    <w:rsid w:val="00B33D00"/>
    <w:rsid w:val="00B448F7"/>
    <w:rsid w:val="00B55668"/>
    <w:rsid w:val="00B65419"/>
    <w:rsid w:val="00B8503C"/>
    <w:rsid w:val="00BA02EE"/>
    <w:rsid w:val="00BD2339"/>
    <w:rsid w:val="00C22FB8"/>
    <w:rsid w:val="00C43267"/>
    <w:rsid w:val="00C47706"/>
    <w:rsid w:val="00C51E1F"/>
    <w:rsid w:val="00C55696"/>
    <w:rsid w:val="00C6473B"/>
    <w:rsid w:val="00C925A5"/>
    <w:rsid w:val="00CA38E7"/>
    <w:rsid w:val="00CA3E89"/>
    <w:rsid w:val="00CB3992"/>
    <w:rsid w:val="00CD5F8F"/>
    <w:rsid w:val="00CD60AF"/>
    <w:rsid w:val="00CE2AD6"/>
    <w:rsid w:val="00CE5D74"/>
    <w:rsid w:val="00D00E1E"/>
    <w:rsid w:val="00D0754D"/>
    <w:rsid w:val="00D332D1"/>
    <w:rsid w:val="00D427CB"/>
    <w:rsid w:val="00D7312D"/>
    <w:rsid w:val="00D748D8"/>
    <w:rsid w:val="00D97073"/>
    <w:rsid w:val="00DC16B8"/>
    <w:rsid w:val="00DC19A1"/>
    <w:rsid w:val="00DC6699"/>
    <w:rsid w:val="00DD2767"/>
    <w:rsid w:val="00DF7D39"/>
    <w:rsid w:val="00E042D8"/>
    <w:rsid w:val="00E418D7"/>
    <w:rsid w:val="00E54768"/>
    <w:rsid w:val="00E80BC6"/>
    <w:rsid w:val="00E95616"/>
    <w:rsid w:val="00EA601C"/>
    <w:rsid w:val="00EB054E"/>
    <w:rsid w:val="00EC011E"/>
    <w:rsid w:val="00EC1ECB"/>
    <w:rsid w:val="00ED24DD"/>
    <w:rsid w:val="00ED45B3"/>
    <w:rsid w:val="00EE5005"/>
    <w:rsid w:val="00EF5F81"/>
    <w:rsid w:val="00EF72DA"/>
    <w:rsid w:val="00F0059F"/>
    <w:rsid w:val="00F06713"/>
    <w:rsid w:val="00F10001"/>
    <w:rsid w:val="00F17D8D"/>
    <w:rsid w:val="00F8301E"/>
    <w:rsid w:val="00FA1720"/>
    <w:rsid w:val="00FE2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FA7C"/>
  <w15:chartTrackingRefBased/>
  <w15:docId w15:val="{575E2A58-3519-4CC7-9DAF-A77AE867A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BB4"/>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DC16B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6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C16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C16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16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16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16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DC16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6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6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6B8"/>
    <w:rPr>
      <w:rFonts w:eastAsiaTheme="majorEastAsia" w:cstheme="majorBidi"/>
      <w:color w:val="272727" w:themeColor="text1" w:themeTint="D8"/>
    </w:rPr>
  </w:style>
  <w:style w:type="paragraph" w:styleId="Title">
    <w:name w:val="Title"/>
    <w:basedOn w:val="Normal"/>
    <w:next w:val="Normal"/>
    <w:link w:val="TitleChar"/>
    <w:uiPriority w:val="10"/>
    <w:qFormat/>
    <w:rsid w:val="00DC1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6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6B8"/>
    <w:pPr>
      <w:spacing w:before="160"/>
      <w:jc w:val="center"/>
    </w:pPr>
    <w:rPr>
      <w:i/>
      <w:iCs/>
      <w:color w:val="404040" w:themeColor="text1" w:themeTint="BF"/>
    </w:rPr>
  </w:style>
  <w:style w:type="character" w:customStyle="1" w:styleId="QuoteChar">
    <w:name w:val="Quote Char"/>
    <w:basedOn w:val="DefaultParagraphFont"/>
    <w:link w:val="Quote"/>
    <w:uiPriority w:val="29"/>
    <w:rsid w:val="00DC16B8"/>
    <w:rPr>
      <w:rFonts w:ascii="Times New Roman" w:hAnsi="Times New Roman"/>
      <w:i/>
      <w:iCs/>
      <w:color w:val="404040" w:themeColor="text1" w:themeTint="BF"/>
    </w:rPr>
  </w:style>
  <w:style w:type="paragraph" w:styleId="ListParagraph">
    <w:name w:val="List Paragraph"/>
    <w:basedOn w:val="Normal"/>
    <w:uiPriority w:val="34"/>
    <w:qFormat/>
    <w:rsid w:val="00DC16B8"/>
    <w:pPr>
      <w:ind w:left="720"/>
      <w:contextualSpacing/>
    </w:pPr>
  </w:style>
  <w:style w:type="character" w:styleId="IntenseEmphasis">
    <w:name w:val="Intense Emphasis"/>
    <w:basedOn w:val="DefaultParagraphFont"/>
    <w:uiPriority w:val="21"/>
    <w:qFormat/>
    <w:rsid w:val="00DC16B8"/>
    <w:rPr>
      <w:i/>
      <w:iCs/>
      <w:color w:val="0F4761" w:themeColor="accent1" w:themeShade="BF"/>
    </w:rPr>
  </w:style>
  <w:style w:type="paragraph" w:styleId="IntenseQuote">
    <w:name w:val="Intense Quote"/>
    <w:basedOn w:val="Normal"/>
    <w:next w:val="Normal"/>
    <w:link w:val="IntenseQuoteChar"/>
    <w:uiPriority w:val="30"/>
    <w:qFormat/>
    <w:rsid w:val="00DC16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6B8"/>
    <w:rPr>
      <w:rFonts w:ascii="Times New Roman" w:hAnsi="Times New Roman"/>
      <w:i/>
      <w:iCs/>
      <w:color w:val="0F4761" w:themeColor="accent1" w:themeShade="BF"/>
    </w:rPr>
  </w:style>
  <w:style w:type="character" w:styleId="IntenseReference">
    <w:name w:val="Intense Reference"/>
    <w:basedOn w:val="DefaultParagraphFont"/>
    <w:uiPriority w:val="32"/>
    <w:qFormat/>
    <w:rsid w:val="00DC16B8"/>
    <w:rPr>
      <w:b/>
      <w:bCs/>
      <w:smallCaps/>
      <w:color w:val="0F4761" w:themeColor="accent1" w:themeShade="BF"/>
      <w:spacing w:val="5"/>
    </w:rPr>
  </w:style>
  <w:style w:type="paragraph" w:styleId="TOCHeading">
    <w:name w:val="TOC Heading"/>
    <w:basedOn w:val="Heading1"/>
    <w:next w:val="Normal"/>
    <w:uiPriority w:val="39"/>
    <w:unhideWhenUsed/>
    <w:qFormat/>
    <w:rsid w:val="00EF5F81"/>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EF5F81"/>
    <w:pPr>
      <w:spacing w:after="100"/>
    </w:pPr>
  </w:style>
  <w:style w:type="paragraph" w:styleId="TOC2">
    <w:name w:val="toc 2"/>
    <w:basedOn w:val="Normal"/>
    <w:next w:val="Normal"/>
    <w:autoRedefine/>
    <w:uiPriority w:val="39"/>
    <w:unhideWhenUsed/>
    <w:rsid w:val="00EF5F81"/>
    <w:pPr>
      <w:spacing w:after="100"/>
      <w:ind w:left="240"/>
    </w:pPr>
  </w:style>
  <w:style w:type="character" w:styleId="Hyperlink">
    <w:name w:val="Hyperlink"/>
    <w:basedOn w:val="DefaultParagraphFont"/>
    <w:uiPriority w:val="99"/>
    <w:unhideWhenUsed/>
    <w:rsid w:val="00EF5F81"/>
    <w:rPr>
      <w:color w:val="467886" w:themeColor="hyperlink"/>
      <w:u w:val="single"/>
    </w:rPr>
  </w:style>
  <w:style w:type="paragraph" w:styleId="Header">
    <w:name w:val="header"/>
    <w:basedOn w:val="Normal"/>
    <w:link w:val="HeaderChar"/>
    <w:uiPriority w:val="99"/>
    <w:unhideWhenUsed/>
    <w:rsid w:val="00EF5F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F81"/>
    <w:rPr>
      <w:rFonts w:ascii="Times New Roman" w:hAnsi="Times New Roman"/>
    </w:rPr>
  </w:style>
  <w:style w:type="paragraph" w:styleId="Footer">
    <w:name w:val="footer"/>
    <w:basedOn w:val="Normal"/>
    <w:link w:val="FooterChar"/>
    <w:uiPriority w:val="99"/>
    <w:unhideWhenUsed/>
    <w:rsid w:val="00EF5F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F81"/>
    <w:rPr>
      <w:rFonts w:ascii="Times New Roman" w:hAnsi="Times New Roman"/>
    </w:rPr>
  </w:style>
  <w:style w:type="paragraph" w:styleId="NormalWeb">
    <w:name w:val="Normal (Web)"/>
    <w:basedOn w:val="Normal"/>
    <w:uiPriority w:val="99"/>
    <w:semiHidden/>
    <w:unhideWhenUsed/>
    <w:rsid w:val="00DC19A1"/>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DC19A1"/>
    <w:rPr>
      <w:i/>
      <w:iCs/>
    </w:rPr>
  </w:style>
  <w:style w:type="character" w:styleId="Strong">
    <w:name w:val="Strong"/>
    <w:basedOn w:val="DefaultParagraphFont"/>
    <w:uiPriority w:val="22"/>
    <w:qFormat/>
    <w:rsid w:val="00DC19A1"/>
    <w:rPr>
      <w:b/>
      <w:bCs/>
    </w:rPr>
  </w:style>
  <w:style w:type="table" w:styleId="TableGrid">
    <w:name w:val="Table Grid"/>
    <w:basedOn w:val="TableNormal"/>
    <w:uiPriority w:val="39"/>
    <w:rsid w:val="00CE2A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338497">
      <w:bodyDiv w:val="1"/>
      <w:marLeft w:val="0"/>
      <w:marRight w:val="0"/>
      <w:marTop w:val="0"/>
      <w:marBottom w:val="0"/>
      <w:divBdr>
        <w:top w:val="none" w:sz="0" w:space="0" w:color="auto"/>
        <w:left w:val="none" w:sz="0" w:space="0" w:color="auto"/>
        <w:bottom w:val="none" w:sz="0" w:space="0" w:color="auto"/>
        <w:right w:val="none" w:sz="0" w:space="0" w:color="auto"/>
      </w:divBdr>
    </w:div>
    <w:div w:id="1262949996">
      <w:bodyDiv w:val="1"/>
      <w:marLeft w:val="0"/>
      <w:marRight w:val="0"/>
      <w:marTop w:val="0"/>
      <w:marBottom w:val="0"/>
      <w:divBdr>
        <w:top w:val="none" w:sz="0" w:space="0" w:color="auto"/>
        <w:left w:val="none" w:sz="0" w:space="0" w:color="auto"/>
        <w:bottom w:val="none" w:sz="0" w:space="0" w:color="auto"/>
        <w:right w:val="none" w:sz="0" w:space="0" w:color="auto"/>
      </w:divBdr>
    </w:div>
    <w:div w:id="1614243726">
      <w:bodyDiv w:val="1"/>
      <w:marLeft w:val="0"/>
      <w:marRight w:val="0"/>
      <w:marTop w:val="0"/>
      <w:marBottom w:val="0"/>
      <w:divBdr>
        <w:top w:val="none" w:sz="0" w:space="0" w:color="auto"/>
        <w:left w:val="none" w:sz="0" w:space="0" w:color="auto"/>
        <w:bottom w:val="none" w:sz="0" w:space="0" w:color="auto"/>
        <w:right w:val="none" w:sz="0" w:space="0" w:color="auto"/>
      </w:divBdr>
      <w:divsChild>
        <w:div w:id="153644373">
          <w:marLeft w:val="0"/>
          <w:marRight w:val="0"/>
          <w:marTop w:val="0"/>
          <w:marBottom w:val="0"/>
          <w:divBdr>
            <w:top w:val="none" w:sz="0" w:space="0" w:color="auto"/>
            <w:left w:val="none" w:sz="0" w:space="0" w:color="auto"/>
            <w:bottom w:val="none" w:sz="0" w:space="0" w:color="auto"/>
            <w:right w:val="none" w:sz="0" w:space="0" w:color="auto"/>
          </w:divBdr>
          <w:divsChild>
            <w:div w:id="325522730">
              <w:marLeft w:val="0"/>
              <w:marRight w:val="0"/>
              <w:marTop w:val="0"/>
              <w:marBottom w:val="0"/>
              <w:divBdr>
                <w:top w:val="none" w:sz="0" w:space="0" w:color="auto"/>
                <w:left w:val="none" w:sz="0" w:space="0" w:color="auto"/>
                <w:bottom w:val="none" w:sz="0" w:space="0" w:color="auto"/>
                <w:right w:val="none" w:sz="0" w:space="0" w:color="auto"/>
              </w:divBdr>
            </w:div>
          </w:divsChild>
        </w:div>
        <w:div w:id="1882356177">
          <w:marLeft w:val="0"/>
          <w:marRight w:val="0"/>
          <w:marTop w:val="0"/>
          <w:marBottom w:val="0"/>
          <w:divBdr>
            <w:top w:val="none" w:sz="0" w:space="0" w:color="auto"/>
            <w:left w:val="none" w:sz="0" w:space="0" w:color="auto"/>
            <w:bottom w:val="none" w:sz="0" w:space="0" w:color="auto"/>
            <w:right w:val="none" w:sz="0" w:space="0" w:color="auto"/>
          </w:divBdr>
          <w:divsChild>
            <w:div w:id="1907718812">
              <w:marLeft w:val="0"/>
              <w:marRight w:val="0"/>
              <w:marTop w:val="0"/>
              <w:marBottom w:val="0"/>
              <w:divBdr>
                <w:top w:val="none" w:sz="0" w:space="0" w:color="auto"/>
                <w:left w:val="none" w:sz="0" w:space="0" w:color="auto"/>
                <w:bottom w:val="none" w:sz="0" w:space="0" w:color="auto"/>
                <w:right w:val="none" w:sz="0" w:space="0" w:color="auto"/>
              </w:divBdr>
            </w:div>
          </w:divsChild>
        </w:div>
        <w:div w:id="1784424171">
          <w:marLeft w:val="0"/>
          <w:marRight w:val="0"/>
          <w:marTop w:val="0"/>
          <w:marBottom w:val="0"/>
          <w:divBdr>
            <w:top w:val="none" w:sz="0" w:space="0" w:color="auto"/>
            <w:left w:val="none" w:sz="0" w:space="0" w:color="auto"/>
            <w:bottom w:val="none" w:sz="0" w:space="0" w:color="auto"/>
            <w:right w:val="none" w:sz="0" w:space="0" w:color="auto"/>
          </w:divBdr>
          <w:divsChild>
            <w:div w:id="209151883">
              <w:marLeft w:val="0"/>
              <w:marRight w:val="0"/>
              <w:marTop w:val="0"/>
              <w:marBottom w:val="0"/>
              <w:divBdr>
                <w:top w:val="none" w:sz="0" w:space="0" w:color="auto"/>
                <w:left w:val="none" w:sz="0" w:space="0" w:color="auto"/>
                <w:bottom w:val="none" w:sz="0" w:space="0" w:color="auto"/>
                <w:right w:val="none" w:sz="0" w:space="0" w:color="auto"/>
              </w:divBdr>
            </w:div>
          </w:divsChild>
        </w:div>
        <w:div w:id="1460564209">
          <w:marLeft w:val="0"/>
          <w:marRight w:val="0"/>
          <w:marTop w:val="0"/>
          <w:marBottom w:val="0"/>
          <w:divBdr>
            <w:top w:val="none" w:sz="0" w:space="0" w:color="auto"/>
            <w:left w:val="none" w:sz="0" w:space="0" w:color="auto"/>
            <w:bottom w:val="none" w:sz="0" w:space="0" w:color="auto"/>
            <w:right w:val="none" w:sz="0" w:space="0" w:color="auto"/>
          </w:divBdr>
          <w:divsChild>
            <w:div w:id="159470306">
              <w:marLeft w:val="0"/>
              <w:marRight w:val="0"/>
              <w:marTop w:val="0"/>
              <w:marBottom w:val="0"/>
              <w:divBdr>
                <w:top w:val="none" w:sz="0" w:space="0" w:color="auto"/>
                <w:left w:val="none" w:sz="0" w:space="0" w:color="auto"/>
                <w:bottom w:val="none" w:sz="0" w:space="0" w:color="auto"/>
                <w:right w:val="none" w:sz="0" w:space="0" w:color="auto"/>
              </w:divBdr>
            </w:div>
          </w:divsChild>
        </w:div>
        <w:div w:id="1165366746">
          <w:marLeft w:val="0"/>
          <w:marRight w:val="0"/>
          <w:marTop w:val="0"/>
          <w:marBottom w:val="0"/>
          <w:divBdr>
            <w:top w:val="none" w:sz="0" w:space="0" w:color="auto"/>
            <w:left w:val="none" w:sz="0" w:space="0" w:color="auto"/>
            <w:bottom w:val="none" w:sz="0" w:space="0" w:color="auto"/>
            <w:right w:val="none" w:sz="0" w:space="0" w:color="auto"/>
          </w:divBdr>
          <w:divsChild>
            <w:div w:id="65942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74614">
      <w:bodyDiv w:val="1"/>
      <w:marLeft w:val="0"/>
      <w:marRight w:val="0"/>
      <w:marTop w:val="0"/>
      <w:marBottom w:val="0"/>
      <w:divBdr>
        <w:top w:val="none" w:sz="0" w:space="0" w:color="auto"/>
        <w:left w:val="none" w:sz="0" w:space="0" w:color="auto"/>
        <w:bottom w:val="none" w:sz="0" w:space="0" w:color="auto"/>
        <w:right w:val="none" w:sz="0" w:space="0" w:color="auto"/>
      </w:divBdr>
    </w:div>
    <w:div w:id="1653866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98B80-D871-4922-B4F4-1B449C292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34</Pages>
  <Words>6299</Words>
  <Characters>35910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 PC</dc:creator>
  <cp:keywords/>
  <dc:description/>
  <cp:lastModifiedBy>HP</cp:lastModifiedBy>
  <cp:revision>149</cp:revision>
  <dcterms:created xsi:type="dcterms:W3CDTF">2025-12-21T15:18:00Z</dcterms:created>
  <dcterms:modified xsi:type="dcterms:W3CDTF">2025-12-22T10:05:00Z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506103</vt:lpwstr>
  </property>
  <property fmtid="{D5CDD505-2E9C-101B-9397-08002B2CF9AE}" pid="3" name="NXPowerLiteSettings">
    <vt:lpwstr>C7C0031C027800</vt:lpwstr>
  </property>
  <property fmtid="{D5CDD505-2E9C-101B-9397-08002B2CF9AE}" pid="4" name="NXPowerLiteVersion">
    <vt:lpwstr>D10.3.1</vt:lpwstr>
  </property>
</Properties>
</file>