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FEE49" w14:textId="77777777" w:rsidR="006C7716" w:rsidRPr="00342B0C" w:rsidRDefault="006C7716" w:rsidP="001D106C">
      <w:pPr>
        <w:spacing w:line="360" w:lineRule="auto"/>
        <w:jc w:val="both"/>
        <w:rPr>
          <w:rFonts w:ascii="Arial" w:hAnsi="Arial" w:cs="Arial"/>
        </w:rPr>
      </w:pPr>
      <w:r w:rsidRPr="00342B0C">
        <w:rPr>
          <w:rFonts w:ascii="Arial" w:hAnsi="Arial" w:cs="Arial"/>
        </w:rPr>
        <w:t>Student name: Bianca Stefania Postelnicu</w:t>
      </w:r>
    </w:p>
    <w:p w14:paraId="1EE536EC" w14:textId="77777777" w:rsidR="006C7716" w:rsidRPr="00342B0C" w:rsidRDefault="006C7716" w:rsidP="001D106C">
      <w:pPr>
        <w:spacing w:line="360" w:lineRule="auto"/>
        <w:jc w:val="both"/>
        <w:rPr>
          <w:rFonts w:ascii="Arial" w:hAnsi="Arial" w:cs="Arial"/>
        </w:rPr>
      </w:pPr>
    </w:p>
    <w:p w14:paraId="5A78AB63" w14:textId="77777777" w:rsidR="006C7716" w:rsidRPr="00342B0C" w:rsidRDefault="006C7716" w:rsidP="001D106C">
      <w:pPr>
        <w:spacing w:line="360" w:lineRule="auto"/>
        <w:jc w:val="both"/>
        <w:rPr>
          <w:rFonts w:ascii="Arial" w:hAnsi="Arial" w:cs="Arial"/>
        </w:rPr>
      </w:pPr>
      <w:bookmarkStart w:id="0" w:name="_Toc158730980"/>
      <w:r w:rsidRPr="00342B0C">
        <w:rPr>
          <w:rFonts w:ascii="Arial" w:hAnsi="Arial" w:cs="Arial"/>
        </w:rPr>
        <w:t>Student number:</w:t>
      </w:r>
      <w:bookmarkEnd w:id="0"/>
      <w:r w:rsidRPr="00342B0C">
        <w:rPr>
          <w:rFonts w:ascii="Arial" w:hAnsi="Arial" w:cs="Arial"/>
        </w:rPr>
        <w:t xml:space="preserve"> 2223852</w:t>
      </w:r>
    </w:p>
    <w:p w14:paraId="6253E2E2" w14:textId="77777777" w:rsidR="006C7716" w:rsidRPr="00342B0C" w:rsidRDefault="006C7716" w:rsidP="001D106C">
      <w:pPr>
        <w:spacing w:line="360" w:lineRule="auto"/>
        <w:jc w:val="both"/>
        <w:rPr>
          <w:rFonts w:ascii="Arial" w:hAnsi="Arial" w:cs="Arial"/>
        </w:rPr>
      </w:pPr>
    </w:p>
    <w:p w14:paraId="4733E3D9" w14:textId="77777777" w:rsidR="006C7716" w:rsidRPr="00342B0C" w:rsidRDefault="006C7716" w:rsidP="001D106C">
      <w:pPr>
        <w:spacing w:line="360" w:lineRule="auto"/>
        <w:jc w:val="both"/>
        <w:rPr>
          <w:rFonts w:ascii="Arial" w:hAnsi="Arial" w:cs="Arial"/>
        </w:rPr>
      </w:pPr>
      <w:bookmarkStart w:id="1" w:name="_Toc158730981"/>
      <w:r w:rsidRPr="00342B0C">
        <w:rPr>
          <w:rFonts w:ascii="Arial" w:hAnsi="Arial" w:cs="Arial"/>
        </w:rPr>
        <w:t>Programmes:</w:t>
      </w:r>
      <w:bookmarkEnd w:id="1"/>
    </w:p>
    <w:p w14:paraId="2CB8DD51" w14:textId="77777777" w:rsidR="006C7716" w:rsidRPr="00342B0C" w:rsidRDefault="006C7716" w:rsidP="001D106C">
      <w:pPr>
        <w:spacing w:line="360" w:lineRule="auto"/>
        <w:jc w:val="both"/>
        <w:rPr>
          <w:rFonts w:ascii="Arial" w:hAnsi="Arial" w:cs="Arial"/>
        </w:rPr>
      </w:pPr>
      <w:bookmarkStart w:id="2" w:name="_Toc158730982"/>
      <w:r w:rsidRPr="00342B0C">
        <w:rPr>
          <w:rFonts w:ascii="Arial" w:hAnsi="Arial" w:cs="Arial"/>
        </w:rPr>
        <w:t>BA  International Hotel Management</w:t>
      </w:r>
      <w:bookmarkEnd w:id="2"/>
    </w:p>
    <w:p w14:paraId="4B0F2BF7" w14:textId="77777777" w:rsidR="006C7716" w:rsidRPr="00342B0C" w:rsidRDefault="006C7716" w:rsidP="001D106C">
      <w:pPr>
        <w:spacing w:line="360" w:lineRule="auto"/>
        <w:jc w:val="both"/>
        <w:rPr>
          <w:rFonts w:ascii="Arial" w:hAnsi="Arial" w:cs="Arial"/>
        </w:rPr>
      </w:pPr>
    </w:p>
    <w:p w14:paraId="20167DC5" w14:textId="77777777" w:rsidR="006C7716" w:rsidRPr="00342B0C" w:rsidRDefault="006C7716" w:rsidP="001D106C">
      <w:pPr>
        <w:spacing w:line="360" w:lineRule="auto"/>
        <w:jc w:val="both"/>
        <w:rPr>
          <w:rFonts w:ascii="Arial" w:hAnsi="Arial" w:cs="Arial"/>
        </w:rPr>
      </w:pPr>
      <w:bookmarkStart w:id="3" w:name="_Toc158730983"/>
      <w:r w:rsidRPr="00342B0C">
        <w:rPr>
          <w:rFonts w:ascii="Arial" w:hAnsi="Arial" w:cs="Arial"/>
        </w:rPr>
        <w:t>Module:</w:t>
      </w:r>
      <w:bookmarkEnd w:id="3"/>
    </w:p>
    <w:p w14:paraId="19E3BCA5" w14:textId="77777777" w:rsidR="006C7716" w:rsidRPr="00342B0C" w:rsidRDefault="006C7716" w:rsidP="001D106C">
      <w:pPr>
        <w:spacing w:line="360" w:lineRule="auto"/>
        <w:jc w:val="both"/>
        <w:rPr>
          <w:rFonts w:ascii="Arial" w:hAnsi="Arial" w:cs="Arial"/>
        </w:rPr>
      </w:pPr>
      <w:r w:rsidRPr="00342B0C">
        <w:rPr>
          <w:rFonts w:ascii="Arial" w:hAnsi="Arial" w:cs="Arial"/>
        </w:rPr>
        <w:t>Management &amp; Organisational Behaviour</w:t>
      </w:r>
    </w:p>
    <w:p w14:paraId="50C8C3C2" w14:textId="77777777" w:rsidR="006C7716" w:rsidRPr="00342B0C" w:rsidRDefault="006C7716" w:rsidP="001D106C">
      <w:pPr>
        <w:spacing w:line="360" w:lineRule="auto"/>
        <w:jc w:val="both"/>
        <w:rPr>
          <w:rFonts w:ascii="Arial" w:hAnsi="Arial" w:cs="Arial"/>
        </w:rPr>
      </w:pPr>
    </w:p>
    <w:p w14:paraId="410ABDB2" w14:textId="77777777" w:rsidR="006C7716" w:rsidRPr="00342B0C" w:rsidRDefault="006C7716" w:rsidP="001D106C">
      <w:pPr>
        <w:spacing w:line="360" w:lineRule="auto"/>
        <w:jc w:val="both"/>
        <w:rPr>
          <w:rFonts w:ascii="Arial" w:hAnsi="Arial" w:cs="Arial"/>
        </w:rPr>
      </w:pPr>
      <w:bookmarkStart w:id="4" w:name="_Toc158730985"/>
      <w:r w:rsidRPr="00342B0C">
        <w:rPr>
          <w:rFonts w:ascii="Arial" w:hAnsi="Arial" w:cs="Arial"/>
        </w:rPr>
        <w:t>Module code:</w:t>
      </w:r>
      <w:bookmarkEnd w:id="4"/>
    </w:p>
    <w:p w14:paraId="541C35CC" w14:textId="77777777" w:rsidR="006C7716" w:rsidRPr="00342B0C" w:rsidRDefault="006C7716" w:rsidP="001D106C">
      <w:pPr>
        <w:spacing w:line="360" w:lineRule="auto"/>
        <w:jc w:val="both"/>
        <w:rPr>
          <w:rFonts w:ascii="Arial" w:hAnsi="Arial" w:cs="Arial"/>
        </w:rPr>
      </w:pPr>
      <w:bookmarkStart w:id="5" w:name="_Toc158730986"/>
      <w:r w:rsidRPr="00342B0C">
        <w:rPr>
          <w:rFonts w:ascii="Arial" w:hAnsi="Arial" w:cs="Arial"/>
        </w:rPr>
        <w:t>BMIH500</w:t>
      </w:r>
      <w:bookmarkEnd w:id="5"/>
      <w:r w:rsidRPr="00342B0C">
        <w:rPr>
          <w:rFonts w:ascii="Arial" w:hAnsi="Arial" w:cs="Arial"/>
        </w:rPr>
        <w:t>4</w:t>
      </w:r>
    </w:p>
    <w:p w14:paraId="5948AEAC" w14:textId="77777777" w:rsidR="006C7716" w:rsidRPr="00342B0C" w:rsidRDefault="006C7716" w:rsidP="001D106C">
      <w:pPr>
        <w:spacing w:line="360" w:lineRule="auto"/>
        <w:jc w:val="both"/>
        <w:rPr>
          <w:rFonts w:ascii="Arial" w:hAnsi="Arial" w:cs="Arial"/>
        </w:rPr>
      </w:pPr>
    </w:p>
    <w:p w14:paraId="5461D4F9" w14:textId="77777777" w:rsidR="006C7716" w:rsidRPr="00342B0C" w:rsidRDefault="006C7716" w:rsidP="001D106C">
      <w:pPr>
        <w:spacing w:line="360" w:lineRule="auto"/>
        <w:jc w:val="both"/>
        <w:rPr>
          <w:rFonts w:ascii="Arial" w:hAnsi="Arial" w:cs="Arial"/>
        </w:rPr>
      </w:pPr>
      <w:bookmarkStart w:id="6" w:name="_Toc158730987"/>
      <w:r w:rsidRPr="00342B0C">
        <w:rPr>
          <w:rFonts w:ascii="Arial" w:hAnsi="Arial" w:cs="Arial"/>
        </w:rPr>
        <w:t>Lecturer:</w:t>
      </w:r>
      <w:bookmarkEnd w:id="6"/>
    </w:p>
    <w:p w14:paraId="48344227" w14:textId="77777777" w:rsidR="006C7716" w:rsidRPr="00342B0C" w:rsidRDefault="006C7716" w:rsidP="001D106C">
      <w:pPr>
        <w:spacing w:line="360" w:lineRule="auto"/>
        <w:jc w:val="both"/>
        <w:rPr>
          <w:rFonts w:ascii="Arial" w:hAnsi="Arial" w:cs="Arial"/>
        </w:rPr>
      </w:pPr>
      <w:r w:rsidRPr="00342B0C">
        <w:rPr>
          <w:rFonts w:ascii="Arial" w:hAnsi="Arial" w:cs="Arial"/>
        </w:rPr>
        <w:t>Daniel Payne</w:t>
      </w:r>
    </w:p>
    <w:p w14:paraId="17DAA903" w14:textId="77777777" w:rsidR="006C7716" w:rsidRPr="00342B0C" w:rsidRDefault="006C7716" w:rsidP="001D106C">
      <w:pPr>
        <w:spacing w:line="360" w:lineRule="auto"/>
        <w:jc w:val="both"/>
        <w:rPr>
          <w:rFonts w:ascii="Arial" w:hAnsi="Arial" w:cs="Arial"/>
        </w:rPr>
      </w:pPr>
    </w:p>
    <w:p w14:paraId="3A929F92" w14:textId="3F6597BE" w:rsidR="006C7716" w:rsidRDefault="006C7716" w:rsidP="001D106C">
      <w:pPr>
        <w:spacing w:line="360" w:lineRule="auto"/>
        <w:jc w:val="both"/>
        <w:rPr>
          <w:rFonts w:ascii="Arial" w:hAnsi="Arial" w:cs="Arial"/>
        </w:rPr>
      </w:pPr>
      <w:r w:rsidRPr="00342B0C">
        <w:rPr>
          <w:rFonts w:ascii="Arial" w:hAnsi="Arial" w:cs="Arial"/>
        </w:rPr>
        <w:t xml:space="preserve">Word Count: </w:t>
      </w:r>
      <w:r w:rsidR="00AD2742">
        <w:rPr>
          <w:rFonts w:ascii="Arial" w:hAnsi="Arial" w:cs="Arial"/>
        </w:rPr>
        <w:t>1954</w:t>
      </w:r>
    </w:p>
    <w:p w14:paraId="18D89326" w14:textId="77777777" w:rsidR="009C106F" w:rsidRDefault="009C106F" w:rsidP="001D106C">
      <w:pPr>
        <w:spacing w:line="360" w:lineRule="auto"/>
        <w:jc w:val="both"/>
        <w:rPr>
          <w:rFonts w:ascii="Arial" w:hAnsi="Arial" w:cs="Arial"/>
        </w:rPr>
      </w:pPr>
    </w:p>
    <w:p w14:paraId="42186814" w14:textId="77777777" w:rsidR="009C106F" w:rsidRDefault="009C106F" w:rsidP="001D106C">
      <w:pPr>
        <w:spacing w:line="360" w:lineRule="auto"/>
        <w:jc w:val="both"/>
        <w:rPr>
          <w:rFonts w:ascii="Arial" w:hAnsi="Arial" w:cs="Arial"/>
        </w:rPr>
      </w:pPr>
    </w:p>
    <w:p w14:paraId="4CA3F2DA" w14:textId="77777777" w:rsidR="009C106F" w:rsidRDefault="009C106F" w:rsidP="001D106C">
      <w:pPr>
        <w:spacing w:line="360" w:lineRule="auto"/>
        <w:jc w:val="both"/>
        <w:rPr>
          <w:rFonts w:ascii="Arial" w:hAnsi="Arial" w:cs="Arial"/>
        </w:rPr>
      </w:pPr>
    </w:p>
    <w:p w14:paraId="7EB5F516" w14:textId="77777777" w:rsidR="009C106F" w:rsidRDefault="009C106F" w:rsidP="001D106C">
      <w:pPr>
        <w:spacing w:line="360" w:lineRule="auto"/>
        <w:jc w:val="both"/>
        <w:rPr>
          <w:rFonts w:ascii="Arial" w:hAnsi="Arial" w:cs="Arial"/>
        </w:rPr>
      </w:pPr>
    </w:p>
    <w:p w14:paraId="2570CE96" w14:textId="0A9DCB6A" w:rsidR="001D106C" w:rsidRDefault="009C106F" w:rsidP="001D106C">
      <w:pPr>
        <w:spacing w:line="360" w:lineRule="auto"/>
        <w:jc w:val="both"/>
        <w:rPr>
          <w:rFonts w:ascii="Arial" w:hAnsi="Arial" w:cs="Arial"/>
        </w:rPr>
      </w:pPr>
      <w:r>
        <w:rPr>
          <w:rFonts w:ascii="Arial" w:hAnsi="Arial" w:cs="Arial"/>
        </w:rPr>
        <w:t xml:space="preserve">Report : </w:t>
      </w:r>
      <w:r w:rsidRPr="001D106C">
        <w:rPr>
          <w:rFonts w:ascii="Arial" w:hAnsi="Arial" w:cs="Arial"/>
        </w:rPr>
        <w:t>Wyndham Hotels &amp; Resorts</w:t>
      </w:r>
    </w:p>
    <w:p w14:paraId="2A02D0CD" w14:textId="77777777" w:rsidR="009C106F" w:rsidRPr="00342B0C" w:rsidRDefault="009C106F" w:rsidP="001D106C">
      <w:pPr>
        <w:spacing w:line="360" w:lineRule="auto"/>
        <w:jc w:val="both"/>
        <w:rPr>
          <w:rFonts w:ascii="Arial" w:hAnsi="Arial" w:cs="Arial"/>
        </w:rPr>
      </w:pPr>
    </w:p>
    <w:p w14:paraId="7FB3968E" w14:textId="77777777" w:rsidR="001D106C" w:rsidRPr="00342B0C" w:rsidRDefault="001D106C" w:rsidP="001D106C">
      <w:pPr>
        <w:spacing w:line="360" w:lineRule="auto"/>
        <w:jc w:val="both"/>
        <w:rPr>
          <w:rFonts w:ascii="Arial" w:hAnsi="Arial" w:cs="Arial"/>
        </w:rPr>
      </w:pPr>
    </w:p>
    <w:p w14:paraId="671C29A6"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Executive Summary</w:t>
      </w:r>
    </w:p>
    <w:p w14:paraId="3E76BEEA"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This report comprehensively analyses Wyndham Hotels &amp; Resorts, a prominent global hospitality entity with more than 9,000 locations in 95 countries. It examines Wyndham's organisational framework, corporate values, objectives, recent transformation efforts, and strategic direction. Principal findings demonstrate that Wyndham’s decentralised yet organised methodology fosters operational uniformity and agility throughout its international franchise network. The company's culture prioritises inclusivity and customer orientation, strengthening brand loyalty but necessitating additional development to improve adaptability. </w:t>
      </w:r>
    </w:p>
    <w:p w14:paraId="6C86E947" w14:textId="77777777" w:rsidR="001D106C" w:rsidRPr="001D106C" w:rsidRDefault="001D106C" w:rsidP="001D106C">
      <w:pPr>
        <w:spacing w:line="360" w:lineRule="auto"/>
        <w:jc w:val="both"/>
        <w:rPr>
          <w:rFonts w:ascii="Arial" w:hAnsi="Arial" w:cs="Arial"/>
        </w:rPr>
      </w:pPr>
      <w:r w:rsidRPr="001D106C">
        <w:rPr>
          <w:rFonts w:ascii="Arial" w:hAnsi="Arial" w:cs="Arial"/>
        </w:rPr>
        <w:t>The evaluation accentuates Wyndham's digital transformation and sustainability initiatives, demonstrating its dedication to ongoing improvement. The report analyses Wyndham's competitive positioning and long-term growth strategy through strategic frameworks such as Mintzberg’s organisational components, Kotter’s change model, and Porter’s Five Forces. In summary, Wyndham's integration of sustainable objectives with customer requirements and a people-centric change management strategy equips it for resilience and enduring success in the dynamic hospitality sector.</w:t>
      </w:r>
    </w:p>
    <w:p w14:paraId="0EB03392" w14:textId="77777777" w:rsidR="001D106C" w:rsidRPr="001D106C" w:rsidRDefault="001D106C" w:rsidP="001D106C">
      <w:pPr>
        <w:spacing w:line="360" w:lineRule="auto"/>
        <w:jc w:val="both"/>
        <w:rPr>
          <w:rFonts w:ascii="Arial" w:hAnsi="Arial" w:cs="Arial"/>
        </w:rPr>
      </w:pPr>
    </w:p>
    <w:p w14:paraId="18B71560" w14:textId="77777777" w:rsidR="001D106C" w:rsidRPr="001D106C" w:rsidRDefault="001D106C" w:rsidP="001D106C">
      <w:pPr>
        <w:spacing w:line="360" w:lineRule="auto"/>
        <w:jc w:val="both"/>
        <w:rPr>
          <w:rFonts w:ascii="Arial" w:hAnsi="Arial" w:cs="Arial"/>
        </w:rPr>
      </w:pPr>
    </w:p>
    <w:p w14:paraId="42BBB33B" w14:textId="77777777" w:rsidR="001D106C" w:rsidRPr="001D106C" w:rsidRDefault="001D106C" w:rsidP="001D106C">
      <w:pPr>
        <w:spacing w:line="360" w:lineRule="auto"/>
        <w:jc w:val="both"/>
        <w:rPr>
          <w:rFonts w:ascii="Arial" w:hAnsi="Arial" w:cs="Arial"/>
        </w:rPr>
      </w:pPr>
    </w:p>
    <w:p w14:paraId="35D7B07B" w14:textId="77777777" w:rsidR="001D106C" w:rsidRPr="001D106C" w:rsidRDefault="001D106C" w:rsidP="00AD2742">
      <w:pPr>
        <w:spacing w:line="360" w:lineRule="auto"/>
        <w:rPr>
          <w:rFonts w:ascii="Arial" w:hAnsi="Arial" w:cs="Arial"/>
        </w:rPr>
      </w:pPr>
    </w:p>
    <w:p w14:paraId="41579C84" w14:textId="3CC683AA" w:rsidR="00AD2742" w:rsidRPr="00AD2742" w:rsidRDefault="00AD2742" w:rsidP="00AD2742">
      <w:pPr>
        <w:spacing w:line="360" w:lineRule="auto"/>
        <w:rPr>
          <w:rFonts w:ascii="Arial" w:hAnsi="Arial" w:cs="Arial"/>
        </w:rPr>
      </w:pPr>
      <w:r w:rsidRPr="00AD2742">
        <w:rPr>
          <w:rFonts w:ascii="Arial" w:hAnsi="Arial" w:cs="Arial"/>
        </w:rPr>
        <w:t>I acknowledge the use of</w:t>
      </w:r>
      <w:r w:rsidRPr="00AD2742">
        <w:rPr>
          <w:rFonts w:ascii="Arial" w:hAnsi="Arial" w:cs="Arial"/>
        </w:rPr>
        <w:t xml:space="preserve"> </w:t>
      </w:r>
      <w:r w:rsidRPr="00AD2742">
        <w:rPr>
          <w:rFonts w:ascii="Arial" w:hAnsi="Arial" w:cs="Arial"/>
        </w:rPr>
        <w:t xml:space="preserve">Microsoft Word Editor </w:t>
      </w:r>
      <w:r w:rsidRPr="00AD2742">
        <w:rPr>
          <w:rFonts w:ascii="Arial" w:hAnsi="Arial" w:cs="Arial"/>
        </w:rPr>
        <w:t xml:space="preserve">and Grammarly App </w:t>
      </w:r>
      <w:r w:rsidRPr="00AD2742">
        <w:rPr>
          <w:rFonts w:ascii="Arial" w:hAnsi="Arial" w:cs="Arial"/>
        </w:rPr>
        <w:t xml:space="preserve">on </w:t>
      </w:r>
      <w:r w:rsidRPr="00AD2742">
        <w:rPr>
          <w:rFonts w:ascii="Arial" w:hAnsi="Arial" w:cs="Arial"/>
        </w:rPr>
        <w:t xml:space="preserve">today’s date </w:t>
      </w:r>
      <w:r w:rsidRPr="00AD2742">
        <w:rPr>
          <w:rFonts w:ascii="Arial" w:hAnsi="Arial" w:cs="Arial"/>
        </w:rPr>
        <w:t xml:space="preserve">8th </w:t>
      </w:r>
      <w:r w:rsidRPr="00AD2742">
        <w:rPr>
          <w:rFonts w:ascii="Arial" w:hAnsi="Arial" w:cs="Arial"/>
        </w:rPr>
        <w:t xml:space="preserve">of </w:t>
      </w:r>
      <w:r w:rsidRPr="00AD2742">
        <w:rPr>
          <w:rFonts w:ascii="Arial" w:hAnsi="Arial" w:cs="Arial"/>
        </w:rPr>
        <w:t>November 2024 to check my syntax</w:t>
      </w:r>
      <w:r w:rsidRPr="00AD2742">
        <w:rPr>
          <w:rFonts w:ascii="Arial" w:hAnsi="Arial" w:cs="Arial"/>
        </w:rPr>
        <w:t>, my grammar</w:t>
      </w:r>
      <w:r w:rsidRPr="00AD2742">
        <w:rPr>
          <w:rFonts w:ascii="Arial" w:hAnsi="Arial" w:cs="Arial"/>
        </w:rPr>
        <w:t xml:space="preserve"> and misspellings</w:t>
      </w:r>
      <w:r w:rsidRPr="00AD2742">
        <w:rPr>
          <w:rFonts w:ascii="Arial" w:hAnsi="Arial" w:cs="Arial"/>
        </w:rPr>
        <w:t>.</w:t>
      </w:r>
    </w:p>
    <w:p w14:paraId="591C4626" w14:textId="77777777" w:rsidR="00AD2742" w:rsidRPr="00AD2742" w:rsidRDefault="00AD2742" w:rsidP="00AD2742">
      <w:pPr>
        <w:spacing w:line="360" w:lineRule="auto"/>
        <w:rPr>
          <w:rFonts w:ascii="Arial" w:hAnsi="Arial" w:cs="Arial"/>
        </w:rPr>
      </w:pPr>
    </w:p>
    <w:p w14:paraId="2E9A348E" w14:textId="2CBC039C" w:rsidR="001D106C" w:rsidRPr="001D106C" w:rsidRDefault="00AD2742" w:rsidP="00AD2742">
      <w:pPr>
        <w:spacing w:line="360" w:lineRule="auto"/>
        <w:rPr>
          <w:rFonts w:ascii="Arial" w:hAnsi="Arial" w:cs="Arial"/>
        </w:rPr>
      </w:pPr>
      <w:r w:rsidRPr="00AD2742">
        <w:rPr>
          <w:rFonts w:ascii="Arial" w:hAnsi="Arial" w:cs="Arial"/>
        </w:rPr>
        <w:t>I confirm that I have not presented any Al generated text as my own work. I confirm I have copies of my drafts, notes, and other resources I used before, and after the use of Al tools which I may be asked to provide in evidence.</w:t>
      </w:r>
    </w:p>
    <w:p w14:paraId="312764E3" w14:textId="77777777" w:rsidR="001D106C" w:rsidRDefault="001D106C" w:rsidP="001D106C">
      <w:pPr>
        <w:spacing w:line="360" w:lineRule="auto"/>
        <w:jc w:val="both"/>
        <w:rPr>
          <w:rFonts w:ascii="Arial" w:hAnsi="Arial" w:cs="Arial"/>
        </w:rPr>
      </w:pPr>
    </w:p>
    <w:p w14:paraId="2D09B4D7" w14:textId="77777777" w:rsidR="00AD2742" w:rsidRPr="00342B0C" w:rsidRDefault="00AD2742" w:rsidP="001D106C">
      <w:pPr>
        <w:spacing w:line="360" w:lineRule="auto"/>
        <w:jc w:val="both"/>
        <w:rPr>
          <w:rFonts w:ascii="Arial" w:hAnsi="Arial" w:cs="Arial"/>
        </w:rPr>
      </w:pPr>
    </w:p>
    <w:p w14:paraId="505DAE56" w14:textId="77777777" w:rsidR="001D106C" w:rsidRPr="001D106C" w:rsidRDefault="001D106C" w:rsidP="001D106C">
      <w:pPr>
        <w:spacing w:line="360" w:lineRule="auto"/>
        <w:jc w:val="both"/>
        <w:rPr>
          <w:rFonts w:ascii="Arial" w:hAnsi="Arial" w:cs="Arial"/>
        </w:rPr>
      </w:pPr>
    </w:p>
    <w:p w14:paraId="4F563141"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Table of Contents</w:t>
      </w:r>
    </w:p>
    <w:p w14:paraId="38AC6DD2" w14:textId="77777777" w:rsidR="001D106C" w:rsidRPr="001D106C" w:rsidRDefault="001D106C" w:rsidP="001D106C">
      <w:pPr>
        <w:spacing w:line="360" w:lineRule="auto"/>
        <w:jc w:val="both"/>
        <w:rPr>
          <w:rFonts w:ascii="Arial" w:hAnsi="Arial" w:cs="Arial"/>
        </w:rPr>
      </w:pPr>
      <w:r w:rsidRPr="001D106C">
        <w:rPr>
          <w:rFonts w:ascii="Arial" w:hAnsi="Arial" w:cs="Arial"/>
        </w:rPr>
        <w:t>1.</w:t>
      </w:r>
      <w:r w:rsidRPr="001D106C">
        <w:rPr>
          <w:rFonts w:ascii="Arial" w:hAnsi="Arial" w:cs="Arial"/>
        </w:rPr>
        <w:tab/>
        <w:t>Executive Summary</w:t>
      </w:r>
    </w:p>
    <w:p w14:paraId="49FDD7A5" w14:textId="77777777" w:rsidR="001D106C" w:rsidRPr="001D106C" w:rsidRDefault="001D106C" w:rsidP="001D106C">
      <w:pPr>
        <w:spacing w:line="360" w:lineRule="auto"/>
        <w:jc w:val="both"/>
        <w:rPr>
          <w:rFonts w:ascii="Arial" w:hAnsi="Arial" w:cs="Arial"/>
        </w:rPr>
      </w:pPr>
      <w:r w:rsidRPr="001D106C">
        <w:rPr>
          <w:rFonts w:ascii="Arial" w:hAnsi="Arial" w:cs="Arial"/>
        </w:rPr>
        <w:t>2.</w:t>
      </w:r>
      <w:r w:rsidRPr="001D106C">
        <w:rPr>
          <w:rFonts w:ascii="Arial" w:hAnsi="Arial" w:cs="Arial"/>
        </w:rPr>
        <w:tab/>
        <w:t>Introduction</w:t>
      </w:r>
    </w:p>
    <w:p w14:paraId="2A46C449" w14:textId="77777777" w:rsidR="001D106C" w:rsidRPr="001D106C" w:rsidRDefault="001D106C" w:rsidP="001D106C">
      <w:pPr>
        <w:spacing w:line="360" w:lineRule="auto"/>
        <w:jc w:val="both"/>
        <w:rPr>
          <w:rFonts w:ascii="Arial" w:hAnsi="Arial" w:cs="Arial"/>
        </w:rPr>
      </w:pPr>
      <w:r w:rsidRPr="001D106C">
        <w:rPr>
          <w:rFonts w:ascii="Arial" w:hAnsi="Arial" w:cs="Arial"/>
        </w:rPr>
        <w:t>3.</w:t>
      </w:r>
      <w:r w:rsidRPr="001D106C">
        <w:rPr>
          <w:rFonts w:ascii="Arial" w:hAnsi="Arial" w:cs="Arial"/>
        </w:rPr>
        <w:tab/>
        <w:t>Organizational Structure</w:t>
      </w:r>
    </w:p>
    <w:p w14:paraId="77E4FB35" w14:textId="77777777" w:rsidR="001D106C" w:rsidRPr="001D106C" w:rsidRDefault="001D106C" w:rsidP="001D106C">
      <w:pPr>
        <w:spacing w:line="360" w:lineRule="auto"/>
        <w:jc w:val="both"/>
        <w:rPr>
          <w:rFonts w:ascii="Arial" w:hAnsi="Arial" w:cs="Arial"/>
        </w:rPr>
      </w:pPr>
      <w:r w:rsidRPr="001D106C">
        <w:rPr>
          <w:rFonts w:ascii="Arial" w:hAnsi="Arial" w:cs="Arial"/>
        </w:rPr>
        <w:t>4.</w:t>
      </w:r>
      <w:r w:rsidRPr="001D106C">
        <w:rPr>
          <w:rFonts w:ascii="Arial" w:hAnsi="Arial" w:cs="Arial"/>
        </w:rPr>
        <w:tab/>
        <w:t>Organizational Culture</w:t>
      </w:r>
    </w:p>
    <w:p w14:paraId="26862687" w14:textId="77777777" w:rsidR="001D106C" w:rsidRPr="001D106C" w:rsidRDefault="001D106C" w:rsidP="001D106C">
      <w:pPr>
        <w:spacing w:line="360" w:lineRule="auto"/>
        <w:jc w:val="both"/>
        <w:rPr>
          <w:rFonts w:ascii="Arial" w:hAnsi="Arial" w:cs="Arial"/>
        </w:rPr>
      </w:pPr>
      <w:r w:rsidRPr="001D106C">
        <w:rPr>
          <w:rFonts w:ascii="Arial" w:hAnsi="Arial" w:cs="Arial"/>
        </w:rPr>
        <w:t>5.</w:t>
      </w:r>
      <w:r w:rsidRPr="001D106C">
        <w:rPr>
          <w:rFonts w:ascii="Arial" w:hAnsi="Arial" w:cs="Arial"/>
        </w:rPr>
        <w:tab/>
        <w:t>Organizational Goals</w:t>
      </w:r>
    </w:p>
    <w:p w14:paraId="0380CFB4" w14:textId="77777777" w:rsidR="001D106C" w:rsidRPr="001D106C" w:rsidRDefault="001D106C" w:rsidP="001D106C">
      <w:pPr>
        <w:spacing w:line="360" w:lineRule="auto"/>
        <w:jc w:val="both"/>
        <w:rPr>
          <w:rFonts w:ascii="Arial" w:hAnsi="Arial" w:cs="Arial"/>
        </w:rPr>
      </w:pPr>
      <w:r w:rsidRPr="001D106C">
        <w:rPr>
          <w:rFonts w:ascii="Arial" w:hAnsi="Arial" w:cs="Arial"/>
        </w:rPr>
        <w:t>6.</w:t>
      </w:r>
      <w:r w:rsidRPr="001D106C">
        <w:rPr>
          <w:rFonts w:ascii="Arial" w:hAnsi="Arial" w:cs="Arial"/>
        </w:rPr>
        <w:tab/>
        <w:t>Recent Change Initiatives</w:t>
      </w:r>
    </w:p>
    <w:p w14:paraId="7FACEAE1" w14:textId="77777777" w:rsidR="001D106C" w:rsidRPr="001D106C" w:rsidRDefault="001D106C" w:rsidP="001D106C">
      <w:pPr>
        <w:spacing w:line="360" w:lineRule="auto"/>
        <w:jc w:val="both"/>
        <w:rPr>
          <w:rFonts w:ascii="Arial" w:hAnsi="Arial" w:cs="Arial"/>
        </w:rPr>
      </w:pPr>
      <w:r w:rsidRPr="001D106C">
        <w:rPr>
          <w:rFonts w:ascii="Arial" w:hAnsi="Arial" w:cs="Arial"/>
        </w:rPr>
        <w:t>7.</w:t>
      </w:r>
      <w:r w:rsidRPr="001D106C">
        <w:rPr>
          <w:rFonts w:ascii="Arial" w:hAnsi="Arial" w:cs="Arial"/>
        </w:rPr>
        <w:tab/>
        <w:t>Strategic Direction</w:t>
      </w:r>
    </w:p>
    <w:p w14:paraId="27BBA650" w14:textId="77777777" w:rsidR="001D106C" w:rsidRPr="001D106C" w:rsidRDefault="001D106C" w:rsidP="001D106C">
      <w:pPr>
        <w:spacing w:line="360" w:lineRule="auto"/>
        <w:jc w:val="both"/>
        <w:rPr>
          <w:rFonts w:ascii="Arial" w:hAnsi="Arial" w:cs="Arial"/>
        </w:rPr>
      </w:pPr>
      <w:r w:rsidRPr="001D106C">
        <w:rPr>
          <w:rFonts w:ascii="Arial" w:hAnsi="Arial" w:cs="Arial"/>
        </w:rPr>
        <w:t>8.</w:t>
      </w:r>
      <w:r w:rsidRPr="001D106C">
        <w:rPr>
          <w:rFonts w:ascii="Arial" w:hAnsi="Arial" w:cs="Arial"/>
        </w:rPr>
        <w:tab/>
        <w:t>Conclusion</w:t>
      </w:r>
    </w:p>
    <w:p w14:paraId="64E8062E" w14:textId="77777777" w:rsidR="001D106C" w:rsidRPr="001D106C" w:rsidRDefault="001D106C" w:rsidP="001D106C">
      <w:pPr>
        <w:spacing w:line="360" w:lineRule="auto"/>
        <w:jc w:val="both"/>
        <w:rPr>
          <w:rFonts w:ascii="Arial" w:hAnsi="Arial" w:cs="Arial"/>
        </w:rPr>
      </w:pPr>
      <w:r w:rsidRPr="001D106C">
        <w:rPr>
          <w:rFonts w:ascii="Arial" w:hAnsi="Arial" w:cs="Arial"/>
        </w:rPr>
        <w:t>9.</w:t>
      </w:r>
      <w:r w:rsidRPr="001D106C">
        <w:rPr>
          <w:rFonts w:ascii="Arial" w:hAnsi="Arial" w:cs="Arial"/>
        </w:rPr>
        <w:tab/>
        <w:t>Recommendations</w:t>
      </w:r>
    </w:p>
    <w:p w14:paraId="3441F89D" w14:textId="77777777" w:rsidR="001D106C" w:rsidRPr="001D106C" w:rsidRDefault="001D106C" w:rsidP="001D106C">
      <w:pPr>
        <w:spacing w:line="360" w:lineRule="auto"/>
        <w:jc w:val="both"/>
        <w:rPr>
          <w:rFonts w:ascii="Arial" w:hAnsi="Arial" w:cs="Arial"/>
        </w:rPr>
      </w:pPr>
      <w:r w:rsidRPr="001D106C">
        <w:rPr>
          <w:rFonts w:ascii="Arial" w:hAnsi="Arial" w:cs="Arial"/>
        </w:rPr>
        <w:t>10.</w:t>
      </w:r>
      <w:r w:rsidRPr="001D106C">
        <w:rPr>
          <w:rFonts w:ascii="Arial" w:hAnsi="Arial" w:cs="Arial"/>
        </w:rPr>
        <w:tab/>
        <w:t>References</w:t>
      </w:r>
    </w:p>
    <w:p w14:paraId="61EB7A12" w14:textId="77777777" w:rsidR="001D106C" w:rsidRPr="001D106C" w:rsidRDefault="001D106C" w:rsidP="001D106C">
      <w:pPr>
        <w:spacing w:line="360" w:lineRule="auto"/>
        <w:jc w:val="both"/>
        <w:rPr>
          <w:rFonts w:ascii="Arial" w:hAnsi="Arial" w:cs="Arial"/>
        </w:rPr>
      </w:pPr>
    </w:p>
    <w:p w14:paraId="21B6F8FB" w14:textId="77777777" w:rsidR="001D106C" w:rsidRPr="001D106C" w:rsidRDefault="001D106C" w:rsidP="001D106C">
      <w:pPr>
        <w:spacing w:line="360" w:lineRule="auto"/>
        <w:jc w:val="both"/>
        <w:rPr>
          <w:rFonts w:ascii="Arial" w:hAnsi="Arial" w:cs="Arial"/>
        </w:rPr>
      </w:pPr>
    </w:p>
    <w:p w14:paraId="037A7301" w14:textId="77777777" w:rsidR="001D106C" w:rsidRPr="001D106C" w:rsidRDefault="001D106C" w:rsidP="001D106C">
      <w:pPr>
        <w:spacing w:line="360" w:lineRule="auto"/>
        <w:jc w:val="both"/>
        <w:rPr>
          <w:rFonts w:ascii="Arial" w:hAnsi="Arial" w:cs="Arial"/>
        </w:rPr>
      </w:pPr>
    </w:p>
    <w:p w14:paraId="0B9A9B39" w14:textId="77777777" w:rsidR="001D106C" w:rsidRPr="001D106C" w:rsidRDefault="001D106C" w:rsidP="001D106C">
      <w:pPr>
        <w:spacing w:line="360" w:lineRule="auto"/>
        <w:jc w:val="both"/>
        <w:rPr>
          <w:rFonts w:ascii="Arial" w:hAnsi="Arial" w:cs="Arial"/>
        </w:rPr>
      </w:pPr>
    </w:p>
    <w:p w14:paraId="4541937A" w14:textId="77777777" w:rsidR="001D106C" w:rsidRPr="001D106C" w:rsidRDefault="001D106C" w:rsidP="001D106C">
      <w:pPr>
        <w:spacing w:line="360" w:lineRule="auto"/>
        <w:jc w:val="both"/>
        <w:rPr>
          <w:rFonts w:ascii="Arial" w:hAnsi="Arial" w:cs="Arial"/>
        </w:rPr>
      </w:pPr>
    </w:p>
    <w:p w14:paraId="7FC38AE1" w14:textId="77777777" w:rsidR="001D106C" w:rsidRPr="001D106C" w:rsidRDefault="001D106C" w:rsidP="001D106C">
      <w:pPr>
        <w:spacing w:line="360" w:lineRule="auto"/>
        <w:jc w:val="both"/>
        <w:rPr>
          <w:rFonts w:ascii="Arial" w:hAnsi="Arial" w:cs="Arial"/>
        </w:rPr>
      </w:pPr>
    </w:p>
    <w:p w14:paraId="0BB3D898" w14:textId="77777777" w:rsidR="001D106C" w:rsidRPr="001D106C" w:rsidRDefault="001D106C" w:rsidP="001D106C">
      <w:pPr>
        <w:spacing w:line="360" w:lineRule="auto"/>
        <w:jc w:val="both"/>
        <w:rPr>
          <w:rFonts w:ascii="Arial" w:hAnsi="Arial" w:cs="Arial"/>
        </w:rPr>
      </w:pPr>
    </w:p>
    <w:p w14:paraId="0D8906A1" w14:textId="77777777" w:rsidR="001D106C" w:rsidRPr="001D106C" w:rsidRDefault="001D106C" w:rsidP="001D106C">
      <w:pPr>
        <w:spacing w:line="360" w:lineRule="auto"/>
        <w:jc w:val="both"/>
        <w:rPr>
          <w:rFonts w:ascii="Arial" w:hAnsi="Arial" w:cs="Arial"/>
        </w:rPr>
      </w:pPr>
    </w:p>
    <w:p w14:paraId="5CD005EF" w14:textId="77777777" w:rsidR="001D106C" w:rsidRPr="001D106C" w:rsidRDefault="001D106C" w:rsidP="001D106C">
      <w:pPr>
        <w:spacing w:line="360" w:lineRule="auto"/>
        <w:jc w:val="both"/>
        <w:rPr>
          <w:rFonts w:ascii="Arial" w:hAnsi="Arial" w:cs="Arial"/>
        </w:rPr>
      </w:pPr>
    </w:p>
    <w:p w14:paraId="33808B8D" w14:textId="77777777" w:rsidR="001D106C" w:rsidRPr="001D106C" w:rsidRDefault="001D106C" w:rsidP="001D106C">
      <w:pPr>
        <w:spacing w:line="360" w:lineRule="auto"/>
        <w:jc w:val="both"/>
        <w:rPr>
          <w:rFonts w:ascii="Arial" w:hAnsi="Arial" w:cs="Arial"/>
        </w:rPr>
      </w:pPr>
    </w:p>
    <w:p w14:paraId="65765F03" w14:textId="77777777" w:rsidR="001D106C" w:rsidRPr="001D106C" w:rsidRDefault="001D106C" w:rsidP="001D106C">
      <w:pPr>
        <w:spacing w:line="360" w:lineRule="auto"/>
        <w:jc w:val="both"/>
        <w:rPr>
          <w:rFonts w:ascii="Arial" w:hAnsi="Arial" w:cs="Arial"/>
        </w:rPr>
      </w:pPr>
    </w:p>
    <w:p w14:paraId="0927D82D" w14:textId="77777777" w:rsidR="001D106C" w:rsidRPr="001D106C" w:rsidRDefault="001D106C" w:rsidP="001D106C">
      <w:pPr>
        <w:spacing w:line="360" w:lineRule="auto"/>
        <w:jc w:val="both"/>
        <w:rPr>
          <w:rFonts w:ascii="Arial" w:hAnsi="Arial" w:cs="Arial"/>
        </w:rPr>
      </w:pPr>
    </w:p>
    <w:p w14:paraId="5C5B48B4" w14:textId="77777777" w:rsidR="001D106C" w:rsidRPr="00342B0C" w:rsidRDefault="001D106C" w:rsidP="001D106C">
      <w:pPr>
        <w:spacing w:line="360" w:lineRule="auto"/>
        <w:jc w:val="both"/>
        <w:rPr>
          <w:rFonts w:ascii="Arial" w:hAnsi="Arial" w:cs="Arial"/>
        </w:rPr>
      </w:pPr>
    </w:p>
    <w:p w14:paraId="589CE0E8" w14:textId="34F5FF98" w:rsidR="001D106C" w:rsidRPr="001D106C" w:rsidRDefault="001D106C" w:rsidP="001D106C">
      <w:pPr>
        <w:spacing w:line="360" w:lineRule="auto"/>
        <w:jc w:val="both"/>
        <w:rPr>
          <w:rFonts w:ascii="Arial" w:hAnsi="Arial" w:cs="Arial"/>
        </w:rPr>
      </w:pPr>
      <w:r w:rsidRPr="001D106C">
        <w:rPr>
          <w:rFonts w:ascii="Arial" w:hAnsi="Arial" w:cs="Arial"/>
        </w:rPr>
        <w:lastRenderedPageBreak/>
        <w:t xml:space="preserve">Introduction </w:t>
      </w:r>
    </w:p>
    <w:p w14:paraId="156D04B8"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With more than 9,000 locations in 95 countries, Wyndham Hotels &amp; Resorts is a significant player in the global hospitality industry. The company is dedicated to providing accessible, customer-centred service in the midscale and economy segments. Wyndham has recently improved its sustainable initiatives and digital guest services, demonstrating its adaptability in a competitive market. </w:t>
      </w:r>
    </w:p>
    <w:p w14:paraId="125AB18E"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This report evaluates Wyndham's organisational structure, culture, objectives, recent change initiatives, and strategic direction to understand how it aligns operations with market demands and stakeholder expectations. Fundamental theories, including Mintzberg’s components of organisational structure and Schein’s levels of culture, offer a framework for this analysis. </w:t>
      </w:r>
    </w:p>
    <w:p w14:paraId="3C5A5C98" w14:textId="77777777" w:rsidR="001D106C" w:rsidRPr="001D106C" w:rsidRDefault="001D106C" w:rsidP="001D106C">
      <w:pPr>
        <w:spacing w:line="360" w:lineRule="auto"/>
        <w:jc w:val="both"/>
        <w:rPr>
          <w:rFonts w:ascii="Arial" w:hAnsi="Arial" w:cs="Arial"/>
        </w:rPr>
      </w:pPr>
      <w:r w:rsidRPr="001D106C">
        <w:rPr>
          <w:rFonts w:ascii="Arial" w:hAnsi="Arial" w:cs="Arial"/>
        </w:rPr>
        <w:t>Using strategic management principles from the video "What is Strategic Management and Why is it Important?" by Simplicity Consultancy (2022), the report underscores Wyndham's need for strategic thinking to promote innovation, satisfy customer demands, and guarantee sustainable growth. This strategy is essential for Wyndham as it crosses a rapidly evolving industry environment.</w:t>
      </w:r>
    </w:p>
    <w:p w14:paraId="719EFC0C" w14:textId="77777777" w:rsidR="001D106C" w:rsidRPr="001D106C" w:rsidRDefault="001D106C" w:rsidP="001D106C">
      <w:pPr>
        <w:spacing w:line="360" w:lineRule="auto"/>
        <w:jc w:val="both"/>
        <w:rPr>
          <w:rFonts w:ascii="Arial" w:hAnsi="Arial" w:cs="Arial"/>
        </w:rPr>
      </w:pPr>
    </w:p>
    <w:p w14:paraId="7B38477A" w14:textId="77777777" w:rsidR="001D106C" w:rsidRPr="001D106C" w:rsidRDefault="001D106C" w:rsidP="001D106C">
      <w:pPr>
        <w:spacing w:line="360" w:lineRule="auto"/>
        <w:jc w:val="both"/>
        <w:rPr>
          <w:rFonts w:ascii="Arial" w:hAnsi="Arial" w:cs="Arial"/>
        </w:rPr>
      </w:pPr>
      <w:r w:rsidRPr="001D106C">
        <w:rPr>
          <w:rFonts w:ascii="Arial" w:hAnsi="Arial" w:cs="Arial"/>
        </w:rPr>
        <w:t>Organisation Structure, Culture, and Goals</w:t>
      </w:r>
    </w:p>
    <w:p w14:paraId="391AFB8C"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1. Organizational Structure </w:t>
      </w:r>
    </w:p>
    <w:p w14:paraId="5B30F6CF" w14:textId="77777777" w:rsidR="001D106C" w:rsidRPr="001D106C" w:rsidRDefault="001D106C" w:rsidP="001D106C">
      <w:pPr>
        <w:spacing w:line="360" w:lineRule="auto"/>
        <w:jc w:val="both"/>
        <w:rPr>
          <w:rFonts w:ascii="Arial" w:hAnsi="Arial" w:cs="Arial"/>
        </w:rPr>
      </w:pPr>
      <w:r w:rsidRPr="001D106C">
        <w:rPr>
          <w:rFonts w:ascii="Arial" w:hAnsi="Arial" w:cs="Arial"/>
        </w:rPr>
        <w:t>Wyndham Hotels &amp; Resorts employs a hybrid organisational structure, integrating centralised decision-making with aspects of decentralisation to improve operational flexibility across its various global sites (Organimi, 2024; Wyndham Corporate, 2022). Wyndham's organisational framework facilitates the uniform implementation of corporate policies, which means upholding consistent brand standards across its properties. In contrast, decentralisation at the property level empowers individual hotels to address local market demands adeptly. This structure follows Mintzberg’s model, containing a significant “Strategic Apex” where executive leaders formulate global goals. At the same time, the “Middle Line” managers execute these directives at the local level, connecting the comprehensive corporate strategy with specific hotel operations (Mintzberg, 1980).</w:t>
      </w:r>
    </w:p>
    <w:p w14:paraId="007951F3"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In contrast, competitors such as Marriott prioritise a comparable balanced strategy yet focus on standardisation across global markets, which may restrict flexibility while augmenting brand consistency (Tavitiyaman et al., 2012). Moreover, Handy’s model elucidates that Wyndham’s organisational structure exemplifies a “Role Culture” at the corporate level because standardised roles dictate employee responsibilities and decision-making processes, guaranteeing operational clarity and accountability (Russo et al., 2013). This cultural influence permits Wyndham to sustain efficiency across its properties, which is especially essential for managing a diverse portfolio of brands.</w:t>
      </w:r>
    </w:p>
    <w:p w14:paraId="49497639" w14:textId="77777777" w:rsidR="001D106C" w:rsidRPr="001D106C" w:rsidRDefault="001D106C" w:rsidP="001D106C">
      <w:pPr>
        <w:spacing w:line="360" w:lineRule="auto"/>
        <w:jc w:val="both"/>
        <w:rPr>
          <w:rFonts w:ascii="Arial" w:hAnsi="Arial" w:cs="Arial"/>
        </w:rPr>
      </w:pPr>
      <w:r w:rsidRPr="001D106C">
        <w:rPr>
          <w:rFonts w:ascii="Arial" w:hAnsi="Arial" w:cs="Arial"/>
        </w:rPr>
        <w:t>Recent studies indicate that decentralisation can foster innovative behaviours among employees, potentially improving Wyndham's adaptability in local markets and facilitating swift responses to industry changes (Darvishmotevali, 2019). As a result, Wyndham's structural strategy provides an equilibrium between efficiency and adaptability, facilitating corporate uniformity and centralised innovation.</w:t>
      </w:r>
    </w:p>
    <w:p w14:paraId="22494339" w14:textId="77777777" w:rsidR="001D106C" w:rsidRPr="001D106C" w:rsidRDefault="001D106C" w:rsidP="001D106C">
      <w:pPr>
        <w:spacing w:line="360" w:lineRule="auto"/>
        <w:jc w:val="both"/>
        <w:rPr>
          <w:rFonts w:ascii="Arial" w:hAnsi="Arial" w:cs="Arial"/>
        </w:rPr>
      </w:pPr>
      <w:r w:rsidRPr="001D106C">
        <w:rPr>
          <w:rFonts w:ascii="Arial" w:hAnsi="Arial" w:cs="Arial"/>
        </w:rPr>
        <w:t>2. Organizational Culture</w:t>
      </w:r>
    </w:p>
    <w:p w14:paraId="6FA4B0D4" w14:textId="77777777" w:rsidR="001D106C" w:rsidRPr="001D106C" w:rsidRDefault="001D106C" w:rsidP="001D106C">
      <w:pPr>
        <w:spacing w:line="360" w:lineRule="auto"/>
        <w:jc w:val="both"/>
        <w:rPr>
          <w:rFonts w:ascii="Arial" w:hAnsi="Arial" w:cs="Arial"/>
        </w:rPr>
      </w:pPr>
      <w:r w:rsidRPr="001D106C">
        <w:rPr>
          <w:rFonts w:ascii="Arial" w:hAnsi="Arial" w:cs="Arial"/>
        </w:rPr>
        <w:t>The corporate cultural components of Wyndham Hotels &amp; Resorts combine Schein's model of artefacts, declared values, and underlying assumptions (Wilkins, 1985). Wyndham’s uniform branding across locations underscores its commitment to delivering a consistent guest experience, essential for sustaining a recognisable brand image (Nahm, Vonderembse and Koufteros, 2004). The company's stated values, clearly evident in its commitment to diversity and inclusivity, demonstrate its dedication to creating a welcoming environment for guests and employees. Wyndham advocates for an inclusive workplace, prioritising diversity as an essential competitive advantage (Wyndham Hotels &amp; Resorts, 2023).</w:t>
      </w:r>
    </w:p>
    <w:p w14:paraId="1C20AE07"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However, the basic assumptions of its culture focus on responsiveness to local market requirements. This concept corresponds with Handy’s “Task Culture,” where authority and accountability are distributed among team members to promote agility and improve customer satisfaction (Russo et al., 2013). Google's communal culture exemplifies a compelling model by prioritising sociability and solidarity, which boosts employee morale and innovation—an approach Wyndham could adopt for improving inclusivity and unity (Google Documentary, 2018). This cultural framework reinforces </w:t>
      </w:r>
      <w:r w:rsidRPr="001D106C">
        <w:rPr>
          <w:rFonts w:ascii="Arial" w:hAnsi="Arial" w:cs="Arial"/>
        </w:rPr>
        <w:lastRenderedPageBreak/>
        <w:t>Wyndham's goals, yet sustaining continuity across an extensive portfolio creates a challenge.</w:t>
      </w:r>
    </w:p>
    <w:p w14:paraId="2CC10382" w14:textId="77777777" w:rsidR="001D106C" w:rsidRPr="001D106C" w:rsidRDefault="001D106C" w:rsidP="001D106C">
      <w:pPr>
        <w:spacing w:line="360" w:lineRule="auto"/>
        <w:jc w:val="both"/>
        <w:rPr>
          <w:rFonts w:ascii="Arial" w:hAnsi="Arial" w:cs="Arial"/>
        </w:rPr>
      </w:pPr>
      <w:r w:rsidRPr="001D106C">
        <w:rPr>
          <w:rFonts w:ascii="Arial" w:hAnsi="Arial" w:cs="Arial"/>
        </w:rPr>
        <w:t>3. Organizational Goals</w:t>
      </w:r>
    </w:p>
    <w:p w14:paraId="03B05837" w14:textId="77777777" w:rsidR="001D106C" w:rsidRPr="001D106C" w:rsidRDefault="001D106C" w:rsidP="001D106C">
      <w:pPr>
        <w:spacing w:line="360" w:lineRule="auto"/>
        <w:jc w:val="both"/>
        <w:rPr>
          <w:rFonts w:ascii="Arial" w:hAnsi="Arial" w:cs="Arial"/>
        </w:rPr>
      </w:pPr>
      <w:r w:rsidRPr="001D106C">
        <w:rPr>
          <w:rFonts w:ascii="Arial" w:hAnsi="Arial" w:cs="Arial"/>
        </w:rPr>
        <w:t>Through its proactive dedication to its corporate goals, Wyndham Hotels &amp; Resorts promotes sustainable tourism, expansion, and exceptional service quality. Sustainability is given special attention throughout their properties, which aligns with their mission of lowering carbon emissions and encouraging environmentally friendly practices, as evidenced by their commitment to achieve net-zero emissions by 2050 (Santos et al., 2020). This focus on responsibility regarding the environment aligns with goal-setting theory, which states that specific, challenging objectives improve performance (Locke and Latham, 2002). Wyndham's sustainability metrics, comprising energy-efficient operations and waste minimisation strategies, demonstrate the company's commitment to responsible tourism while attracting a growing demographic of eco-conscious travellers (Gilmore et al., 2014).</w:t>
      </w:r>
    </w:p>
    <w:p w14:paraId="1F34DC1F" w14:textId="77777777" w:rsidR="001D106C" w:rsidRPr="001D106C" w:rsidRDefault="001D106C" w:rsidP="001D106C">
      <w:pPr>
        <w:spacing w:line="360" w:lineRule="auto"/>
        <w:jc w:val="both"/>
        <w:rPr>
          <w:rFonts w:ascii="Arial" w:hAnsi="Arial" w:cs="Arial"/>
        </w:rPr>
      </w:pPr>
      <w:r w:rsidRPr="001D106C">
        <w:rPr>
          <w:rFonts w:ascii="Arial" w:hAnsi="Arial" w:cs="Arial"/>
        </w:rPr>
        <w:t>Furthermore, the expansion into international markets continues to be a fundamental objective. Wyndham's strategic growth initiatives focus on buying and renovating properties in high-demand areas, aligning with stakeholder expectations for sustained value creation and brand visibility (Calveras, 2007). These objectives correspond with public interests by establishing a "social license to operate," where Wyndham aims to fulfil societal and environmental requirements (Business School 101, 2023). Service quality is integral to Wyndham’s corporate strategy, demonstrated by adopting customer feedback systems and service standards to uphold high expectations (Preziosi et al., 2021).</w:t>
      </w:r>
    </w:p>
    <w:p w14:paraId="49ED5632" w14:textId="77777777" w:rsidR="001D106C" w:rsidRPr="001D106C" w:rsidRDefault="001D106C" w:rsidP="001D106C">
      <w:pPr>
        <w:spacing w:line="360" w:lineRule="auto"/>
        <w:jc w:val="both"/>
        <w:rPr>
          <w:rFonts w:ascii="Arial" w:hAnsi="Arial" w:cs="Arial"/>
        </w:rPr>
      </w:pPr>
      <w:r w:rsidRPr="001D106C">
        <w:rPr>
          <w:rFonts w:ascii="Arial" w:hAnsi="Arial" w:cs="Arial"/>
        </w:rPr>
        <w:t>By pursuing these objectives, Wyndham increases its market position while addressing stakeholder concerns and cultivating an image of a progressive, sustainable, and guest-centric hospitality leader.</w:t>
      </w:r>
    </w:p>
    <w:p w14:paraId="31109A33" w14:textId="77777777" w:rsidR="001D106C" w:rsidRPr="001D106C" w:rsidRDefault="001D106C" w:rsidP="001D106C">
      <w:pPr>
        <w:spacing w:line="360" w:lineRule="auto"/>
        <w:jc w:val="both"/>
        <w:rPr>
          <w:rFonts w:ascii="Arial" w:hAnsi="Arial" w:cs="Arial"/>
        </w:rPr>
      </w:pPr>
    </w:p>
    <w:p w14:paraId="64F86ECA" w14:textId="77777777" w:rsidR="001D106C" w:rsidRPr="001D106C" w:rsidRDefault="001D106C" w:rsidP="001D106C">
      <w:pPr>
        <w:spacing w:line="360" w:lineRule="auto"/>
        <w:jc w:val="both"/>
        <w:rPr>
          <w:rFonts w:ascii="Arial" w:hAnsi="Arial" w:cs="Arial"/>
        </w:rPr>
      </w:pPr>
    </w:p>
    <w:p w14:paraId="01FAB4E0" w14:textId="77777777" w:rsidR="001D106C" w:rsidRPr="00342B0C" w:rsidRDefault="001D106C" w:rsidP="001D106C">
      <w:pPr>
        <w:spacing w:line="360" w:lineRule="auto"/>
        <w:jc w:val="both"/>
        <w:rPr>
          <w:rFonts w:ascii="Arial" w:hAnsi="Arial" w:cs="Arial"/>
        </w:rPr>
      </w:pPr>
    </w:p>
    <w:p w14:paraId="4B8D10D3" w14:textId="77777777" w:rsidR="001D106C" w:rsidRPr="00342B0C" w:rsidRDefault="001D106C" w:rsidP="001D106C">
      <w:pPr>
        <w:spacing w:line="360" w:lineRule="auto"/>
        <w:jc w:val="both"/>
        <w:rPr>
          <w:rFonts w:ascii="Arial" w:hAnsi="Arial" w:cs="Arial"/>
        </w:rPr>
      </w:pPr>
    </w:p>
    <w:p w14:paraId="29BF3A8A" w14:textId="09F9B478" w:rsidR="001D106C" w:rsidRPr="001D106C" w:rsidRDefault="001D106C" w:rsidP="001D106C">
      <w:pPr>
        <w:spacing w:line="360" w:lineRule="auto"/>
        <w:jc w:val="both"/>
        <w:rPr>
          <w:rFonts w:ascii="Arial" w:hAnsi="Arial" w:cs="Arial"/>
        </w:rPr>
      </w:pPr>
      <w:r w:rsidRPr="001D106C">
        <w:rPr>
          <w:rFonts w:ascii="Arial" w:hAnsi="Arial" w:cs="Arial"/>
        </w:rPr>
        <w:lastRenderedPageBreak/>
        <w:t xml:space="preserve">Recent Change Initiatives </w:t>
      </w:r>
    </w:p>
    <w:p w14:paraId="28357CFA" w14:textId="77777777" w:rsidR="001D106C" w:rsidRPr="001D106C" w:rsidRDefault="001D106C" w:rsidP="001D106C">
      <w:pPr>
        <w:spacing w:line="360" w:lineRule="auto"/>
        <w:jc w:val="both"/>
        <w:rPr>
          <w:rFonts w:ascii="Arial" w:hAnsi="Arial" w:cs="Arial"/>
        </w:rPr>
      </w:pPr>
      <w:r w:rsidRPr="001D106C">
        <w:rPr>
          <w:rFonts w:ascii="Arial" w:hAnsi="Arial" w:cs="Arial"/>
        </w:rPr>
        <w:t>1. Identification of Changes</w:t>
      </w:r>
    </w:p>
    <w:p w14:paraId="2708492E" w14:textId="77777777" w:rsidR="001D106C" w:rsidRPr="001D106C" w:rsidRDefault="001D106C" w:rsidP="001D106C">
      <w:pPr>
        <w:spacing w:line="360" w:lineRule="auto"/>
        <w:jc w:val="both"/>
        <w:rPr>
          <w:rFonts w:ascii="Arial" w:hAnsi="Arial" w:cs="Arial"/>
        </w:rPr>
      </w:pPr>
      <w:r w:rsidRPr="001D106C">
        <w:rPr>
          <w:rFonts w:ascii="Arial" w:hAnsi="Arial" w:cs="Arial"/>
        </w:rPr>
        <w:t>Wyndham Hotels &amp; Resorts has adopted digital transformation to confront pandemic-related challenges, investing in contactless technologies and sustainability-oriented initiatives. The hotel chain implemented contactless check-ins, mobile application services, and digital communication channels to improve guest safety and convenience (Sztorc, 2021).</w:t>
      </w:r>
    </w:p>
    <w:p w14:paraId="03EC32B2" w14:textId="77777777" w:rsidR="001D106C" w:rsidRPr="001D106C" w:rsidRDefault="001D106C" w:rsidP="001D106C">
      <w:pPr>
        <w:spacing w:line="360" w:lineRule="auto"/>
        <w:jc w:val="both"/>
        <w:rPr>
          <w:rFonts w:ascii="Arial" w:hAnsi="Arial" w:cs="Arial"/>
        </w:rPr>
      </w:pPr>
      <w:r w:rsidRPr="001D106C">
        <w:rPr>
          <w:rFonts w:ascii="Arial" w:hAnsi="Arial" w:cs="Arial"/>
        </w:rPr>
        <w:t>These transformations relate to the notion of "always-on" transformation, as Hemerling (2024) described, since Wyndham continuously responds to technological changes and consumer expectations. In this era, businesses must remain adaptable, proactively responding to continual changes in technology and consumer preferences. Wyndham's initiative highlights a strategic transition towards operational flexibility and customer-focused innovation, modifying the business model to guarantee safety and satisfaction.</w:t>
      </w:r>
    </w:p>
    <w:p w14:paraId="176186FF"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2. Impact Analysis </w:t>
      </w:r>
    </w:p>
    <w:p w14:paraId="13849E2F"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Operational Efficiency</w:t>
      </w:r>
    </w:p>
    <w:p w14:paraId="61B537BB" w14:textId="77777777" w:rsidR="001D106C" w:rsidRPr="001D106C" w:rsidRDefault="001D106C" w:rsidP="001D106C">
      <w:pPr>
        <w:spacing w:line="360" w:lineRule="auto"/>
        <w:jc w:val="both"/>
        <w:rPr>
          <w:rFonts w:ascii="Arial" w:hAnsi="Arial" w:cs="Arial"/>
        </w:rPr>
      </w:pPr>
      <w:r w:rsidRPr="001D106C">
        <w:rPr>
          <w:rFonts w:ascii="Arial" w:hAnsi="Arial" w:cs="Arial"/>
        </w:rPr>
        <w:t>By reducing contact and expediting guest interactions, Wyndham's technological advancements have increased operational efficiency, a crucial factor during the pandemic (Bharwani and Mathews, 2021). Implementing digital check-in procedures decreased wait times, which is consistent with Kotter’s 8-Step Change Model, which emphasises the importance of generating urgency and forming a coalition among stakeholders for rapid execution (Kotter, 1995).</w:t>
      </w:r>
    </w:p>
    <w:p w14:paraId="0027E5CB"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Employee Morale</w:t>
      </w:r>
    </w:p>
    <w:p w14:paraId="15A73C98" w14:textId="77777777" w:rsidR="001D106C" w:rsidRPr="001D106C" w:rsidRDefault="001D106C" w:rsidP="001D106C">
      <w:pPr>
        <w:spacing w:line="360" w:lineRule="auto"/>
        <w:jc w:val="both"/>
        <w:rPr>
          <w:rFonts w:ascii="Arial" w:hAnsi="Arial" w:cs="Arial"/>
        </w:rPr>
      </w:pPr>
      <w:r w:rsidRPr="001D106C">
        <w:rPr>
          <w:rFonts w:ascii="Arial" w:hAnsi="Arial" w:cs="Arial"/>
        </w:rPr>
        <w:t>Digital transformation limited physical interaction; it raised questions about employee roles, requiring Wyndham to manage workforce adaptation proactively. Google's strategy for sustaining trust through transparency in data management provides significant insights. Wyndham could emulate Google's focus on open data practices to instil confidence in employees and guests regarding the transition to digital processes (Google Documentary, 2018).</w:t>
      </w:r>
    </w:p>
    <w:p w14:paraId="4BCC4E43"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Customer Satisfaction</w:t>
      </w:r>
    </w:p>
    <w:p w14:paraId="77E34DA3"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Research demonstrates that customers appreciate the increased safety and convenience associated with contactless interactions, which has improved Wyndham’s guest satisfaction metrics (Shin and Kang, 2020). Wyndham prioritises technology for customer experience, skilfully balancing digital automation with personalised service, a crucial strategy for sustaining trust in a progressively contactless environment.</w:t>
      </w:r>
    </w:p>
    <w:p w14:paraId="66266ECF" w14:textId="77777777" w:rsidR="001D106C" w:rsidRPr="001D106C" w:rsidRDefault="001D106C" w:rsidP="001D106C">
      <w:pPr>
        <w:spacing w:line="360" w:lineRule="auto"/>
        <w:jc w:val="both"/>
        <w:rPr>
          <w:rFonts w:ascii="Arial" w:hAnsi="Arial" w:cs="Arial"/>
        </w:rPr>
      </w:pPr>
      <w:r w:rsidRPr="001D106C">
        <w:rPr>
          <w:rFonts w:ascii="Arial" w:hAnsi="Arial" w:cs="Arial"/>
        </w:rPr>
        <w:t>3. Change Management Evaluation</w:t>
      </w:r>
    </w:p>
    <w:p w14:paraId="6B75DA22" w14:textId="77777777" w:rsidR="001D106C" w:rsidRPr="001D106C" w:rsidRDefault="001D106C" w:rsidP="001D106C">
      <w:pPr>
        <w:spacing w:line="360" w:lineRule="auto"/>
        <w:jc w:val="both"/>
        <w:rPr>
          <w:rFonts w:ascii="Arial" w:hAnsi="Arial" w:cs="Arial"/>
        </w:rPr>
      </w:pPr>
      <w:r w:rsidRPr="001D106C">
        <w:rPr>
          <w:rFonts w:ascii="Arial" w:hAnsi="Arial" w:cs="Arial"/>
        </w:rPr>
        <w:t>The success of Wyndham's initiatives primarily relies on effective change management strategies that prioritise employee inclusion and communication. Employing Lewin’s Change Management Model, Wyndham seems to have effectively "unfrozen" current practices by educating employees about digital transformations while providing ongoing support during the transition (Lai and Jose Weng, 2020). Yet, cultivating sustained engagement necessitates ongoing training and clear communication.</w:t>
      </w:r>
    </w:p>
    <w:p w14:paraId="233E2983" w14:textId="77777777" w:rsidR="001D106C" w:rsidRPr="001D106C" w:rsidRDefault="001D106C" w:rsidP="001D106C">
      <w:pPr>
        <w:spacing w:line="360" w:lineRule="auto"/>
        <w:jc w:val="both"/>
        <w:rPr>
          <w:rFonts w:ascii="Arial" w:hAnsi="Arial" w:cs="Arial"/>
        </w:rPr>
      </w:pPr>
      <w:r w:rsidRPr="001D106C">
        <w:rPr>
          <w:rFonts w:ascii="Arial" w:hAnsi="Arial" w:cs="Arial"/>
        </w:rPr>
        <w:t>Adopting Hemerling’s (2024) “people-first” philosophy could help improve Wyndham's change management strategy, as motivating employees through a shared purpose increases their commitment to new initiatives. Engaging employees in decision-making and aligning changes with their career aspirations creates an internal connection and minimises resistance. By integrating these principles into its change strategy, Wyndham can foster a culture of resilience and adaptability, which is crucial for sustained success in a dynamic industry environment.</w:t>
      </w:r>
    </w:p>
    <w:p w14:paraId="22CB5471"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Strategic Direction </w:t>
      </w:r>
    </w:p>
    <w:p w14:paraId="6D734253" w14:textId="77777777" w:rsidR="001D106C" w:rsidRPr="001D106C" w:rsidRDefault="001D106C" w:rsidP="001D106C">
      <w:pPr>
        <w:spacing w:line="360" w:lineRule="auto"/>
        <w:jc w:val="both"/>
        <w:rPr>
          <w:rFonts w:ascii="Arial" w:hAnsi="Arial" w:cs="Arial"/>
        </w:rPr>
      </w:pPr>
      <w:r w:rsidRPr="001D106C">
        <w:rPr>
          <w:rFonts w:ascii="Arial" w:hAnsi="Arial" w:cs="Arial"/>
        </w:rPr>
        <w:t>1. Strategic Vision and Mission</w:t>
      </w:r>
    </w:p>
    <w:p w14:paraId="79C44ABB" w14:textId="77777777" w:rsidR="001D106C" w:rsidRPr="001D106C" w:rsidRDefault="001D106C" w:rsidP="001D106C">
      <w:pPr>
        <w:spacing w:line="360" w:lineRule="auto"/>
        <w:jc w:val="both"/>
        <w:rPr>
          <w:rFonts w:ascii="Arial" w:hAnsi="Arial" w:cs="Arial"/>
        </w:rPr>
      </w:pPr>
      <w:r w:rsidRPr="001D106C">
        <w:rPr>
          <w:rFonts w:ascii="Arial" w:hAnsi="Arial" w:cs="Arial"/>
        </w:rPr>
        <w:t>The mission of Wyndham Hotels &amp; Resorts is to deliver memorable, sustainable experiences for guests while generating value for stakeholders. This mission is based on an ambition to position itself as a global leader in responsible hospitality through market expansion and promoting sustainable hospitality practices (Santos et al., 2020). Wyndham's commitment to eco-friendly initiatives, including their net-zero emissions goal, aligns with sustainable tourism and highlights their dedication to ongoing environmental stewardship.</w:t>
      </w:r>
    </w:p>
    <w:p w14:paraId="7A73ED61"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Mintzberg’s 5 Ps </w:t>
      </w:r>
    </w:p>
    <w:p w14:paraId="4C668F69"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Wyndham's strategy can be analysed through Mintzberg’s 5 Ps framework - Plan, Ploy, Pattern, Position, and Perspective - demonstrating a strategic positioning that aligns their market objectives with the growing demand for sustainable and ethical practices in the hotel sector (Mintzberg, 1980). This commitment reinforces the importance of strategic management just as crucial for sustainable business direction, covering profit, stakeholder satisfaction, and community impact, as seen in the “What is Strategic Management?” video (Business School 101, 2023). This alignment enables Wyndham to foresee challenges like digital transformation and environmental issues, ensuring competitiveness while aligning with customer values.</w:t>
      </w:r>
    </w:p>
    <w:p w14:paraId="15987BA6"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2. Strategic Analysis </w:t>
      </w:r>
    </w:p>
    <w:p w14:paraId="15CC543E" w14:textId="77777777" w:rsidR="001D106C" w:rsidRPr="001D106C" w:rsidRDefault="001D106C" w:rsidP="001D106C">
      <w:pPr>
        <w:spacing w:line="360" w:lineRule="auto"/>
        <w:jc w:val="both"/>
        <w:rPr>
          <w:rFonts w:ascii="Arial" w:hAnsi="Arial" w:cs="Arial"/>
        </w:rPr>
      </w:pPr>
      <w:r w:rsidRPr="001D106C">
        <w:rPr>
          <w:rFonts w:ascii="Arial" w:hAnsi="Arial" w:cs="Arial"/>
        </w:rPr>
        <w:t>SWOT Analysis</w:t>
      </w:r>
    </w:p>
    <w:p w14:paraId="5AC88632"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Strengths</w:t>
      </w:r>
    </w:p>
    <w:p w14:paraId="59D1046E" w14:textId="77777777" w:rsidR="001D106C" w:rsidRPr="001D106C" w:rsidRDefault="001D106C" w:rsidP="001D106C">
      <w:pPr>
        <w:spacing w:line="360" w:lineRule="auto"/>
        <w:jc w:val="both"/>
        <w:rPr>
          <w:rFonts w:ascii="Arial" w:hAnsi="Arial" w:cs="Arial"/>
        </w:rPr>
      </w:pPr>
      <w:r w:rsidRPr="001D106C">
        <w:rPr>
          <w:rFonts w:ascii="Arial" w:hAnsi="Arial" w:cs="Arial"/>
        </w:rPr>
        <w:t>Wyndham's advantages originate from its extensive global presence, diverse portfolio, and excellent brand reputation. Its commitment to sustainability promotes its competitive advantage, attracting environmentally conscious travellers (Adams et al., 2022).</w:t>
      </w:r>
    </w:p>
    <w:p w14:paraId="42A3C8C0"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Weaknesses</w:t>
      </w:r>
    </w:p>
    <w:p w14:paraId="205950F5" w14:textId="77777777" w:rsidR="001D106C" w:rsidRPr="001D106C" w:rsidRDefault="001D106C" w:rsidP="001D106C">
      <w:pPr>
        <w:spacing w:line="360" w:lineRule="auto"/>
        <w:jc w:val="both"/>
        <w:rPr>
          <w:rFonts w:ascii="Arial" w:hAnsi="Arial" w:cs="Arial"/>
        </w:rPr>
      </w:pPr>
      <w:r w:rsidRPr="001D106C">
        <w:rPr>
          <w:rFonts w:ascii="Arial" w:hAnsi="Arial" w:cs="Arial"/>
        </w:rPr>
        <w:t>Reliance on franchising may restrict control of property-specific operations, which could affect service quality consistency. Moreover, intense competition in the mid-scale and economy segments requires Wyndham to distinguish itself successfully (Perez-Pineda et al., 2017).</w:t>
      </w:r>
    </w:p>
    <w:p w14:paraId="1D838D5D"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Opportunities</w:t>
      </w:r>
    </w:p>
    <w:p w14:paraId="5AD2F1C4" w14:textId="77777777" w:rsidR="001D106C" w:rsidRPr="001D106C" w:rsidRDefault="001D106C" w:rsidP="001D106C">
      <w:pPr>
        <w:spacing w:line="360" w:lineRule="auto"/>
        <w:jc w:val="both"/>
        <w:rPr>
          <w:rFonts w:ascii="Arial" w:hAnsi="Arial" w:cs="Arial"/>
        </w:rPr>
      </w:pPr>
      <w:r w:rsidRPr="001D106C">
        <w:rPr>
          <w:rFonts w:ascii="Arial" w:hAnsi="Arial" w:cs="Arial"/>
        </w:rPr>
        <w:t>Wyndham possesses significant growth potential in emerging markets, where the demand for affordable, high-quality accommodations is increasing. Investing in technology for contactless services may improve customer satisfaction (Legrand et al., 2022).</w:t>
      </w:r>
    </w:p>
    <w:p w14:paraId="6991C2E5"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Threats</w:t>
      </w:r>
    </w:p>
    <w:p w14:paraId="17EEAB1A"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Economic recessions and pandemics threaten the travel sector, diminishing occupancy rates and revenue. Moreover, increasing consumer attention regarding data privacy, similar to the challenges encountered by Google, necessitates that </w:t>
      </w:r>
      <w:r w:rsidRPr="001D106C">
        <w:rPr>
          <w:rFonts w:ascii="Arial" w:hAnsi="Arial" w:cs="Arial"/>
        </w:rPr>
        <w:lastRenderedPageBreak/>
        <w:t>Wyndham improve its data management practices to uphold trust (Google Documentary, 2018).</w:t>
      </w:r>
    </w:p>
    <w:p w14:paraId="3A26CB1A" w14:textId="77777777" w:rsidR="001D106C" w:rsidRPr="001D106C" w:rsidRDefault="001D106C" w:rsidP="001D106C">
      <w:pPr>
        <w:spacing w:line="360" w:lineRule="auto"/>
        <w:jc w:val="both"/>
        <w:rPr>
          <w:rFonts w:ascii="Arial" w:hAnsi="Arial" w:cs="Arial"/>
        </w:rPr>
      </w:pPr>
      <w:r w:rsidRPr="001D106C">
        <w:rPr>
          <w:rFonts w:ascii="Arial" w:hAnsi="Arial" w:cs="Arial"/>
        </w:rPr>
        <w:t>Porter’s Five Forces</w:t>
      </w:r>
    </w:p>
    <w:p w14:paraId="7D4A894C" w14:textId="77777777" w:rsidR="001D106C" w:rsidRPr="001D106C" w:rsidRDefault="001D106C" w:rsidP="001D106C">
      <w:pPr>
        <w:spacing w:line="360" w:lineRule="auto"/>
        <w:jc w:val="both"/>
        <w:rPr>
          <w:rFonts w:ascii="Arial" w:hAnsi="Arial" w:cs="Arial"/>
        </w:rPr>
      </w:pPr>
      <w:r w:rsidRPr="001D106C">
        <w:rPr>
          <w:rFonts w:ascii="Arial" w:hAnsi="Arial" w:cs="Arial"/>
        </w:rPr>
        <w:t>Using Porter’s Five Forces, Wyndham faces significant competition in the hospitality sector, especially from Accor and IHG, which operate in similar markets and pursue comparable sustainability initiatives (Cvelbar and Dwyer, 2013). Wyndham might strengthen its positioning by implementing the four phases of strategic management: Strategic Intention, Formulation, Implementation, and Evaluation, as outlined in the strategic management video (Simplicity Consultancy, 2022). This framework facilitates a comprehensive evaluation of external threats and internal opportunities, allowing Wyndham to devise proactive strategies to maintain its market position despite global changes.</w:t>
      </w:r>
    </w:p>
    <w:p w14:paraId="2F82152F" w14:textId="77777777" w:rsidR="001D106C" w:rsidRPr="001D106C" w:rsidRDefault="001D106C" w:rsidP="001D106C">
      <w:pPr>
        <w:spacing w:line="360" w:lineRule="auto"/>
        <w:jc w:val="both"/>
        <w:rPr>
          <w:rFonts w:ascii="Arial" w:hAnsi="Arial" w:cs="Arial"/>
        </w:rPr>
      </w:pPr>
      <w:r w:rsidRPr="001D106C">
        <w:rPr>
          <w:rFonts w:ascii="Arial" w:hAnsi="Arial" w:cs="Arial"/>
        </w:rPr>
        <w:t xml:space="preserve">Conclusion </w:t>
      </w:r>
    </w:p>
    <w:p w14:paraId="2C736732" w14:textId="77777777" w:rsidR="001D106C" w:rsidRPr="001D106C" w:rsidRDefault="001D106C" w:rsidP="001D106C">
      <w:pPr>
        <w:spacing w:line="360" w:lineRule="auto"/>
        <w:jc w:val="both"/>
        <w:rPr>
          <w:rFonts w:ascii="Arial" w:hAnsi="Arial" w:cs="Arial"/>
        </w:rPr>
      </w:pPr>
      <w:r w:rsidRPr="001D106C">
        <w:rPr>
          <w:rFonts w:ascii="Arial" w:hAnsi="Arial" w:cs="Arial"/>
        </w:rPr>
        <w:t>In conclusion, Wyndham Hotels &amp; Resorts demonstrates strong organisational capabilities through a balanced structure, inclusive culture, and proactive change initiatives. Their flexible structure supports global consistency and local responsiveness, while a culture rooted in guest-centric values fosters a positive workplace. Recent digital and sustainability-focused changes highlight Wyndham's adaptability, aligning with Hemerling’s call for continuous, people-first transformation (Hemerling, 2024). Strategically, Wyndham’s mission and commitment to sustainable growth offer a competitive advantage, though maintaining service quality across franchises remains challenging. By embracing adaptive strategies and prioritising employee and customer engagement, Wyndham is well-positioned for resilience and long-term success in the global hospitality market, securing its standing as an industry leader.</w:t>
      </w:r>
    </w:p>
    <w:p w14:paraId="624AA8B4" w14:textId="77777777" w:rsidR="001D106C" w:rsidRPr="001D106C" w:rsidRDefault="001D106C" w:rsidP="001D106C">
      <w:pPr>
        <w:spacing w:line="360" w:lineRule="auto"/>
        <w:jc w:val="both"/>
        <w:rPr>
          <w:rFonts w:ascii="Arial" w:hAnsi="Arial" w:cs="Arial"/>
        </w:rPr>
      </w:pPr>
    </w:p>
    <w:p w14:paraId="7A4C8392" w14:textId="77777777" w:rsidR="001D106C" w:rsidRPr="00342B0C" w:rsidRDefault="001D106C" w:rsidP="001D106C">
      <w:pPr>
        <w:spacing w:line="360" w:lineRule="auto"/>
        <w:jc w:val="both"/>
        <w:rPr>
          <w:rFonts w:ascii="Arial" w:hAnsi="Arial" w:cs="Arial"/>
        </w:rPr>
      </w:pPr>
    </w:p>
    <w:p w14:paraId="6059DDA7" w14:textId="77777777" w:rsidR="001D106C" w:rsidRPr="00342B0C" w:rsidRDefault="001D106C" w:rsidP="001D106C">
      <w:pPr>
        <w:spacing w:line="360" w:lineRule="auto"/>
        <w:jc w:val="both"/>
        <w:rPr>
          <w:rFonts w:ascii="Arial" w:hAnsi="Arial" w:cs="Arial"/>
        </w:rPr>
      </w:pPr>
    </w:p>
    <w:p w14:paraId="7BFC2DD0" w14:textId="77777777" w:rsidR="001D106C" w:rsidRPr="00342B0C" w:rsidRDefault="001D106C" w:rsidP="001D106C">
      <w:pPr>
        <w:spacing w:line="360" w:lineRule="auto"/>
        <w:jc w:val="both"/>
        <w:rPr>
          <w:rFonts w:ascii="Arial" w:hAnsi="Arial" w:cs="Arial"/>
        </w:rPr>
      </w:pPr>
    </w:p>
    <w:p w14:paraId="21ECE3A9" w14:textId="77777777" w:rsidR="001D106C" w:rsidRPr="00342B0C" w:rsidRDefault="001D106C" w:rsidP="001D106C">
      <w:pPr>
        <w:spacing w:line="360" w:lineRule="auto"/>
        <w:jc w:val="both"/>
        <w:rPr>
          <w:rFonts w:ascii="Arial" w:hAnsi="Arial" w:cs="Arial"/>
        </w:rPr>
      </w:pPr>
    </w:p>
    <w:p w14:paraId="6536DC6D" w14:textId="14768584" w:rsidR="001D106C" w:rsidRPr="001D106C" w:rsidRDefault="001D106C" w:rsidP="001D106C">
      <w:pPr>
        <w:spacing w:line="360" w:lineRule="auto"/>
        <w:jc w:val="both"/>
        <w:rPr>
          <w:rFonts w:ascii="Arial" w:hAnsi="Arial" w:cs="Arial"/>
        </w:rPr>
      </w:pPr>
      <w:r w:rsidRPr="001D106C">
        <w:rPr>
          <w:rFonts w:ascii="Arial" w:hAnsi="Arial" w:cs="Arial"/>
        </w:rPr>
        <w:lastRenderedPageBreak/>
        <w:t>Recommendations</w:t>
      </w:r>
    </w:p>
    <w:p w14:paraId="04B3360A"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Operational Enhancements</w:t>
      </w:r>
    </w:p>
    <w:p w14:paraId="6A2CDB72" w14:textId="77777777" w:rsidR="001D106C" w:rsidRPr="001D106C" w:rsidRDefault="001D106C" w:rsidP="001D106C">
      <w:pPr>
        <w:spacing w:line="360" w:lineRule="auto"/>
        <w:jc w:val="both"/>
        <w:rPr>
          <w:rFonts w:ascii="Arial" w:hAnsi="Arial" w:cs="Arial"/>
        </w:rPr>
      </w:pPr>
      <w:r w:rsidRPr="001D106C">
        <w:rPr>
          <w:rFonts w:ascii="Arial" w:hAnsi="Arial" w:cs="Arial"/>
        </w:rPr>
        <w:t>Wyndham needs to establish ongoing educational initiatives centred on customer service and sustainability, allowing personnel to remain informed about advancing industry standards (Baum and Francis, 2018). HR management at both corporate and unit levels could supervise such training, initiating pilot programs in environmentally conscious locations to improve initiatives for later expansion.</w:t>
      </w:r>
    </w:p>
    <w:p w14:paraId="55EB9EFF"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Change Management</w:t>
      </w:r>
    </w:p>
    <w:p w14:paraId="4B3F7CC5" w14:textId="77777777" w:rsidR="001D106C" w:rsidRPr="001D106C" w:rsidRDefault="001D106C" w:rsidP="001D106C">
      <w:pPr>
        <w:spacing w:line="360" w:lineRule="auto"/>
        <w:jc w:val="both"/>
        <w:rPr>
          <w:rFonts w:ascii="Arial" w:hAnsi="Arial" w:cs="Arial"/>
        </w:rPr>
      </w:pPr>
      <w:r w:rsidRPr="001D106C">
        <w:rPr>
          <w:rFonts w:ascii="Arial" w:hAnsi="Arial" w:cs="Arial"/>
        </w:rPr>
        <w:t>Utilising Kotter’s model, Wyndham could improve productivity by forming a specialised change management team at the middle management level, which facilitates employee engagement and guarantees effective communication across departments (Page and Schoder, 2019). Suggestions may encompass quarterly evaluations and a digital feedback mechanism, with a six-month pilot program in designated areas to evaluate adaptability.</w:t>
      </w:r>
    </w:p>
    <w:p w14:paraId="5DA26D21"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Strategic Refinement</w:t>
      </w:r>
    </w:p>
    <w:p w14:paraId="3B41637B" w14:textId="77777777" w:rsidR="001D106C" w:rsidRPr="001D106C" w:rsidRDefault="001D106C" w:rsidP="001D106C">
      <w:pPr>
        <w:spacing w:line="360" w:lineRule="auto"/>
        <w:jc w:val="both"/>
        <w:rPr>
          <w:rFonts w:ascii="Arial" w:hAnsi="Arial" w:cs="Arial"/>
        </w:rPr>
      </w:pPr>
      <w:r w:rsidRPr="001D106C">
        <w:rPr>
          <w:rFonts w:ascii="Arial" w:hAnsi="Arial" w:cs="Arial"/>
        </w:rPr>
        <w:t>To stay competitive, Wyndham can use Porter's competitive analysis to evaluate market changes in yearly reviews led by senior management. Implementing innovative technological solutions to improve guest satisfaction, similar to Hilton's approach, would be beneficial (Harrison, 2003). By prioritising sustainability through "green" property enhancements, Wyndham could better align with the market's transition towards eco-friendly travel, initially targeting high-traffic areas.</w:t>
      </w:r>
    </w:p>
    <w:p w14:paraId="56922D04" w14:textId="77777777" w:rsidR="001D106C" w:rsidRPr="001D106C" w:rsidRDefault="001D106C" w:rsidP="001D106C">
      <w:pPr>
        <w:spacing w:line="360" w:lineRule="auto"/>
        <w:jc w:val="both"/>
        <w:rPr>
          <w:rFonts w:ascii="Arial" w:hAnsi="Arial" w:cs="Arial"/>
        </w:rPr>
      </w:pPr>
      <w:r w:rsidRPr="001D106C">
        <w:rPr>
          <w:rFonts w:ascii="Arial" w:hAnsi="Arial" w:cs="Arial"/>
        </w:rPr>
        <w:t>•</w:t>
      </w:r>
      <w:r w:rsidRPr="001D106C">
        <w:rPr>
          <w:rFonts w:ascii="Arial" w:hAnsi="Arial" w:cs="Arial"/>
        </w:rPr>
        <w:tab/>
        <w:t>Leadership Focus</w:t>
      </w:r>
    </w:p>
    <w:p w14:paraId="40D5C94C" w14:textId="77777777" w:rsidR="001D106C" w:rsidRPr="001D106C" w:rsidRDefault="001D106C" w:rsidP="001D106C">
      <w:pPr>
        <w:spacing w:line="360" w:lineRule="auto"/>
        <w:jc w:val="both"/>
        <w:rPr>
          <w:rFonts w:ascii="Arial" w:hAnsi="Arial" w:cs="Arial"/>
        </w:rPr>
      </w:pPr>
      <w:r w:rsidRPr="001D106C">
        <w:rPr>
          <w:rFonts w:ascii="Arial" w:hAnsi="Arial" w:cs="Arial"/>
        </w:rPr>
        <w:t>Following Hemerling's people-first approach, Wyndham should encourage inclusive methods of leadership that put the needs of its staff and visitors first. By instilling a culture of continuous improvement, Wyndham can empower employees, which improves customer experience and operational efficiency (Hemerling, 2024).</w:t>
      </w:r>
    </w:p>
    <w:p w14:paraId="64983017" w14:textId="77777777" w:rsidR="001D106C" w:rsidRPr="001D106C" w:rsidRDefault="001D106C" w:rsidP="001D106C">
      <w:pPr>
        <w:spacing w:line="360" w:lineRule="auto"/>
        <w:jc w:val="both"/>
        <w:rPr>
          <w:rFonts w:ascii="Arial" w:hAnsi="Arial" w:cs="Arial"/>
        </w:rPr>
      </w:pPr>
    </w:p>
    <w:p w14:paraId="3D79C722" w14:textId="77777777" w:rsidR="001D106C" w:rsidRPr="001D106C" w:rsidRDefault="001D106C" w:rsidP="001D106C">
      <w:pPr>
        <w:spacing w:line="360" w:lineRule="auto"/>
        <w:jc w:val="both"/>
        <w:rPr>
          <w:rFonts w:ascii="Arial" w:hAnsi="Arial" w:cs="Arial"/>
        </w:rPr>
      </w:pPr>
    </w:p>
    <w:p w14:paraId="0FE66EDC" w14:textId="77777777" w:rsidR="001D106C" w:rsidRPr="001D106C" w:rsidRDefault="001D106C" w:rsidP="001D106C">
      <w:pPr>
        <w:spacing w:line="360" w:lineRule="auto"/>
        <w:jc w:val="both"/>
        <w:rPr>
          <w:rFonts w:ascii="Arial" w:hAnsi="Arial" w:cs="Arial"/>
        </w:rPr>
      </w:pPr>
    </w:p>
    <w:p w14:paraId="1637A718" w14:textId="77777777" w:rsidR="001D106C" w:rsidRPr="001D106C" w:rsidRDefault="001D106C" w:rsidP="001D106C">
      <w:pPr>
        <w:spacing w:line="360" w:lineRule="auto"/>
        <w:jc w:val="both"/>
        <w:rPr>
          <w:rFonts w:ascii="Arial" w:hAnsi="Arial" w:cs="Arial"/>
        </w:rPr>
      </w:pPr>
      <w:r w:rsidRPr="001D106C">
        <w:rPr>
          <w:rFonts w:ascii="Arial" w:hAnsi="Arial" w:cs="Arial"/>
        </w:rPr>
        <w:lastRenderedPageBreak/>
        <w:t>References</w:t>
      </w:r>
    </w:p>
    <w:p w14:paraId="70120DE5" w14:textId="01047F5A" w:rsidR="001D106C" w:rsidRPr="001D106C" w:rsidRDefault="001D106C" w:rsidP="001D106C">
      <w:pPr>
        <w:spacing w:line="360" w:lineRule="auto"/>
        <w:jc w:val="both"/>
        <w:rPr>
          <w:rFonts w:ascii="Arial" w:hAnsi="Arial" w:cs="Arial"/>
        </w:rPr>
      </w:pPr>
      <w:r w:rsidRPr="001D106C">
        <w:rPr>
          <w:rFonts w:ascii="Arial" w:hAnsi="Arial" w:cs="Arial"/>
        </w:rPr>
        <w:t>1.</w:t>
      </w:r>
      <w:r w:rsidRPr="001D106C">
        <w:rPr>
          <w:rFonts w:ascii="Arial" w:hAnsi="Arial" w:cs="Arial"/>
        </w:rPr>
        <w:tab/>
        <w:t xml:space="preserve">Adams, S., Kageyama, Y., and Barreda, A., </w:t>
      </w:r>
      <w:r w:rsidRPr="00342B0C">
        <w:rPr>
          <w:rFonts w:ascii="Arial" w:hAnsi="Arial" w:cs="Arial"/>
        </w:rPr>
        <w:t>(</w:t>
      </w:r>
      <w:r w:rsidRPr="001D106C">
        <w:rPr>
          <w:rFonts w:ascii="Arial" w:hAnsi="Arial" w:cs="Arial"/>
        </w:rPr>
        <w:t>2022</w:t>
      </w:r>
      <w:r w:rsidRPr="00342B0C">
        <w:rPr>
          <w:rFonts w:ascii="Arial" w:hAnsi="Arial" w:cs="Arial"/>
        </w:rPr>
        <w:t>)</w:t>
      </w:r>
      <w:r w:rsidRPr="001D106C">
        <w:rPr>
          <w:rFonts w:ascii="Arial" w:hAnsi="Arial" w:cs="Arial"/>
        </w:rPr>
        <w:t xml:space="preserve">. Sustainability Efforts in the Hotel Industry: A Systematic Literature Review. Journal of Tourism Management Research. https://doi.org/10.18488/31.v9i1.2921. </w:t>
      </w:r>
    </w:p>
    <w:p w14:paraId="7FAC03A6" w14:textId="346C42E5" w:rsidR="001D106C" w:rsidRPr="001D106C" w:rsidRDefault="001D106C" w:rsidP="001D106C">
      <w:pPr>
        <w:spacing w:line="360" w:lineRule="auto"/>
        <w:jc w:val="both"/>
        <w:rPr>
          <w:rFonts w:ascii="Arial" w:hAnsi="Arial" w:cs="Arial"/>
        </w:rPr>
      </w:pPr>
      <w:r w:rsidRPr="001D106C">
        <w:rPr>
          <w:rFonts w:ascii="Arial" w:hAnsi="Arial" w:cs="Arial"/>
        </w:rPr>
        <w:t>2.</w:t>
      </w:r>
      <w:r w:rsidRPr="001D106C">
        <w:rPr>
          <w:rFonts w:ascii="Arial" w:hAnsi="Arial" w:cs="Arial"/>
        </w:rPr>
        <w:tab/>
        <w:t xml:space="preserve">FRANCIS, H. and BAUM, T., </w:t>
      </w:r>
      <w:r w:rsidRPr="00342B0C">
        <w:rPr>
          <w:rFonts w:ascii="Arial" w:hAnsi="Arial" w:cs="Arial"/>
        </w:rPr>
        <w:t>(</w:t>
      </w:r>
      <w:r w:rsidRPr="001D106C">
        <w:rPr>
          <w:rFonts w:ascii="Arial" w:hAnsi="Arial" w:cs="Arial"/>
        </w:rPr>
        <w:t>2018</w:t>
      </w:r>
      <w:r w:rsidRPr="00342B0C">
        <w:rPr>
          <w:rFonts w:ascii="Arial" w:hAnsi="Arial" w:cs="Arial"/>
        </w:rPr>
        <w:t>)</w:t>
      </w:r>
      <w:r w:rsidRPr="001D106C">
        <w:rPr>
          <w:rFonts w:ascii="Arial" w:hAnsi="Arial" w:cs="Arial"/>
        </w:rPr>
        <w:t xml:space="preserve">. HR transformation within the hotel industry: building capacity for change. Worldwide Hospitality and Tourism Themes, 10(1), pp. 86-100. https://www.proquest.com/scholarly-journals/hr-transformation-within-hotel-industry-building/docview/2025804158/se-2?accountid=130472 </w:t>
      </w:r>
    </w:p>
    <w:p w14:paraId="0514E215" w14:textId="6A2544FE" w:rsidR="001D106C" w:rsidRPr="001D106C" w:rsidRDefault="001D106C" w:rsidP="001D106C">
      <w:pPr>
        <w:spacing w:line="360" w:lineRule="auto"/>
        <w:jc w:val="both"/>
        <w:rPr>
          <w:rFonts w:ascii="Arial" w:hAnsi="Arial" w:cs="Arial"/>
        </w:rPr>
      </w:pPr>
      <w:r w:rsidRPr="001D106C">
        <w:rPr>
          <w:rFonts w:ascii="Arial" w:hAnsi="Arial" w:cs="Arial"/>
        </w:rPr>
        <w:t>3.</w:t>
      </w:r>
      <w:r w:rsidRPr="001D106C">
        <w:rPr>
          <w:rFonts w:ascii="Arial" w:hAnsi="Arial" w:cs="Arial"/>
        </w:rPr>
        <w:tab/>
        <w:t xml:space="preserve">BHARWANI, S. and MATHEWS, D., </w:t>
      </w:r>
      <w:r w:rsidR="00730E17" w:rsidRPr="00342B0C">
        <w:rPr>
          <w:rFonts w:ascii="Arial" w:hAnsi="Arial" w:cs="Arial"/>
        </w:rPr>
        <w:t>(</w:t>
      </w:r>
      <w:r w:rsidRPr="001D106C">
        <w:rPr>
          <w:rFonts w:ascii="Arial" w:hAnsi="Arial" w:cs="Arial"/>
        </w:rPr>
        <w:t>2021</w:t>
      </w:r>
      <w:r w:rsidR="00730E17" w:rsidRPr="00342B0C">
        <w:rPr>
          <w:rFonts w:ascii="Arial" w:hAnsi="Arial" w:cs="Arial"/>
        </w:rPr>
        <w:t>)</w:t>
      </w:r>
      <w:r w:rsidRPr="001D106C">
        <w:rPr>
          <w:rFonts w:ascii="Arial" w:hAnsi="Arial" w:cs="Arial"/>
        </w:rPr>
        <w:t xml:space="preserve">. Post-pandemic pressures to pivot: tech transformations in luxury hotels. Worldwide Hospitality and Tourism Themes, 13(5), pp. 569-583. https://www.proquest.com/scholarly-journals/post-pandemic-pressures-pivot-tech/docview/2580315823/se-2?accountid=130472 </w:t>
      </w:r>
    </w:p>
    <w:p w14:paraId="0D31ECF7" w14:textId="019D5EBE" w:rsidR="001D106C" w:rsidRPr="001D106C" w:rsidRDefault="001D106C" w:rsidP="001D106C">
      <w:pPr>
        <w:spacing w:line="360" w:lineRule="auto"/>
        <w:jc w:val="both"/>
        <w:rPr>
          <w:rFonts w:ascii="Arial" w:hAnsi="Arial" w:cs="Arial"/>
        </w:rPr>
      </w:pPr>
      <w:r w:rsidRPr="001D106C">
        <w:rPr>
          <w:rFonts w:ascii="Arial" w:hAnsi="Arial" w:cs="Arial"/>
        </w:rPr>
        <w:t>4.</w:t>
      </w:r>
      <w:r w:rsidRPr="001D106C">
        <w:rPr>
          <w:rFonts w:ascii="Arial" w:hAnsi="Arial" w:cs="Arial"/>
        </w:rPr>
        <w:tab/>
        <w:t xml:space="preserve">Calveras, A., </w:t>
      </w:r>
      <w:r w:rsidR="00730E17" w:rsidRPr="00342B0C">
        <w:rPr>
          <w:rFonts w:ascii="Arial" w:hAnsi="Arial" w:cs="Arial"/>
        </w:rPr>
        <w:t>(</w:t>
      </w:r>
      <w:r w:rsidRPr="001D106C">
        <w:rPr>
          <w:rFonts w:ascii="Arial" w:hAnsi="Arial" w:cs="Arial"/>
        </w:rPr>
        <w:t>2007</w:t>
      </w:r>
      <w:r w:rsidR="00730E17" w:rsidRPr="00342B0C">
        <w:rPr>
          <w:rFonts w:ascii="Arial" w:hAnsi="Arial" w:cs="Arial"/>
        </w:rPr>
        <w:t>)</w:t>
      </w:r>
      <w:r w:rsidRPr="001D106C">
        <w:rPr>
          <w:rFonts w:ascii="Arial" w:hAnsi="Arial" w:cs="Arial"/>
        </w:rPr>
        <w:t>. Expansion of a hotel chain and environmental quality. Investigaciones</w:t>
      </w:r>
      <w:r w:rsidR="00730E17" w:rsidRPr="00342B0C">
        <w:rPr>
          <w:rFonts w:ascii="Arial" w:hAnsi="Arial" w:cs="Arial"/>
        </w:rPr>
        <w:t xml:space="preserve"> </w:t>
      </w:r>
      <w:r w:rsidRPr="001D106C">
        <w:rPr>
          <w:rFonts w:ascii="Arial" w:hAnsi="Arial" w:cs="Arial"/>
        </w:rPr>
        <w:t xml:space="preserve">económicas, 31(2), pp.263-295. https://www.redalyc.org/pdf/173/17331202.pdf </w:t>
      </w:r>
    </w:p>
    <w:p w14:paraId="4F5C6F16" w14:textId="2B274373" w:rsidR="001D106C" w:rsidRPr="001D106C" w:rsidRDefault="001D106C" w:rsidP="001D106C">
      <w:pPr>
        <w:spacing w:line="360" w:lineRule="auto"/>
        <w:jc w:val="both"/>
        <w:rPr>
          <w:rFonts w:ascii="Arial" w:hAnsi="Arial" w:cs="Arial"/>
        </w:rPr>
      </w:pPr>
      <w:r w:rsidRPr="001D106C">
        <w:rPr>
          <w:rFonts w:ascii="Arial" w:hAnsi="Arial" w:cs="Arial"/>
        </w:rPr>
        <w:t>5.</w:t>
      </w:r>
      <w:r w:rsidRPr="001D106C">
        <w:rPr>
          <w:rFonts w:ascii="Arial" w:hAnsi="Arial" w:cs="Arial"/>
        </w:rPr>
        <w:tab/>
        <w:t xml:space="preserve">Cvelbar, L.K. and Dwyer, L., </w:t>
      </w:r>
      <w:r w:rsidR="00730E17" w:rsidRPr="00342B0C">
        <w:rPr>
          <w:rFonts w:ascii="Arial" w:hAnsi="Arial" w:cs="Arial"/>
        </w:rPr>
        <w:t>(</w:t>
      </w:r>
      <w:r w:rsidRPr="001D106C">
        <w:rPr>
          <w:rFonts w:ascii="Arial" w:hAnsi="Arial" w:cs="Arial"/>
        </w:rPr>
        <w:t>2013</w:t>
      </w:r>
      <w:r w:rsidR="00730E17" w:rsidRPr="00342B0C">
        <w:rPr>
          <w:rFonts w:ascii="Arial" w:hAnsi="Arial" w:cs="Arial"/>
        </w:rPr>
        <w:t>)</w:t>
      </w:r>
      <w:r w:rsidRPr="001D106C">
        <w:rPr>
          <w:rFonts w:ascii="Arial" w:hAnsi="Arial" w:cs="Arial"/>
        </w:rPr>
        <w:t xml:space="preserve">. An important–performance analysis of sustainability factors for long-term strategy planning in Slovenian hotels. Journal of sustainable tourism, 21(3), pp.487-504. https://doi.org/10.1080/09669582.2012.713965 </w:t>
      </w:r>
    </w:p>
    <w:p w14:paraId="281E710A" w14:textId="45C45ECB" w:rsidR="001D106C" w:rsidRPr="001D106C" w:rsidRDefault="001D106C" w:rsidP="001D106C">
      <w:pPr>
        <w:spacing w:line="360" w:lineRule="auto"/>
        <w:jc w:val="both"/>
        <w:rPr>
          <w:rFonts w:ascii="Arial" w:hAnsi="Arial" w:cs="Arial"/>
        </w:rPr>
      </w:pPr>
      <w:r w:rsidRPr="001D106C">
        <w:rPr>
          <w:rFonts w:ascii="Arial" w:hAnsi="Arial" w:cs="Arial"/>
        </w:rPr>
        <w:t>6.</w:t>
      </w:r>
      <w:r w:rsidRPr="001D106C">
        <w:rPr>
          <w:rFonts w:ascii="Arial" w:hAnsi="Arial" w:cs="Arial"/>
        </w:rPr>
        <w:tab/>
        <w:t xml:space="preserve">Darvishmotevali, M., </w:t>
      </w:r>
      <w:r w:rsidR="00730E17" w:rsidRPr="00342B0C">
        <w:rPr>
          <w:rFonts w:ascii="Arial" w:hAnsi="Arial" w:cs="Arial"/>
        </w:rPr>
        <w:t>(</w:t>
      </w:r>
      <w:r w:rsidRPr="001D106C">
        <w:rPr>
          <w:rFonts w:ascii="Arial" w:hAnsi="Arial" w:cs="Arial"/>
        </w:rPr>
        <w:t>2019</w:t>
      </w:r>
      <w:r w:rsidR="00730E17" w:rsidRPr="00342B0C">
        <w:rPr>
          <w:rFonts w:ascii="Arial" w:hAnsi="Arial" w:cs="Arial"/>
        </w:rPr>
        <w:t>)</w:t>
      </w:r>
      <w:r w:rsidRPr="001D106C">
        <w:rPr>
          <w:rFonts w:ascii="Arial" w:hAnsi="Arial" w:cs="Arial"/>
        </w:rPr>
        <w:t xml:space="preserve">. Decentralisation and Innovative Behavior: The Moderating Role of Supervisor Support. Decision-Making &amp; Management Science eJournal. https://doi.org/10.33844/IJOL.2019.60204. </w:t>
      </w:r>
    </w:p>
    <w:p w14:paraId="32E36280" w14:textId="47EE03CD" w:rsidR="001D106C" w:rsidRPr="001D106C" w:rsidRDefault="001D106C" w:rsidP="001D106C">
      <w:pPr>
        <w:spacing w:line="360" w:lineRule="auto"/>
        <w:jc w:val="both"/>
        <w:rPr>
          <w:rFonts w:ascii="Arial" w:hAnsi="Arial" w:cs="Arial"/>
        </w:rPr>
      </w:pPr>
      <w:r w:rsidRPr="001D106C">
        <w:rPr>
          <w:rFonts w:ascii="Arial" w:hAnsi="Arial" w:cs="Arial"/>
        </w:rPr>
        <w:t>7.</w:t>
      </w:r>
      <w:r w:rsidRPr="001D106C">
        <w:rPr>
          <w:rFonts w:ascii="Arial" w:hAnsi="Arial" w:cs="Arial"/>
        </w:rPr>
        <w:tab/>
        <w:t xml:space="preserve">Gilmore, E., Fuller, D. and Jo, J., </w:t>
      </w:r>
      <w:r w:rsidR="00730E17" w:rsidRPr="00342B0C">
        <w:rPr>
          <w:rFonts w:ascii="Arial" w:hAnsi="Arial" w:cs="Arial"/>
        </w:rPr>
        <w:t>(</w:t>
      </w:r>
      <w:r w:rsidRPr="001D106C">
        <w:rPr>
          <w:rFonts w:ascii="Arial" w:hAnsi="Arial" w:cs="Arial"/>
        </w:rPr>
        <w:t>2014</w:t>
      </w:r>
      <w:r w:rsidR="00730E17" w:rsidRPr="00342B0C">
        <w:rPr>
          <w:rFonts w:ascii="Arial" w:hAnsi="Arial" w:cs="Arial"/>
        </w:rPr>
        <w:t>)</w:t>
      </w:r>
      <w:r w:rsidRPr="001D106C">
        <w:rPr>
          <w:rFonts w:ascii="Arial" w:hAnsi="Arial" w:cs="Arial"/>
        </w:rPr>
        <w:t xml:space="preserve">. Implementing sustainable business practices in a hotel and expanding green certification markets in the Midwestern United States. International Journal of Sustainable Building Technology and Urban Development, 5, pp. 119-122. https://doi.org/10.1080/2093761X.2014.883580. </w:t>
      </w:r>
    </w:p>
    <w:p w14:paraId="5846A87B" w14:textId="02C2F674" w:rsidR="001D106C" w:rsidRPr="001D106C" w:rsidRDefault="001D106C" w:rsidP="001D106C">
      <w:pPr>
        <w:spacing w:line="360" w:lineRule="auto"/>
        <w:jc w:val="both"/>
        <w:rPr>
          <w:rFonts w:ascii="Arial" w:hAnsi="Arial" w:cs="Arial"/>
        </w:rPr>
      </w:pPr>
      <w:r w:rsidRPr="001D106C">
        <w:rPr>
          <w:rFonts w:ascii="Arial" w:hAnsi="Arial" w:cs="Arial"/>
        </w:rPr>
        <w:t>8.</w:t>
      </w:r>
      <w:r w:rsidRPr="001D106C">
        <w:rPr>
          <w:rFonts w:ascii="Arial" w:hAnsi="Arial" w:cs="Arial"/>
        </w:rPr>
        <w:tab/>
        <w:t xml:space="preserve">Google Documentary, </w:t>
      </w:r>
      <w:r w:rsidR="00C627F1" w:rsidRPr="00342B0C">
        <w:rPr>
          <w:rFonts w:ascii="Arial" w:hAnsi="Arial" w:cs="Arial"/>
        </w:rPr>
        <w:t>(</w:t>
      </w:r>
      <w:r w:rsidRPr="001D106C">
        <w:rPr>
          <w:rFonts w:ascii="Arial" w:hAnsi="Arial" w:cs="Arial"/>
        </w:rPr>
        <w:t>2018</w:t>
      </w:r>
      <w:r w:rsidR="00C627F1" w:rsidRPr="00342B0C">
        <w:rPr>
          <w:rFonts w:ascii="Arial" w:hAnsi="Arial" w:cs="Arial"/>
        </w:rPr>
        <w:t>)</w:t>
      </w:r>
      <w:r w:rsidRPr="001D106C">
        <w:rPr>
          <w:rFonts w:ascii="Arial" w:hAnsi="Arial" w:cs="Arial"/>
        </w:rPr>
        <w:t xml:space="preserve">. Managing Organizational Behavior. YouTube. https://www.youtube.com/watch?v=fUylP0r7QxY </w:t>
      </w:r>
    </w:p>
    <w:p w14:paraId="29BA6AAD" w14:textId="0E57A34E" w:rsidR="001D106C" w:rsidRPr="001D106C" w:rsidRDefault="001D106C" w:rsidP="001D106C">
      <w:pPr>
        <w:spacing w:line="360" w:lineRule="auto"/>
        <w:jc w:val="both"/>
        <w:rPr>
          <w:rFonts w:ascii="Arial" w:hAnsi="Arial" w:cs="Arial"/>
        </w:rPr>
      </w:pPr>
      <w:r w:rsidRPr="001D106C">
        <w:rPr>
          <w:rFonts w:ascii="Arial" w:hAnsi="Arial" w:cs="Arial"/>
        </w:rPr>
        <w:t>9.</w:t>
      </w:r>
      <w:r w:rsidRPr="001D106C">
        <w:rPr>
          <w:rFonts w:ascii="Arial" w:hAnsi="Arial" w:cs="Arial"/>
        </w:rPr>
        <w:tab/>
        <w:t xml:space="preserve">Russo, G.M., Tomei, P.A., Linhares, A.B.J. and Santos, A.M., </w:t>
      </w:r>
      <w:r w:rsidR="00C627F1" w:rsidRPr="00342B0C">
        <w:rPr>
          <w:rFonts w:ascii="Arial" w:hAnsi="Arial" w:cs="Arial"/>
        </w:rPr>
        <w:t>(</w:t>
      </w:r>
      <w:r w:rsidRPr="001D106C">
        <w:rPr>
          <w:rFonts w:ascii="Arial" w:hAnsi="Arial" w:cs="Arial"/>
        </w:rPr>
        <w:t>2013</w:t>
      </w:r>
      <w:r w:rsidR="00C627F1" w:rsidRPr="00342B0C">
        <w:rPr>
          <w:rFonts w:ascii="Arial" w:hAnsi="Arial" w:cs="Arial"/>
        </w:rPr>
        <w:t>)</w:t>
      </w:r>
      <w:r w:rsidRPr="001D106C">
        <w:rPr>
          <w:rFonts w:ascii="Arial" w:hAnsi="Arial" w:cs="Arial"/>
        </w:rPr>
        <w:t xml:space="preserve">. Correlation between organizational culture and compensation strategies using </w:t>
      </w:r>
      <w:r w:rsidRPr="001D106C">
        <w:rPr>
          <w:rFonts w:ascii="Arial" w:hAnsi="Arial" w:cs="Arial"/>
        </w:rPr>
        <w:lastRenderedPageBreak/>
        <w:t xml:space="preserve">Charles Handy's typology. Performance Improvement, 52(7), pp.13-21. https://research-ebsco-com.ezproxy.uwtsd.ac.uk/linkprocessor/plink?id=802ea637-c9a0-35b5-8be8-d89380f9c69e. </w:t>
      </w:r>
    </w:p>
    <w:p w14:paraId="6F9B2937" w14:textId="24193C2F" w:rsidR="001D106C" w:rsidRPr="001D106C" w:rsidRDefault="001D106C" w:rsidP="001D106C">
      <w:pPr>
        <w:spacing w:line="360" w:lineRule="auto"/>
        <w:jc w:val="both"/>
        <w:rPr>
          <w:rFonts w:ascii="Arial" w:hAnsi="Arial" w:cs="Arial"/>
        </w:rPr>
      </w:pPr>
      <w:r w:rsidRPr="001D106C">
        <w:rPr>
          <w:rFonts w:ascii="Arial" w:hAnsi="Arial" w:cs="Arial"/>
        </w:rPr>
        <w:t>10.</w:t>
      </w:r>
      <w:r w:rsidRPr="001D106C">
        <w:rPr>
          <w:rFonts w:ascii="Arial" w:hAnsi="Arial" w:cs="Arial"/>
        </w:rPr>
        <w:tab/>
        <w:t xml:space="preserve">Hemerling, J., </w:t>
      </w:r>
      <w:r w:rsidR="00C627F1" w:rsidRPr="00342B0C">
        <w:rPr>
          <w:rFonts w:ascii="Arial" w:hAnsi="Arial" w:cs="Arial"/>
        </w:rPr>
        <w:t>(</w:t>
      </w:r>
      <w:r w:rsidRPr="001D106C">
        <w:rPr>
          <w:rFonts w:ascii="Arial" w:hAnsi="Arial" w:cs="Arial"/>
        </w:rPr>
        <w:t>2024</w:t>
      </w:r>
      <w:r w:rsidR="00C627F1" w:rsidRPr="00342B0C">
        <w:rPr>
          <w:rFonts w:ascii="Arial" w:hAnsi="Arial" w:cs="Arial"/>
        </w:rPr>
        <w:t>)</w:t>
      </w:r>
      <w:r w:rsidRPr="001D106C">
        <w:rPr>
          <w:rFonts w:ascii="Arial" w:hAnsi="Arial" w:cs="Arial"/>
        </w:rPr>
        <w:t xml:space="preserve">. 5 Ways to Lead in an Era of Constant Change. https://nationalcioreview.com/video/jim-hemerling-5-ways-to-lead-in-an-era-of-constant-change/ </w:t>
      </w:r>
    </w:p>
    <w:p w14:paraId="2E890FED" w14:textId="48DE815E" w:rsidR="001D106C" w:rsidRPr="001D106C" w:rsidRDefault="001D106C" w:rsidP="001D106C">
      <w:pPr>
        <w:spacing w:line="360" w:lineRule="auto"/>
        <w:jc w:val="both"/>
        <w:rPr>
          <w:rFonts w:ascii="Arial" w:hAnsi="Arial" w:cs="Arial"/>
        </w:rPr>
      </w:pPr>
      <w:r w:rsidRPr="001D106C">
        <w:rPr>
          <w:rFonts w:ascii="Arial" w:hAnsi="Arial" w:cs="Arial"/>
        </w:rPr>
        <w:t>11.</w:t>
      </w:r>
      <w:r w:rsidRPr="001D106C">
        <w:rPr>
          <w:rFonts w:ascii="Arial" w:hAnsi="Arial" w:cs="Arial"/>
        </w:rPr>
        <w:tab/>
        <w:t xml:space="preserve">Hurley, J., Birch, S. and Eyles, J., </w:t>
      </w:r>
      <w:r w:rsidR="002F0DE3" w:rsidRPr="00342B0C">
        <w:rPr>
          <w:rFonts w:ascii="Arial" w:hAnsi="Arial" w:cs="Arial"/>
        </w:rPr>
        <w:t>(</w:t>
      </w:r>
      <w:r w:rsidRPr="001D106C">
        <w:rPr>
          <w:rFonts w:ascii="Arial" w:hAnsi="Arial" w:cs="Arial"/>
        </w:rPr>
        <w:t>1995</w:t>
      </w:r>
      <w:r w:rsidR="002F0DE3" w:rsidRPr="00342B0C">
        <w:rPr>
          <w:rFonts w:ascii="Arial" w:hAnsi="Arial" w:cs="Arial"/>
        </w:rPr>
        <w:t>)</w:t>
      </w:r>
      <w:r w:rsidRPr="001D106C">
        <w:rPr>
          <w:rFonts w:ascii="Arial" w:hAnsi="Arial" w:cs="Arial"/>
        </w:rPr>
        <w:t xml:space="preserve">. Geographically-decentralized planning and management in health care: some informational issues and their implications for efficiency.. Social science &amp; medicine, 41 1, pp. 3-11. https://doi.org/10.1016/0277-9536(94)00283-Y. </w:t>
      </w:r>
    </w:p>
    <w:p w14:paraId="5B34D522" w14:textId="311D7849" w:rsidR="001D106C" w:rsidRPr="001D106C" w:rsidRDefault="001D106C" w:rsidP="001D106C">
      <w:pPr>
        <w:spacing w:line="360" w:lineRule="auto"/>
        <w:jc w:val="both"/>
        <w:rPr>
          <w:rFonts w:ascii="Arial" w:hAnsi="Arial" w:cs="Arial"/>
        </w:rPr>
      </w:pPr>
      <w:r w:rsidRPr="001D106C">
        <w:rPr>
          <w:rFonts w:ascii="Arial" w:hAnsi="Arial" w:cs="Arial"/>
        </w:rPr>
        <w:t>12.</w:t>
      </w:r>
      <w:r w:rsidRPr="001D106C">
        <w:rPr>
          <w:rFonts w:ascii="Arial" w:hAnsi="Arial" w:cs="Arial"/>
        </w:rPr>
        <w:tab/>
        <w:t xml:space="preserve">Kotter, J.P., </w:t>
      </w:r>
      <w:r w:rsidR="002F0DE3" w:rsidRPr="00342B0C">
        <w:rPr>
          <w:rFonts w:ascii="Arial" w:hAnsi="Arial" w:cs="Arial"/>
        </w:rPr>
        <w:t>(</w:t>
      </w:r>
      <w:r w:rsidRPr="001D106C">
        <w:rPr>
          <w:rFonts w:ascii="Arial" w:hAnsi="Arial" w:cs="Arial"/>
        </w:rPr>
        <w:t>1995</w:t>
      </w:r>
      <w:r w:rsidR="002F0DE3" w:rsidRPr="00342B0C">
        <w:rPr>
          <w:rFonts w:ascii="Arial" w:hAnsi="Arial" w:cs="Arial"/>
        </w:rPr>
        <w:t>)</w:t>
      </w:r>
      <w:r w:rsidRPr="001D106C">
        <w:rPr>
          <w:rFonts w:ascii="Arial" w:hAnsi="Arial" w:cs="Arial"/>
        </w:rPr>
        <w:t xml:space="preserve">. Leading change: Why transformation efforts fail, Harvard business review. Boston: Harvard Business Review, pp. 59–67. https://research-ebsco-com.ezproxy.uwtsd.ac.uk/linkprocessor/plink?id=bd4a5d7e-895f-3286-897b-536179f6e83f </w:t>
      </w:r>
    </w:p>
    <w:p w14:paraId="14E1519F" w14:textId="546AB59C" w:rsidR="001D106C" w:rsidRPr="001D106C" w:rsidRDefault="001D106C" w:rsidP="001D106C">
      <w:pPr>
        <w:spacing w:line="360" w:lineRule="auto"/>
        <w:jc w:val="both"/>
        <w:rPr>
          <w:rFonts w:ascii="Arial" w:hAnsi="Arial" w:cs="Arial"/>
        </w:rPr>
      </w:pPr>
      <w:r w:rsidRPr="001D106C">
        <w:rPr>
          <w:rFonts w:ascii="Arial" w:hAnsi="Arial" w:cs="Arial"/>
        </w:rPr>
        <w:t>13.</w:t>
      </w:r>
      <w:r w:rsidRPr="001D106C">
        <w:rPr>
          <w:rFonts w:ascii="Arial" w:hAnsi="Arial" w:cs="Arial"/>
        </w:rPr>
        <w:tab/>
        <w:t xml:space="preserve">LAI, I.K.W. and JOSE WENG, C.W., </w:t>
      </w:r>
      <w:r w:rsidR="002F0DE3" w:rsidRPr="00342B0C">
        <w:rPr>
          <w:rFonts w:ascii="Arial" w:hAnsi="Arial" w:cs="Arial"/>
        </w:rPr>
        <w:t>(</w:t>
      </w:r>
      <w:r w:rsidRPr="001D106C">
        <w:rPr>
          <w:rFonts w:ascii="Arial" w:hAnsi="Arial" w:cs="Arial"/>
        </w:rPr>
        <w:t>2020</w:t>
      </w:r>
      <w:r w:rsidR="002F0DE3" w:rsidRPr="00342B0C">
        <w:rPr>
          <w:rFonts w:ascii="Arial" w:hAnsi="Arial" w:cs="Arial"/>
        </w:rPr>
        <w:t>)</w:t>
      </w:r>
      <w:r w:rsidRPr="001D106C">
        <w:rPr>
          <w:rFonts w:ascii="Arial" w:hAnsi="Arial" w:cs="Arial"/>
        </w:rPr>
        <w:t xml:space="preserve">. Comparing crisis management practices in the hotel industry between initial and pandemic stages of COVID-19. International Journal of Contemporary Hospitality Management, 32(10), pp. 3135-3156. https://www.proquest.com/scholarly-journals/comparing-crisis-management-practices-hotel/docview/2498991092/se-2?accountid=130472 </w:t>
      </w:r>
    </w:p>
    <w:p w14:paraId="2304F331" w14:textId="74B5C695" w:rsidR="001D106C" w:rsidRPr="001D106C" w:rsidRDefault="001D106C" w:rsidP="001D106C">
      <w:pPr>
        <w:spacing w:line="360" w:lineRule="auto"/>
        <w:jc w:val="both"/>
        <w:rPr>
          <w:rFonts w:ascii="Arial" w:hAnsi="Arial" w:cs="Arial"/>
        </w:rPr>
      </w:pPr>
      <w:r w:rsidRPr="001D106C">
        <w:rPr>
          <w:rFonts w:ascii="Arial" w:hAnsi="Arial" w:cs="Arial"/>
        </w:rPr>
        <w:t>14.</w:t>
      </w:r>
      <w:r w:rsidRPr="001D106C">
        <w:rPr>
          <w:rFonts w:ascii="Arial" w:hAnsi="Arial" w:cs="Arial"/>
        </w:rPr>
        <w:tab/>
        <w:t xml:space="preserve">Legrand, W., Chen, J.S., and Laeis, G.C.M., </w:t>
      </w:r>
      <w:r w:rsidR="002F0DE3" w:rsidRPr="00342B0C">
        <w:rPr>
          <w:rFonts w:ascii="Arial" w:hAnsi="Arial" w:cs="Arial"/>
        </w:rPr>
        <w:t>(</w:t>
      </w:r>
      <w:r w:rsidRPr="001D106C">
        <w:rPr>
          <w:rFonts w:ascii="Arial" w:hAnsi="Arial" w:cs="Arial"/>
        </w:rPr>
        <w:t>2022</w:t>
      </w:r>
      <w:r w:rsidR="002F0DE3" w:rsidRPr="00342B0C">
        <w:rPr>
          <w:rFonts w:ascii="Arial" w:hAnsi="Arial" w:cs="Arial"/>
        </w:rPr>
        <w:t>)</w:t>
      </w:r>
      <w:r w:rsidRPr="001D106C">
        <w:rPr>
          <w:rFonts w:ascii="Arial" w:hAnsi="Arial" w:cs="Arial"/>
        </w:rPr>
        <w:t xml:space="preserve">. Sustainability in the Hospitality Industry: Principles of Sustainable Operations (4th ed.). Routledge. https://doi.org/10.4324/9781003081128 </w:t>
      </w:r>
    </w:p>
    <w:p w14:paraId="0FF25BA5" w14:textId="454D88A0" w:rsidR="001D106C" w:rsidRPr="001D106C" w:rsidRDefault="001D106C" w:rsidP="001D106C">
      <w:pPr>
        <w:spacing w:line="360" w:lineRule="auto"/>
        <w:jc w:val="both"/>
        <w:rPr>
          <w:rFonts w:ascii="Arial" w:hAnsi="Arial" w:cs="Arial"/>
        </w:rPr>
      </w:pPr>
      <w:r w:rsidRPr="001D106C">
        <w:rPr>
          <w:rFonts w:ascii="Arial" w:hAnsi="Arial" w:cs="Arial"/>
        </w:rPr>
        <w:t>15.</w:t>
      </w:r>
      <w:r w:rsidRPr="001D106C">
        <w:rPr>
          <w:rFonts w:ascii="Arial" w:hAnsi="Arial" w:cs="Arial"/>
        </w:rPr>
        <w:tab/>
        <w:t xml:space="preserve">Locke, E.A. and Latham, G.P., </w:t>
      </w:r>
      <w:r w:rsidR="002F0DE3" w:rsidRPr="00342B0C">
        <w:rPr>
          <w:rFonts w:ascii="Arial" w:hAnsi="Arial" w:cs="Arial"/>
        </w:rPr>
        <w:t>(</w:t>
      </w:r>
      <w:r w:rsidRPr="001D106C">
        <w:rPr>
          <w:rFonts w:ascii="Arial" w:hAnsi="Arial" w:cs="Arial"/>
        </w:rPr>
        <w:t>2002</w:t>
      </w:r>
      <w:r w:rsidR="002F0DE3" w:rsidRPr="00342B0C">
        <w:rPr>
          <w:rFonts w:ascii="Arial" w:hAnsi="Arial" w:cs="Arial"/>
        </w:rPr>
        <w:t>)</w:t>
      </w:r>
      <w:r w:rsidRPr="001D106C">
        <w:rPr>
          <w:rFonts w:ascii="Arial" w:hAnsi="Arial" w:cs="Arial"/>
        </w:rPr>
        <w:t xml:space="preserve">. ‘Building a practically useful theory of goal setting and task motivation: A 35-year odyssey’, American Psychologist, 57(9), pp. 705–717. https://doi.org/10.1037/0003-066X.57.9.705.   </w:t>
      </w:r>
    </w:p>
    <w:p w14:paraId="5FB28F4C" w14:textId="1D6DA0F6" w:rsidR="001D106C" w:rsidRPr="001D106C" w:rsidRDefault="001D106C" w:rsidP="001D106C">
      <w:pPr>
        <w:spacing w:line="360" w:lineRule="auto"/>
        <w:jc w:val="both"/>
        <w:rPr>
          <w:rFonts w:ascii="Arial" w:hAnsi="Arial" w:cs="Arial"/>
        </w:rPr>
      </w:pPr>
      <w:r w:rsidRPr="001D106C">
        <w:rPr>
          <w:rFonts w:ascii="Arial" w:hAnsi="Arial" w:cs="Arial"/>
        </w:rPr>
        <w:t>16.</w:t>
      </w:r>
      <w:r w:rsidRPr="001D106C">
        <w:rPr>
          <w:rFonts w:ascii="Arial" w:hAnsi="Arial" w:cs="Arial"/>
        </w:rPr>
        <w:tab/>
        <w:t xml:space="preserve">Lopez-Gamero, M.D., Pertusa-Ortega, E.M., Molina-Azorin, J.F., Tari-Guillo, J.J. and Pereira-Moliner, J., </w:t>
      </w:r>
      <w:r w:rsidR="00520CFE" w:rsidRPr="00342B0C">
        <w:rPr>
          <w:rFonts w:ascii="Arial" w:hAnsi="Arial" w:cs="Arial"/>
        </w:rPr>
        <w:t>(</w:t>
      </w:r>
      <w:r w:rsidRPr="001D106C">
        <w:rPr>
          <w:rFonts w:ascii="Arial" w:hAnsi="Arial" w:cs="Arial"/>
        </w:rPr>
        <w:t>2016</w:t>
      </w:r>
      <w:r w:rsidR="00520CFE" w:rsidRPr="00342B0C">
        <w:rPr>
          <w:rFonts w:ascii="Arial" w:hAnsi="Arial" w:cs="Arial"/>
        </w:rPr>
        <w:t>)</w:t>
      </w:r>
      <w:r w:rsidRPr="001D106C">
        <w:rPr>
          <w:rFonts w:ascii="Arial" w:hAnsi="Arial" w:cs="Arial"/>
        </w:rPr>
        <w:t xml:space="preserve">. Organizational antecedents and competitive consequences of environmental proactivity in the hotel industry. Journal of Sustainable Tourism, 24(7), pp.949-970. https://doi.org/10.1080/09669582.2015.1101124 </w:t>
      </w:r>
    </w:p>
    <w:p w14:paraId="603045F4" w14:textId="4475E0F9" w:rsidR="001D106C" w:rsidRPr="001D106C" w:rsidRDefault="001D106C" w:rsidP="001D106C">
      <w:pPr>
        <w:spacing w:line="360" w:lineRule="auto"/>
        <w:jc w:val="both"/>
        <w:rPr>
          <w:rFonts w:ascii="Arial" w:hAnsi="Arial" w:cs="Arial"/>
        </w:rPr>
      </w:pPr>
      <w:r w:rsidRPr="001D106C">
        <w:rPr>
          <w:rFonts w:ascii="Arial" w:hAnsi="Arial" w:cs="Arial"/>
        </w:rPr>
        <w:lastRenderedPageBreak/>
        <w:t>17.</w:t>
      </w:r>
      <w:r w:rsidRPr="001D106C">
        <w:rPr>
          <w:rFonts w:ascii="Arial" w:hAnsi="Arial" w:cs="Arial"/>
        </w:rPr>
        <w:tab/>
        <w:t xml:space="preserve">MINTZBERG, H., </w:t>
      </w:r>
      <w:r w:rsidR="00520CFE" w:rsidRPr="00342B0C">
        <w:rPr>
          <w:rFonts w:ascii="Arial" w:hAnsi="Arial" w:cs="Arial"/>
        </w:rPr>
        <w:t>(</w:t>
      </w:r>
      <w:r w:rsidRPr="001D106C">
        <w:rPr>
          <w:rFonts w:ascii="Arial" w:hAnsi="Arial" w:cs="Arial"/>
        </w:rPr>
        <w:t>1980</w:t>
      </w:r>
      <w:r w:rsidR="00520CFE" w:rsidRPr="00342B0C">
        <w:rPr>
          <w:rFonts w:ascii="Arial" w:hAnsi="Arial" w:cs="Arial"/>
        </w:rPr>
        <w:t>)</w:t>
      </w:r>
      <w:r w:rsidRPr="001D106C">
        <w:rPr>
          <w:rFonts w:ascii="Arial" w:hAnsi="Arial" w:cs="Arial"/>
        </w:rPr>
        <w:t xml:space="preserve">. STRUCTURE IN 5'S: A SYNTHESIS OF THE RESEARCH ON ORGANIZATION DESIGN. Management Science (pre-1986), 26(3), pp. 322. https://www.proquest.com/scholarly-journals/structure-5s-synthesis-research-on-organization/docview/205849936/se-2?accountid=130472 </w:t>
      </w:r>
    </w:p>
    <w:p w14:paraId="36F87855" w14:textId="560CF0AF" w:rsidR="001D106C" w:rsidRPr="001D106C" w:rsidRDefault="001D106C" w:rsidP="001D106C">
      <w:pPr>
        <w:spacing w:line="360" w:lineRule="auto"/>
        <w:jc w:val="both"/>
        <w:rPr>
          <w:rFonts w:ascii="Arial" w:hAnsi="Arial" w:cs="Arial"/>
        </w:rPr>
      </w:pPr>
      <w:r w:rsidRPr="001D106C">
        <w:rPr>
          <w:rFonts w:ascii="Arial" w:hAnsi="Arial" w:cs="Arial"/>
        </w:rPr>
        <w:t>18.</w:t>
      </w:r>
      <w:r w:rsidRPr="001D106C">
        <w:rPr>
          <w:rFonts w:ascii="Arial" w:hAnsi="Arial" w:cs="Arial"/>
        </w:rPr>
        <w:tab/>
        <w:t xml:space="preserve">PAGE, L. and SCHODER, J., </w:t>
      </w:r>
      <w:r w:rsidR="00520CFE" w:rsidRPr="00342B0C">
        <w:rPr>
          <w:rFonts w:ascii="Arial" w:hAnsi="Arial" w:cs="Arial"/>
        </w:rPr>
        <w:t>(</w:t>
      </w:r>
      <w:r w:rsidRPr="001D106C">
        <w:rPr>
          <w:rFonts w:ascii="Arial" w:hAnsi="Arial" w:cs="Arial"/>
        </w:rPr>
        <w:t>2019</w:t>
      </w:r>
      <w:r w:rsidR="00520CFE" w:rsidRPr="00342B0C">
        <w:rPr>
          <w:rFonts w:ascii="Arial" w:hAnsi="Arial" w:cs="Arial"/>
        </w:rPr>
        <w:t>)</w:t>
      </w:r>
      <w:r w:rsidRPr="001D106C">
        <w:rPr>
          <w:rFonts w:ascii="Arial" w:hAnsi="Arial" w:cs="Arial"/>
        </w:rPr>
        <w:t xml:space="preserve">. Making change last: leadership is the key. The Journal of business strategy, 40(2), pp. 32-41. https://www.proquest.com/scholarly-journals/making-change-last-leadership-is-key/docview/2229635099/se-2?accountid=130472 </w:t>
      </w:r>
    </w:p>
    <w:p w14:paraId="752D34C9" w14:textId="756A294B" w:rsidR="001D106C" w:rsidRPr="001D106C" w:rsidRDefault="001D106C" w:rsidP="001D106C">
      <w:pPr>
        <w:spacing w:line="360" w:lineRule="auto"/>
        <w:jc w:val="both"/>
        <w:rPr>
          <w:rFonts w:ascii="Arial" w:hAnsi="Arial" w:cs="Arial"/>
        </w:rPr>
      </w:pPr>
      <w:r w:rsidRPr="001D106C">
        <w:rPr>
          <w:rFonts w:ascii="Arial" w:hAnsi="Arial" w:cs="Arial"/>
        </w:rPr>
        <w:t>19.</w:t>
      </w:r>
      <w:r w:rsidRPr="001D106C">
        <w:rPr>
          <w:rFonts w:ascii="Arial" w:hAnsi="Arial" w:cs="Arial"/>
        </w:rPr>
        <w:tab/>
        <w:t xml:space="preserve">Nahm, A., Vonderembse, M. and Koufteros, X., </w:t>
      </w:r>
      <w:r w:rsidR="00520CFE" w:rsidRPr="00342B0C">
        <w:rPr>
          <w:rFonts w:ascii="Arial" w:hAnsi="Arial" w:cs="Arial"/>
        </w:rPr>
        <w:t>(</w:t>
      </w:r>
      <w:r w:rsidRPr="001D106C">
        <w:rPr>
          <w:rFonts w:ascii="Arial" w:hAnsi="Arial" w:cs="Arial"/>
        </w:rPr>
        <w:t>2004</w:t>
      </w:r>
      <w:r w:rsidR="00520CFE" w:rsidRPr="00342B0C">
        <w:rPr>
          <w:rFonts w:ascii="Arial" w:hAnsi="Arial" w:cs="Arial"/>
        </w:rPr>
        <w:t>)</w:t>
      </w:r>
      <w:r w:rsidRPr="001D106C">
        <w:rPr>
          <w:rFonts w:ascii="Arial" w:hAnsi="Arial" w:cs="Arial"/>
        </w:rPr>
        <w:t xml:space="preserve">. The Impact of Organizational Culture on Time-Based Manufacturing and Performance. Decis. Sci., 35, pp. 579-607. https://doi.org/10.1111/j.1540-5915.2004.02660.x. </w:t>
      </w:r>
    </w:p>
    <w:p w14:paraId="624EF00A" w14:textId="32B371DF" w:rsidR="001D106C" w:rsidRPr="001D106C" w:rsidRDefault="001D106C" w:rsidP="001D106C">
      <w:pPr>
        <w:spacing w:line="360" w:lineRule="auto"/>
        <w:jc w:val="both"/>
        <w:rPr>
          <w:rFonts w:ascii="Arial" w:hAnsi="Arial" w:cs="Arial"/>
        </w:rPr>
      </w:pPr>
      <w:r w:rsidRPr="001D106C">
        <w:rPr>
          <w:rFonts w:ascii="Arial" w:hAnsi="Arial" w:cs="Arial"/>
        </w:rPr>
        <w:t>20.</w:t>
      </w:r>
      <w:r w:rsidRPr="001D106C">
        <w:rPr>
          <w:rFonts w:ascii="Arial" w:hAnsi="Arial" w:cs="Arial"/>
        </w:rPr>
        <w:tab/>
        <w:t xml:space="preserve">Organimi, </w:t>
      </w:r>
      <w:r w:rsidR="00520CFE" w:rsidRPr="00342B0C">
        <w:rPr>
          <w:rFonts w:ascii="Arial" w:hAnsi="Arial" w:cs="Arial"/>
        </w:rPr>
        <w:t>(</w:t>
      </w:r>
      <w:r w:rsidRPr="001D106C">
        <w:rPr>
          <w:rFonts w:ascii="Arial" w:hAnsi="Arial" w:cs="Arial"/>
        </w:rPr>
        <w:t>2024</w:t>
      </w:r>
      <w:r w:rsidR="00520CFE" w:rsidRPr="00342B0C">
        <w:rPr>
          <w:rFonts w:ascii="Arial" w:hAnsi="Arial" w:cs="Arial"/>
        </w:rPr>
        <w:t>)</w:t>
      </w:r>
      <w:r w:rsidRPr="001D106C">
        <w:rPr>
          <w:rFonts w:ascii="Arial" w:hAnsi="Arial" w:cs="Arial"/>
        </w:rPr>
        <w:t>. Wyndham Hotels &amp; Resorts’ Organizational Structure, Organimi. https://www.organimi.com/organizational-structures/wyndham-hotels-and-resorts/</w:t>
      </w:r>
    </w:p>
    <w:p w14:paraId="095B9491" w14:textId="77777777" w:rsidR="001D106C" w:rsidRPr="001D106C" w:rsidRDefault="001D106C" w:rsidP="001D106C">
      <w:pPr>
        <w:spacing w:line="360" w:lineRule="auto"/>
        <w:jc w:val="both"/>
        <w:rPr>
          <w:rFonts w:ascii="Arial" w:hAnsi="Arial" w:cs="Arial"/>
        </w:rPr>
      </w:pPr>
      <w:r w:rsidRPr="001D106C">
        <w:rPr>
          <w:rFonts w:ascii="Arial" w:hAnsi="Arial" w:cs="Arial"/>
        </w:rPr>
        <w:t>21.</w:t>
      </w:r>
      <w:r w:rsidRPr="001D106C">
        <w:rPr>
          <w:rFonts w:ascii="Arial" w:hAnsi="Arial" w:cs="Arial"/>
        </w:rPr>
        <w:tab/>
        <w:t xml:space="preserve">Pérez-Pineda, F., Alcaraz, J. M. and Colón, C. (2017) ‘Creating sustainable value in the hospitality industry: a (critical) multi-stakeholder study in the Dominican Republic’, Journal of Sustainable Tourism, 25(11), pp. 1633–1649. https://doi-org.ezproxy.uwtsd.ac.uk/10.1080/09669582.2017.1297451     </w:t>
      </w:r>
    </w:p>
    <w:p w14:paraId="195F257E" w14:textId="70091983" w:rsidR="001D106C" w:rsidRPr="001D106C" w:rsidRDefault="001D106C" w:rsidP="001D106C">
      <w:pPr>
        <w:spacing w:line="360" w:lineRule="auto"/>
        <w:jc w:val="both"/>
        <w:rPr>
          <w:rFonts w:ascii="Arial" w:hAnsi="Arial" w:cs="Arial"/>
        </w:rPr>
      </w:pPr>
      <w:r w:rsidRPr="001D106C">
        <w:rPr>
          <w:rFonts w:ascii="Arial" w:hAnsi="Arial" w:cs="Arial"/>
        </w:rPr>
        <w:t>22.</w:t>
      </w:r>
      <w:r w:rsidRPr="001D106C">
        <w:rPr>
          <w:rFonts w:ascii="Arial" w:hAnsi="Arial" w:cs="Arial"/>
        </w:rPr>
        <w:tab/>
        <w:t xml:space="preserve">Preziosi, M., Acampora, A., Merli, R. and Lucchetti, M., </w:t>
      </w:r>
      <w:r w:rsidR="00520CFE" w:rsidRPr="00342B0C">
        <w:rPr>
          <w:rFonts w:ascii="Arial" w:hAnsi="Arial" w:cs="Arial"/>
        </w:rPr>
        <w:t>(</w:t>
      </w:r>
      <w:r w:rsidRPr="001D106C">
        <w:rPr>
          <w:rFonts w:ascii="Arial" w:hAnsi="Arial" w:cs="Arial"/>
        </w:rPr>
        <w:t>2021</w:t>
      </w:r>
      <w:r w:rsidR="00520CFE" w:rsidRPr="00342B0C">
        <w:rPr>
          <w:rFonts w:ascii="Arial" w:hAnsi="Arial" w:cs="Arial"/>
        </w:rPr>
        <w:t>)</w:t>
      </w:r>
      <w:r w:rsidRPr="001D106C">
        <w:rPr>
          <w:rFonts w:ascii="Arial" w:hAnsi="Arial" w:cs="Arial"/>
        </w:rPr>
        <w:t>. Eco-Label Certification, Hotel Performance, and Customer Satisfaction: Analysis of a Case Study and Future Developments. , 2, pp. 94. https://doi.org/10.5038/9781955833035.</w:t>
      </w:r>
    </w:p>
    <w:p w14:paraId="722E09B1" w14:textId="4BC46E98" w:rsidR="001D106C" w:rsidRPr="001D106C" w:rsidRDefault="001D106C" w:rsidP="001D106C">
      <w:pPr>
        <w:spacing w:line="360" w:lineRule="auto"/>
        <w:jc w:val="both"/>
        <w:rPr>
          <w:rFonts w:ascii="Arial" w:hAnsi="Arial" w:cs="Arial"/>
        </w:rPr>
      </w:pPr>
      <w:r w:rsidRPr="001D106C">
        <w:rPr>
          <w:rFonts w:ascii="Arial" w:hAnsi="Arial" w:cs="Arial"/>
        </w:rPr>
        <w:t>23.</w:t>
      </w:r>
      <w:r w:rsidRPr="001D106C">
        <w:rPr>
          <w:rFonts w:ascii="Arial" w:hAnsi="Arial" w:cs="Arial"/>
        </w:rPr>
        <w:tab/>
        <w:t xml:space="preserve">Harrison, J.S., </w:t>
      </w:r>
      <w:r w:rsidR="00520CFE" w:rsidRPr="00342B0C">
        <w:rPr>
          <w:rFonts w:ascii="Arial" w:hAnsi="Arial" w:cs="Arial"/>
        </w:rPr>
        <w:t>(</w:t>
      </w:r>
      <w:r w:rsidRPr="001D106C">
        <w:rPr>
          <w:rFonts w:ascii="Arial" w:hAnsi="Arial" w:cs="Arial"/>
        </w:rPr>
        <w:t>2003</w:t>
      </w:r>
      <w:r w:rsidR="00520CFE" w:rsidRPr="00342B0C">
        <w:rPr>
          <w:rFonts w:ascii="Arial" w:hAnsi="Arial" w:cs="Arial"/>
        </w:rPr>
        <w:t>).</w:t>
      </w:r>
      <w:r w:rsidRPr="001D106C">
        <w:rPr>
          <w:rFonts w:ascii="Arial" w:hAnsi="Arial" w:cs="Arial"/>
        </w:rPr>
        <w:t xml:space="preserve"> Strategic analysis for the hospitality industry. Cornell Hotel and Restaurant Administration Quarterly, 44(2), pp.139-152. https://doi.org/10.1177/0010880403442013 </w:t>
      </w:r>
    </w:p>
    <w:p w14:paraId="6B36D0F8" w14:textId="546E1698" w:rsidR="001D106C" w:rsidRPr="001D106C" w:rsidRDefault="001D106C" w:rsidP="001D106C">
      <w:pPr>
        <w:spacing w:line="360" w:lineRule="auto"/>
        <w:jc w:val="both"/>
        <w:rPr>
          <w:rFonts w:ascii="Arial" w:hAnsi="Arial" w:cs="Arial"/>
        </w:rPr>
      </w:pPr>
      <w:r w:rsidRPr="001D106C">
        <w:rPr>
          <w:rFonts w:ascii="Arial" w:hAnsi="Arial" w:cs="Arial"/>
        </w:rPr>
        <w:t>24.</w:t>
      </w:r>
      <w:r w:rsidRPr="001D106C">
        <w:rPr>
          <w:rFonts w:ascii="Arial" w:hAnsi="Arial" w:cs="Arial"/>
        </w:rPr>
        <w:tab/>
        <w:t xml:space="preserve">Santos, R., Méxas, M., Meiriño, M., Sampaio, M. and Costa, H., </w:t>
      </w:r>
      <w:r w:rsidR="00520CFE" w:rsidRPr="00342B0C">
        <w:rPr>
          <w:rFonts w:ascii="Arial" w:hAnsi="Arial" w:cs="Arial"/>
        </w:rPr>
        <w:t>(</w:t>
      </w:r>
      <w:r w:rsidRPr="001D106C">
        <w:rPr>
          <w:rFonts w:ascii="Arial" w:hAnsi="Arial" w:cs="Arial"/>
        </w:rPr>
        <w:t>2020</w:t>
      </w:r>
      <w:r w:rsidR="00520CFE" w:rsidRPr="00342B0C">
        <w:rPr>
          <w:rFonts w:ascii="Arial" w:hAnsi="Arial" w:cs="Arial"/>
        </w:rPr>
        <w:t>)</w:t>
      </w:r>
      <w:r w:rsidRPr="001D106C">
        <w:rPr>
          <w:rFonts w:ascii="Arial" w:hAnsi="Arial" w:cs="Arial"/>
        </w:rPr>
        <w:t xml:space="preserve">. Criteria for assessing a sustainable hotel business. Journal of Cleaner Production, 262, pp. 121347. https://doi.org/10.1016/j.jclepro.2020.121347. </w:t>
      </w:r>
    </w:p>
    <w:p w14:paraId="30FBBC18" w14:textId="3F8A8678" w:rsidR="001D106C" w:rsidRPr="001D106C" w:rsidRDefault="001D106C" w:rsidP="001D106C">
      <w:pPr>
        <w:spacing w:line="360" w:lineRule="auto"/>
        <w:jc w:val="both"/>
        <w:rPr>
          <w:rFonts w:ascii="Arial" w:hAnsi="Arial" w:cs="Arial"/>
        </w:rPr>
      </w:pPr>
      <w:r w:rsidRPr="001D106C">
        <w:rPr>
          <w:rFonts w:ascii="Arial" w:hAnsi="Arial" w:cs="Arial"/>
        </w:rPr>
        <w:t>25.</w:t>
      </w:r>
      <w:r w:rsidRPr="001D106C">
        <w:rPr>
          <w:rFonts w:ascii="Arial" w:hAnsi="Arial" w:cs="Arial"/>
        </w:rPr>
        <w:tab/>
        <w:t xml:space="preserve">WILKINS, A.L., </w:t>
      </w:r>
      <w:r w:rsidR="00520CFE" w:rsidRPr="00342B0C">
        <w:rPr>
          <w:rFonts w:ascii="Arial" w:hAnsi="Arial" w:cs="Arial"/>
        </w:rPr>
        <w:t>(</w:t>
      </w:r>
      <w:r w:rsidRPr="001D106C">
        <w:rPr>
          <w:rFonts w:ascii="Arial" w:hAnsi="Arial" w:cs="Arial"/>
        </w:rPr>
        <w:t>1985</w:t>
      </w:r>
      <w:r w:rsidR="00520CFE" w:rsidRPr="00342B0C">
        <w:rPr>
          <w:rFonts w:ascii="Arial" w:hAnsi="Arial" w:cs="Arial"/>
        </w:rPr>
        <w:t>)</w:t>
      </w:r>
      <w:r w:rsidRPr="001D106C">
        <w:rPr>
          <w:rFonts w:ascii="Arial" w:hAnsi="Arial" w:cs="Arial"/>
        </w:rPr>
        <w:t xml:space="preserve">. Book Review. Human Resource Management (pre-1986), 24(3), pp. 370. https://www.proquest.com/scholarly-journals/book-review/docview/223836839/se-2?accountid=130472 </w:t>
      </w:r>
    </w:p>
    <w:p w14:paraId="446BC441" w14:textId="2C04A679" w:rsidR="001D106C" w:rsidRPr="001D106C" w:rsidRDefault="001D106C" w:rsidP="001D106C">
      <w:pPr>
        <w:spacing w:line="360" w:lineRule="auto"/>
        <w:jc w:val="both"/>
        <w:rPr>
          <w:rFonts w:ascii="Arial" w:hAnsi="Arial" w:cs="Arial"/>
        </w:rPr>
      </w:pPr>
      <w:r w:rsidRPr="001D106C">
        <w:rPr>
          <w:rFonts w:ascii="Arial" w:hAnsi="Arial" w:cs="Arial"/>
        </w:rPr>
        <w:lastRenderedPageBreak/>
        <w:t>26.</w:t>
      </w:r>
      <w:r w:rsidRPr="001D106C">
        <w:rPr>
          <w:rFonts w:ascii="Arial" w:hAnsi="Arial" w:cs="Arial"/>
        </w:rPr>
        <w:tab/>
        <w:t xml:space="preserve">Shin, H. and Kang, J., </w:t>
      </w:r>
      <w:r w:rsidR="00520CFE" w:rsidRPr="00342B0C">
        <w:rPr>
          <w:rFonts w:ascii="Arial" w:hAnsi="Arial" w:cs="Arial"/>
        </w:rPr>
        <w:t>(</w:t>
      </w:r>
      <w:r w:rsidRPr="001D106C">
        <w:rPr>
          <w:rFonts w:ascii="Arial" w:hAnsi="Arial" w:cs="Arial"/>
        </w:rPr>
        <w:t>2020</w:t>
      </w:r>
      <w:r w:rsidR="00520CFE" w:rsidRPr="00342B0C">
        <w:rPr>
          <w:rFonts w:ascii="Arial" w:hAnsi="Arial" w:cs="Arial"/>
        </w:rPr>
        <w:t>)</w:t>
      </w:r>
      <w:r w:rsidRPr="001D106C">
        <w:rPr>
          <w:rFonts w:ascii="Arial" w:hAnsi="Arial" w:cs="Arial"/>
        </w:rPr>
        <w:t xml:space="preserve">. Reducing perceived health risk to attract hotel customers in the COVID-19 pandemic era: Focused on technology innovation for social distancing and cleanliness. International Journal of Hospitality Management, 91, pp. 102664 - 102664. https://doi.org/10.1016/j.ijhm.2020.102664. </w:t>
      </w:r>
    </w:p>
    <w:p w14:paraId="7554BBCA" w14:textId="62737BDD" w:rsidR="001D106C" w:rsidRPr="001D106C" w:rsidRDefault="001D106C" w:rsidP="001D106C">
      <w:pPr>
        <w:spacing w:line="360" w:lineRule="auto"/>
        <w:jc w:val="both"/>
        <w:rPr>
          <w:rFonts w:ascii="Arial" w:hAnsi="Arial" w:cs="Arial"/>
        </w:rPr>
      </w:pPr>
      <w:r w:rsidRPr="001D106C">
        <w:rPr>
          <w:rFonts w:ascii="Arial" w:hAnsi="Arial" w:cs="Arial"/>
        </w:rPr>
        <w:t>27.</w:t>
      </w:r>
      <w:r w:rsidRPr="001D106C">
        <w:rPr>
          <w:rFonts w:ascii="Arial" w:hAnsi="Arial" w:cs="Arial"/>
        </w:rPr>
        <w:tab/>
        <w:t xml:space="preserve">Business school 101, </w:t>
      </w:r>
      <w:r w:rsidR="00520CFE" w:rsidRPr="00342B0C">
        <w:rPr>
          <w:rFonts w:ascii="Arial" w:hAnsi="Arial" w:cs="Arial"/>
        </w:rPr>
        <w:t>(</w:t>
      </w:r>
      <w:r w:rsidRPr="001D106C">
        <w:rPr>
          <w:rFonts w:ascii="Arial" w:hAnsi="Arial" w:cs="Arial"/>
        </w:rPr>
        <w:t>2023</w:t>
      </w:r>
      <w:r w:rsidR="00520CFE" w:rsidRPr="00342B0C">
        <w:rPr>
          <w:rFonts w:ascii="Arial" w:hAnsi="Arial" w:cs="Arial"/>
        </w:rPr>
        <w:t>)</w:t>
      </w:r>
      <w:r w:rsidRPr="001D106C">
        <w:rPr>
          <w:rFonts w:ascii="Arial" w:hAnsi="Arial" w:cs="Arial"/>
        </w:rPr>
        <w:t>. What is Strategic Management? | From A Business Professor</w:t>
      </w:r>
    </w:p>
    <w:p w14:paraId="4EB52DD7" w14:textId="4627DAD2" w:rsidR="001D106C" w:rsidRPr="001D106C" w:rsidRDefault="001D106C" w:rsidP="00342B0C">
      <w:pPr>
        <w:spacing w:line="360" w:lineRule="auto"/>
        <w:jc w:val="both"/>
        <w:rPr>
          <w:rFonts w:ascii="Arial" w:hAnsi="Arial" w:cs="Arial"/>
        </w:rPr>
      </w:pPr>
      <w:r w:rsidRPr="001D106C">
        <w:rPr>
          <w:rFonts w:ascii="Arial" w:hAnsi="Arial" w:cs="Arial"/>
        </w:rPr>
        <w:t>28.</w:t>
      </w:r>
      <w:r w:rsidRPr="001D106C">
        <w:rPr>
          <w:rFonts w:ascii="Arial" w:hAnsi="Arial" w:cs="Arial"/>
        </w:rPr>
        <w:tab/>
        <w:t xml:space="preserve">Sztorc, M., </w:t>
      </w:r>
      <w:r w:rsidR="00520CFE" w:rsidRPr="00342B0C">
        <w:rPr>
          <w:rFonts w:ascii="Arial" w:hAnsi="Arial" w:cs="Arial"/>
        </w:rPr>
        <w:t>(</w:t>
      </w:r>
      <w:r w:rsidRPr="001D106C">
        <w:rPr>
          <w:rFonts w:ascii="Arial" w:hAnsi="Arial" w:cs="Arial"/>
        </w:rPr>
        <w:t>2021</w:t>
      </w:r>
      <w:r w:rsidR="00520CFE" w:rsidRPr="00342B0C">
        <w:rPr>
          <w:rFonts w:ascii="Arial" w:hAnsi="Arial" w:cs="Arial"/>
        </w:rPr>
        <w:t>)</w:t>
      </w:r>
      <w:r w:rsidRPr="001D106C">
        <w:rPr>
          <w:rFonts w:ascii="Arial" w:hAnsi="Arial" w:cs="Arial"/>
        </w:rPr>
        <w:t xml:space="preserve">. Autonomous Enterprise as a Model of Hotel Operation in the Aftermath of the COVID-19 Pandemic. Sustainability. https://doi.org/10.3390/su14010097. </w:t>
      </w:r>
    </w:p>
    <w:p w14:paraId="17AC7BE2" w14:textId="34FE3E63" w:rsidR="001D106C" w:rsidRPr="001D106C" w:rsidRDefault="001D106C" w:rsidP="001D106C">
      <w:pPr>
        <w:spacing w:line="360" w:lineRule="auto"/>
        <w:jc w:val="both"/>
        <w:rPr>
          <w:rFonts w:ascii="Arial" w:hAnsi="Arial" w:cs="Arial"/>
        </w:rPr>
      </w:pPr>
      <w:r w:rsidRPr="001D106C">
        <w:rPr>
          <w:rFonts w:ascii="Arial" w:hAnsi="Arial" w:cs="Arial"/>
        </w:rPr>
        <w:t>29.</w:t>
      </w:r>
      <w:r w:rsidRPr="001D106C">
        <w:rPr>
          <w:rFonts w:ascii="Arial" w:hAnsi="Arial" w:cs="Arial"/>
        </w:rPr>
        <w:tab/>
        <w:t xml:space="preserve">TAVITIYAMAN, P., HANQIN, Q.Z. and QU, H., </w:t>
      </w:r>
      <w:r w:rsidR="00520CFE" w:rsidRPr="00342B0C">
        <w:rPr>
          <w:rFonts w:ascii="Arial" w:hAnsi="Arial" w:cs="Arial"/>
        </w:rPr>
        <w:t>(</w:t>
      </w:r>
      <w:r w:rsidRPr="001D106C">
        <w:rPr>
          <w:rFonts w:ascii="Arial" w:hAnsi="Arial" w:cs="Arial"/>
        </w:rPr>
        <w:t>2012</w:t>
      </w:r>
      <w:r w:rsidR="00520CFE" w:rsidRPr="00342B0C">
        <w:rPr>
          <w:rFonts w:ascii="Arial" w:hAnsi="Arial" w:cs="Arial"/>
        </w:rPr>
        <w:t>)</w:t>
      </w:r>
      <w:r w:rsidRPr="001D106C">
        <w:rPr>
          <w:rFonts w:ascii="Arial" w:hAnsi="Arial" w:cs="Arial"/>
        </w:rPr>
        <w:t xml:space="preserve">. The effect of competitive strategies and organizational structure on hotel performance. International Journal of Contemporary Hospitality Management, 24(1), pp. 140-159. https://www.proquest.com/scholarly-journals/effect-competitive-strategies-organizational/docview/918506034/se-2?accountid=130472 </w:t>
      </w:r>
    </w:p>
    <w:p w14:paraId="4F193A5C" w14:textId="1F2664B5" w:rsidR="001D106C" w:rsidRPr="001D106C" w:rsidRDefault="001D106C" w:rsidP="001D106C">
      <w:pPr>
        <w:spacing w:line="360" w:lineRule="auto"/>
        <w:jc w:val="both"/>
        <w:rPr>
          <w:rFonts w:ascii="Arial" w:hAnsi="Arial" w:cs="Arial"/>
        </w:rPr>
      </w:pPr>
      <w:r w:rsidRPr="001D106C">
        <w:rPr>
          <w:rFonts w:ascii="Arial" w:hAnsi="Arial" w:cs="Arial"/>
        </w:rPr>
        <w:t>30.</w:t>
      </w:r>
      <w:r w:rsidRPr="001D106C">
        <w:rPr>
          <w:rFonts w:ascii="Arial" w:hAnsi="Arial" w:cs="Arial"/>
        </w:rPr>
        <w:tab/>
        <w:t xml:space="preserve">Wyndham Corporate, </w:t>
      </w:r>
      <w:r w:rsidR="00520CFE" w:rsidRPr="00342B0C">
        <w:rPr>
          <w:rFonts w:ascii="Arial" w:hAnsi="Arial" w:cs="Arial"/>
        </w:rPr>
        <w:t>(</w:t>
      </w:r>
      <w:r w:rsidRPr="001D106C">
        <w:rPr>
          <w:rFonts w:ascii="Arial" w:hAnsi="Arial" w:cs="Arial"/>
        </w:rPr>
        <w:t>2024</w:t>
      </w:r>
      <w:r w:rsidR="00520CFE" w:rsidRPr="00342B0C">
        <w:rPr>
          <w:rFonts w:ascii="Arial" w:hAnsi="Arial" w:cs="Arial"/>
        </w:rPr>
        <w:t>)</w:t>
      </w:r>
      <w:r w:rsidRPr="001D106C">
        <w:rPr>
          <w:rFonts w:ascii="Arial" w:hAnsi="Arial" w:cs="Arial"/>
        </w:rPr>
        <w:t>. We Are Wyndham Hotels &amp; Resorts. About Us. https://corporate.wyndhamhotels.com/about-us /</w:t>
      </w:r>
    </w:p>
    <w:p w14:paraId="15E0AA2D" w14:textId="4BD1E8DB" w:rsidR="001D106C" w:rsidRPr="001D106C" w:rsidRDefault="001D106C" w:rsidP="001D106C">
      <w:pPr>
        <w:spacing w:line="360" w:lineRule="auto"/>
        <w:jc w:val="both"/>
        <w:rPr>
          <w:rFonts w:ascii="Arial" w:hAnsi="Arial" w:cs="Arial"/>
        </w:rPr>
      </w:pPr>
      <w:r w:rsidRPr="001D106C">
        <w:rPr>
          <w:rFonts w:ascii="Arial" w:hAnsi="Arial" w:cs="Arial"/>
        </w:rPr>
        <w:t>31.</w:t>
      </w:r>
      <w:r w:rsidRPr="001D106C">
        <w:rPr>
          <w:rFonts w:ascii="Arial" w:hAnsi="Arial" w:cs="Arial"/>
        </w:rPr>
        <w:tab/>
        <w:t xml:space="preserve">Wyndham Hotels &amp; Resorts, </w:t>
      </w:r>
      <w:r w:rsidR="00520CFE" w:rsidRPr="00342B0C">
        <w:rPr>
          <w:rFonts w:ascii="Arial" w:hAnsi="Arial" w:cs="Arial"/>
        </w:rPr>
        <w:t>(</w:t>
      </w:r>
      <w:r w:rsidRPr="001D106C">
        <w:rPr>
          <w:rFonts w:ascii="Arial" w:hAnsi="Arial" w:cs="Arial"/>
        </w:rPr>
        <w:t>2023</w:t>
      </w:r>
      <w:r w:rsidR="00520CFE" w:rsidRPr="00342B0C">
        <w:rPr>
          <w:rFonts w:ascii="Arial" w:hAnsi="Arial" w:cs="Arial"/>
        </w:rPr>
        <w:t>)</w:t>
      </w:r>
      <w:r w:rsidRPr="001D106C">
        <w:rPr>
          <w:rFonts w:ascii="Arial" w:hAnsi="Arial" w:cs="Arial"/>
        </w:rPr>
        <w:t xml:space="preserve">. Diversity, Equity and Inclusion at Wyndham Hotels &amp; Resorts. https://careers.wyndhamhotels.com/content/Diversity-Equity-Inclusion/?locale=en_US </w:t>
      </w:r>
    </w:p>
    <w:p w14:paraId="66ED3026" w14:textId="77777777" w:rsidR="001D106C" w:rsidRPr="001D106C" w:rsidRDefault="001D106C" w:rsidP="001D106C">
      <w:pPr>
        <w:spacing w:line="360" w:lineRule="auto"/>
        <w:jc w:val="both"/>
        <w:rPr>
          <w:rFonts w:ascii="Arial" w:hAnsi="Arial" w:cs="Arial"/>
        </w:rPr>
      </w:pPr>
    </w:p>
    <w:p w14:paraId="345D1DAA" w14:textId="77777777" w:rsidR="001D106C" w:rsidRPr="001D106C" w:rsidRDefault="001D106C" w:rsidP="001D106C">
      <w:pPr>
        <w:spacing w:line="360" w:lineRule="auto"/>
        <w:jc w:val="both"/>
        <w:rPr>
          <w:rFonts w:ascii="Arial" w:hAnsi="Arial" w:cs="Arial"/>
        </w:rPr>
      </w:pPr>
    </w:p>
    <w:p w14:paraId="12C18B11" w14:textId="77777777" w:rsidR="001D106C" w:rsidRPr="001D106C" w:rsidRDefault="001D106C" w:rsidP="001D106C">
      <w:pPr>
        <w:spacing w:line="360" w:lineRule="auto"/>
        <w:jc w:val="both"/>
        <w:rPr>
          <w:rFonts w:ascii="Arial" w:hAnsi="Arial" w:cs="Arial"/>
        </w:rPr>
      </w:pPr>
    </w:p>
    <w:sectPr w:rsidR="001D106C" w:rsidRPr="001D1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360"/>
    <w:rsid w:val="001D106C"/>
    <w:rsid w:val="002F0DE3"/>
    <w:rsid w:val="00307360"/>
    <w:rsid w:val="00342B0C"/>
    <w:rsid w:val="00520CFE"/>
    <w:rsid w:val="005D7B4F"/>
    <w:rsid w:val="006C7716"/>
    <w:rsid w:val="00730E17"/>
    <w:rsid w:val="008C6284"/>
    <w:rsid w:val="009C106F"/>
    <w:rsid w:val="00AD2742"/>
    <w:rsid w:val="00C62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B8012"/>
  <w15:chartTrackingRefBased/>
  <w15:docId w15:val="{7E46A79A-4AF6-4ED7-8299-55CBF6E69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3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73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73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73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73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7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7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7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7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73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73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73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73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7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7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7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7360"/>
    <w:rPr>
      <w:rFonts w:eastAsiaTheme="majorEastAsia" w:cstheme="majorBidi"/>
      <w:color w:val="272727" w:themeColor="text1" w:themeTint="D8"/>
    </w:rPr>
  </w:style>
  <w:style w:type="paragraph" w:styleId="Title">
    <w:name w:val="Title"/>
    <w:basedOn w:val="Normal"/>
    <w:next w:val="Normal"/>
    <w:link w:val="TitleChar"/>
    <w:uiPriority w:val="10"/>
    <w:qFormat/>
    <w:rsid w:val="00307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7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7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7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7360"/>
    <w:pPr>
      <w:spacing w:before="160"/>
      <w:jc w:val="center"/>
    </w:pPr>
    <w:rPr>
      <w:i/>
      <w:iCs/>
      <w:color w:val="404040" w:themeColor="text1" w:themeTint="BF"/>
    </w:rPr>
  </w:style>
  <w:style w:type="character" w:customStyle="1" w:styleId="QuoteChar">
    <w:name w:val="Quote Char"/>
    <w:basedOn w:val="DefaultParagraphFont"/>
    <w:link w:val="Quote"/>
    <w:uiPriority w:val="29"/>
    <w:rsid w:val="00307360"/>
    <w:rPr>
      <w:i/>
      <w:iCs/>
      <w:color w:val="404040" w:themeColor="text1" w:themeTint="BF"/>
    </w:rPr>
  </w:style>
  <w:style w:type="paragraph" w:styleId="ListParagraph">
    <w:name w:val="List Paragraph"/>
    <w:basedOn w:val="Normal"/>
    <w:uiPriority w:val="34"/>
    <w:qFormat/>
    <w:rsid w:val="00307360"/>
    <w:pPr>
      <w:ind w:left="720"/>
      <w:contextualSpacing/>
    </w:pPr>
  </w:style>
  <w:style w:type="character" w:styleId="IntenseEmphasis">
    <w:name w:val="Intense Emphasis"/>
    <w:basedOn w:val="DefaultParagraphFont"/>
    <w:uiPriority w:val="21"/>
    <w:qFormat/>
    <w:rsid w:val="00307360"/>
    <w:rPr>
      <w:i/>
      <w:iCs/>
      <w:color w:val="0F4761" w:themeColor="accent1" w:themeShade="BF"/>
    </w:rPr>
  </w:style>
  <w:style w:type="paragraph" w:styleId="IntenseQuote">
    <w:name w:val="Intense Quote"/>
    <w:basedOn w:val="Normal"/>
    <w:next w:val="Normal"/>
    <w:link w:val="IntenseQuoteChar"/>
    <w:uiPriority w:val="30"/>
    <w:qFormat/>
    <w:rsid w:val="003073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7360"/>
    <w:rPr>
      <w:i/>
      <w:iCs/>
      <w:color w:val="0F4761" w:themeColor="accent1" w:themeShade="BF"/>
    </w:rPr>
  </w:style>
  <w:style w:type="character" w:styleId="IntenseReference">
    <w:name w:val="Intense Reference"/>
    <w:basedOn w:val="DefaultParagraphFont"/>
    <w:uiPriority w:val="32"/>
    <w:qFormat/>
    <w:rsid w:val="003073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4903150">
      <w:bodyDiv w:val="1"/>
      <w:marLeft w:val="0"/>
      <w:marRight w:val="0"/>
      <w:marTop w:val="0"/>
      <w:marBottom w:val="0"/>
      <w:divBdr>
        <w:top w:val="none" w:sz="0" w:space="0" w:color="auto"/>
        <w:left w:val="none" w:sz="0" w:space="0" w:color="auto"/>
        <w:bottom w:val="none" w:sz="0" w:space="0" w:color="auto"/>
        <w:right w:val="none" w:sz="0" w:space="0" w:color="auto"/>
      </w:divBdr>
    </w:div>
    <w:div w:id="151573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3740</Words>
  <Characters>21319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Postelnicu (2223852)</dc:creator>
  <cp:keywords/>
  <dc:description/>
  <cp:lastModifiedBy>Bianca Postelnicu (2223852)</cp:lastModifiedBy>
  <cp:revision>9</cp:revision>
  <dcterms:created xsi:type="dcterms:W3CDTF">2024-11-08T22:09:00Z</dcterms:created>
  <dcterms:modified xsi:type="dcterms:W3CDTF">2024-11-08T22:27:00Z</dcterms:modified>
</cp:coreProperties>
</file>