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1EE69" w14:textId="4F6ABC5F" w:rsidR="00E067A8" w:rsidRPr="005E52C9" w:rsidRDefault="00ED5964" w:rsidP="00D36252">
      <w:pPr>
        <w:spacing w:line="360" w:lineRule="auto"/>
      </w:pPr>
      <w:r w:rsidRPr="005E52C9">
        <w:rPr>
          <w:noProof/>
          <w:lang w:eastAsia="en-GB"/>
        </w:rPr>
        <w:drawing>
          <wp:inline distT="0" distB="0" distL="0" distR="0" wp14:anchorId="530F8B6F" wp14:editId="0917BBC0">
            <wp:extent cx="3257550" cy="1449948"/>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2946" cy="1456801"/>
                    </a:xfrm>
                    <a:prstGeom prst="rect">
                      <a:avLst/>
                    </a:prstGeom>
                    <a:noFill/>
                  </pic:spPr>
                </pic:pic>
              </a:graphicData>
            </a:graphic>
          </wp:inline>
        </w:drawing>
      </w:r>
    </w:p>
    <w:p w14:paraId="24AA416E" w14:textId="77777777" w:rsidR="00ED5964" w:rsidRDefault="00ED5964" w:rsidP="00D36252">
      <w:pPr>
        <w:spacing w:line="360" w:lineRule="auto"/>
      </w:pPr>
    </w:p>
    <w:p w14:paraId="6E8A6141" w14:textId="77777777" w:rsidR="00FE463E" w:rsidRPr="005E52C9" w:rsidRDefault="00FE463E" w:rsidP="00D36252">
      <w:pPr>
        <w:spacing w:line="360" w:lineRule="auto"/>
      </w:pPr>
    </w:p>
    <w:p w14:paraId="168F467C" w14:textId="77777777" w:rsidR="006A5CFC" w:rsidRPr="005E52C9" w:rsidRDefault="006A5CFC" w:rsidP="00D36252">
      <w:pPr>
        <w:spacing w:line="360" w:lineRule="auto"/>
      </w:pPr>
    </w:p>
    <w:tbl>
      <w:tblPr>
        <w:tblStyle w:val="TableGrid"/>
        <w:tblW w:w="0" w:type="auto"/>
        <w:tblLook w:val="04A0" w:firstRow="1" w:lastRow="0" w:firstColumn="1" w:lastColumn="0" w:noHBand="0" w:noVBand="1"/>
      </w:tblPr>
      <w:tblGrid>
        <w:gridCol w:w="2376"/>
        <w:gridCol w:w="6836"/>
      </w:tblGrid>
      <w:tr w:rsidR="00443225" w:rsidRPr="00B46578" w14:paraId="7349ACB9" w14:textId="77777777" w:rsidTr="006123BF">
        <w:trPr>
          <w:trHeight w:val="726"/>
        </w:trPr>
        <w:tc>
          <w:tcPr>
            <w:tcW w:w="2376" w:type="dxa"/>
          </w:tcPr>
          <w:p w14:paraId="6795BB36" w14:textId="3D75D438" w:rsidR="00443225" w:rsidRPr="006123BF" w:rsidRDefault="00443225" w:rsidP="00FE463E">
            <w:pPr>
              <w:spacing w:line="360" w:lineRule="auto"/>
              <w:rPr>
                <w:rFonts w:asciiTheme="minorBidi" w:hAnsiTheme="minorBidi"/>
                <w:sz w:val="32"/>
                <w:szCs w:val="32"/>
              </w:rPr>
            </w:pPr>
            <w:r w:rsidRPr="006123BF">
              <w:rPr>
                <w:rFonts w:asciiTheme="minorBidi" w:hAnsiTheme="minorBidi"/>
                <w:sz w:val="32"/>
                <w:szCs w:val="32"/>
              </w:rPr>
              <w:t>Name:</w:t>
            </w:r>
          </w:p>
        </w:tc>
        <w:tc>
          <w:tcPr>
            <w:tcW w:w="6836" w:type="dxa"/>
          </w:tcPr>
          <w:p w14:paraId="763BE83F" w14:textId="6C5B3405" w:rsidR="00443225" w:rsidRPr="00FE463E" w:rsidRDefault="00443225" w:rsidP="00FE463E">
            <w:pPr>
              <w:spacing w:line="360" w:lineRule="auto"/>
              <w:jc w:val="both"/>
              <w:rPr>
                <w:rFonts w:asciiTheme="minorBidi" w:hAnsiTheme="minorBidi"/>
                <w:sz w:val="25"/>
                <w:szCs w:val="25"/>
              </w:rPr>
            </w:pPr>
            <w:r w:rsidRPr="00FE463E">
              <w:rPr>
                <w:rFonts w:asciiTheme="minorBidi" w:hAnsiTheme="minorBidi"/>
                <w:sz w:val="25"/>
                <w:szCs w:val="25"/>
              </w:rPr>
              <w:t>MOUSUMI AKTHER</w:t>
            </w:r>
          </w:p>
        </w:tc>
      </w:tr>
      <w:tr w:rsidR="00443225" w:rsidRPr="00B46578" w14:paraId="0D8CD353" w14:textId="77777777" w:rsidTr="006123BF">
        <w:trPr>
          <w:trHeight w:val="726"/>
        </w:trPr>
        <w:tc>
          <w:tcPr>
            <w:tcW w:w="2376" w:type="dxa"/>
          </w:tcPr>
          <w:p w14:paraId="6C742E83" w14:textId="2B6D0984" w:rsidR="00443225" w:rsidRPr="006123BF" w:rsidRDefault="00443225" w:rsidP="00FE463E">
            <w:pPr>
              <w:spacing w:line="360" w:lineRule="auto"/>
              <w:rPr>
                <w:rFonts w:asciiTheme="minorBidi" w:hAnsiTheme="minorBidi"/>
                <w:sz w:val="32"/>
                <w:szCs w:val="32"/>
              </w:rPr>
            </w:pPr>
            <w:r w:rsidRPr="006123BF">
              <w:rPr>
                <w:rFonts w:asciiTheme="minorBidi" w:hAnsiTheme="minorBidi"/>
                <w:sz w:val="32"/>
                <w:szCs w:val="32"/>
              </w:rPr>
              <w:t>Student ID:</w:t>
            </w:r>
          </w:p>
        </w:tc>
        <w:tc>
          <w:tcPr>
            <w:tcW w:w="6836" w:type="dxa"/>
          </w:tcPr>
          <w:p w14:paraId="40295ACA" w14:textId="1D5DC03A" w:rsidR="00443225" w:rsidRPr="00FE463E" w:rsidRDefault="00443225" w:rsidP="00FE463E">
            <w:pPr>
              <w:spacing w:line="360" w:lineRule="auto"/>
              <w:jc w:val="both"/>
              <w:rPr>
                <w:rFonts w:asciiTheme="minorBidi" w:hAnsiTheme="minorBidi"/>
                <w:sz w:val="25"/>
                <w:szCs w:val="25"/>
              </w:rPr>
            </w:pPr>
            <w:r w:rsidRPr="00FE463E">
              <w:rPr>
                <w:rFonts w:asciiTheme="minorBidi" w:hAnsiTheme="minorBidi"/>
                <w:sz w:val="25"/>
                <w:szCs w:val="25"/>
              </w:rPr>
              <w:t>2028629</w:t>
            </w:r>
          </w:p>
        </w:tc>
      </w:tr>
      <w:tr w:rsidR="00443225" w:rsidRPr="00B46578" w14:paraId="1133D40D" w14:textId="77777777" w:rsidTr="006123BF">
        <w:trPr>
          <w:trHeight w:val="726"/>
        </w:trPr>
        <w:tc>
          <w:tcPr>
            <w:tcW w:w="2376" w:type="dxa"/>
          </w:tcPr>
          <w:p w14:paraId="5CAA80F9" w14:textId="5C162D87" w:rsidR="00443225" w:rsidRPr="006123BF" w:rsidRDefault="00443225" w:rsidP="00FE463E">
            <w:pPr>
              <w:spacing w:line="360" w:lineRule="auto"/>
              <w:rPr>
                <w:rFonts w:asciiTheme="minorBidi" w:hAnsiTheme="minorBidi"/>
                <w:sz w:val="32"/>
                <w:szCs w:val="32"/>
              </w:rPr>
            </w:pPr>
            <w:r w:rsidRPr="006123BF">
              <w:rPr>
                <w:rFonts w:asciiTheme="minorBidi" w:hAnsiTheme="minorBidi"/>
                <w:sz w:val="32"/>
                <w:szCs w:val="32"/>
              </w:rPr>
              <w:t>Module Code:</w:t>
            </w:r>
          </w:p>
        </w:tc>
        <w:tc>
          <w:tcPr>
            <w:tcW w:w="6836" w:type="dxa"/>
          </w:tcPr>
          <w:p w14:paraId="1422AC2C" w14:textId="0EE393AC" w:rsidR="00443225" w:rsidRPr="00FE463E" w:rsidRDefault="00443225" w:rsidP="00FE463E">
            <w:pPr>
              <w:spacing w:line="360" w:lineRule="auto"/>
              <w:jc w:val="both"/>
              <w:rPr>
                <w:rFonts w:asciiTheme="minorBidi" w:hAnsiTheme="minorBidi"/>
                <w:sz w:val="25"/>
                <w:szCs w:val="25"/>
              </w:rPr>
            </w:pPr>
            <w:r>
              <w:rPr>
                <w:rFonts w:asciiTheme="minorBidi" w:hAnsiTheme="minorBidi"/>
                <w:sz w:val="25"/>
                <w:szCs w:val="25"/>
              </w:rPr>
              <w:t>LCHS4001</w:t>
            </w:r>
          </w:p>
        </w:tc>
      </w:tr>
      <w:tr w:rsidR="00443225" w:rsidRPr="00B46578" w14:paraId="17B59F78" w14:textId="77777777" w:rsidTr="006123BF">
        <w:trPr>
          <w:trHeight w:val="726"/>
        </w:trPr>
        <w:tc>
          <w:tcPr>
            <w:tcW w:w="2376" w:type="dxa"/>
          </w:tcPr>
          <w:p w14:paraId="6E93C5C1" w14:textId="77777777" w:rsidR="00443225" w:rsidRPr="006123BF" w:rsidRDefault="00443225" w:rsidP="00FE463E">
            <w:pPr>
              <w:spacing w:line="360" w:lineRule="auto"/>
              <w:rPr>
                <w:rFonts w:asciiTheme="minorBidi" w:hAnsiTheme="minorBidi"/>
                <w:sz w:val="32"/>
                <w:szCs w:val="32"/>
              </w:rPr>
            </w:pPr>
            <w:r w:rsidRPr="006123BF">
              <w:rPr>
                <w:rFonts w:asciiTheme="minorBidi" w:hAnsiTheme="minorBidi"/>
                <w:sz w:val="32"/>
                <w:szCs w:val="32"/>
              </w:rPr>
              <w:t>Module:</w:t>
            </w:r>
          </w:p>
        </w:tc>
        <w:tc>
          <w:tcPr>
            <w:tcW w:w="6836" w:type="dxa"/>
          </w:tcPr>
          <w:p w14:paraId="36167C91" w14:textId="77777777" w:rsidR="00443225" w:rsidRPr="00FE463E" w:rsidRDefault="00443225" w:rsidP="00FE463E">
            <w:pPr>
              <w:spacing w:line="360" w:lineRule="auto"/>
              <w:jc w:val="both"/>
              <w:rPr>
                <w:rFonts w:asciiTheme="minorBidi" w:hAnsiTheme="minorBidi"/>
                <w:sz w:val="25"/>
                <w:szCs w:val="25"/>
              </w:rPr>
            </w:pPr>
            <w:r w:rsidRPr="00FE463E">
              <w:rPr>
                <w:rFonts w:asciiTheme="minorBidi" w:hAnsiTheme="minorBidi"/>
                <w:sz w:val="25"/>
                <w:szCs w:val="25"/>
              </w:rPr>
              <w:t>ACADEMIC AND EMPLOYABILITY SKILLS</w:t>
            </w:r>
          </w:p>
        </w:tc>
      </w:tr>
      <w:tr w:rsidR="00443225" w:rsidRPr="00FE463E" w14:paraId="4588980A" w14:textId="77777777" w:rsidTr="006123BF">
        <w:trPr>
          <w:trHeight w:val="726"/>
        </w:trPr>
        <w:tc>
          <w:tcPr>
            <w:tcW w:w="2376" w:type="dxa"/>
          </w:tcPr>
          <w:p w14:paraId="4218C4F6" w14:textId="77777777" w:rsidR="00443225" w:rsidRPr="006123BF" w:rsidRDefault="00443225" w:rsidP="00144EAC">
            <w:pPr>
              <w:spacing w:line="360" w:lineRule="auto"/>
              <w:rPr>
                <w:rFonts w:asciiTheme="minorBidi" w:hAnsiTheme="minorBidi"/>
                <w:sz w:val="32"/>
                <w:szCs w:val="32"/>
              </w:rPr>
            </w:pPr>
            <w:r w:rsidRPr="006123BF">
              <w:rPr>
                <w:rFonts w:asciiTheme="minorBidi" w:hAnsiTheme="minorBidi"/>
                <w:sz w:val="32"/>
                <w:szCs w:val="32"/>
              </w:rPr>
              <w:t>Lecturer:</w:t>
            </w:r>
          </w:p>
        </w:tc>
        <w:tc>
          <w:tcPr>
            <w:tcW w:w="6836" w:type="dxa"/>
          </w:tcPr>
          <w:p w14:paraId="4B48DE65" w14:textId="77777777" w:rsidR="00443225" w:rsidRPr="00FE463E" w:rsidRDefault="00443225" w:rsidP="00144EAC">
            <w:pPr>
              <w:spacing w:line="360" w:lineRule="auto"/>
              <w:jc w:val="both"/>
              <w:rPr>
                <w:rFonts w:asciiTheme="minorBidi" w:hAnsiTheme="minorBidi"/>
                <w:sz w:val="25"/>
                <w:szCs w:val="25"/>
              </w:rPr>
            </w:pPr>
            <w:r w:rsidRPr="00FE463E">
              <w:rPr>
                <w:rFonts w:asciiTheme="minorBidi" w:hAnsiTheme="minorBidi"/>
                <w:sz w:val="25"/>
                <w:szCs w:val="25"/>
              </w:rPr>
              <w:t>OLUWADAMILOLA TAYO</w:t>
            </w:r>
          </w:p>
        </w:tc>
      </w:tr>
    </w:tbl>
    <w:p w14:paraId="5CF767D1" w14:textId="0DDBAB71" w:rsidR="00FE463E" w:rsidRPr="005E52C9" w:rsidRDefault="00FE463E" w:rsidP="00D36252">
      <w:pPr>
        <w:spacing w:line="360" w:lineRule="auto"/>
        <w:jc w:val="both"/>
        <w:rPr>
          <w:rFonts w:asciiTheme="minorBidi" w:hAnsiTheme="minorBidi"/>
          <w:sz w:val="28"/>
          <w:szCs w:val="28"/>
        </w:rPr>
      </w:pPr>
    </w:p>
    <w:p w14:paraId="6988A1DC" w14:textId="77777777" w:rsidR="00ED5964" w:rsidRPr="005E52C9" w:rsidRDefault="00ED5964" w:rsidP="00D36252">
      <w:pPr>
        <w:spacing w:line="360" w:lineRule="auto"/>
        <w:jc w:val="both"/>
        <w:rPr>
          <w:rFonts w:asciiTheme="minorBidi" w:hAnsiTheme="minorBidi"/>
          <w:sz w:val="28"/>
          <w:szCs w:val="28"/>
        </w:rPr>
      </w:pPr>
      <w:bookmarkStart w:id="0" w:name="_GoBack"/>
      <w:bookmarkEnd w:id="0"/>
    </w:p>
    <w:p w14:paraId="4A73B1BE" w14:textId="77777777" w:rsidR="00ED5964" w:rsidRPr="005E52C9" w:rsidRDefault="00ED5964" w:rsidP="00D36252">
      <w:pPr>
        <w:spacing w:line="360" w:lineRule="auto"/>
        <w:jc w:val="both"/>
        <w:rPr>
          <w:rFonts w:asciiTheme="minorBidi" w:hAnsiTheme="minorBidi"/>
          <w:sz w:val="28"/>
          <w:szCs w:val="28"/>
        </w:rPr>
      </w:pPr>
    </w:p>
    <w:p w14:paraId="4180CDBC" w14:textId="22077AEA" w:rsidR="00ED5964" w:rsidRDefault="00ED5964" w:rsidP="00D36252">
      <w:pPr>
        <w:spacing w:line="360" w:lineRule="auto"/>
        <w:jc w:val="both"/>
        <w:rPr>
          <w:rFonts w:asciiTheme="minorBidi" w:hAnsiTheme="minorBidi"/>
          <w:sz w:val="28"/>
          <w:szCs w:val="28"/>
        </w:rPr>
      </w:pPr>
      <w:r w:rsidRPr="005E52C9">
        <w:rPr>
          <w:rFonts w:asciiTheme="minorBidi" w:hAnsiTheme="minorBidi"/>
          <w:sz w:val="28"/>
          <w:szCs w:val="28"/>
        </w:rPr>
        <w:tab/>
      </w:r>
      <w:r w:rsidRPr="005E52C9">
        <w:rPr>
          <w:rFonts w:asciiTheme="minorBidi" w:hAnsiTheme="minorBidi"/>
          <w:sz w:val="28"/>
          <w:szCs w:val="28"/>
        </w:rPr>
        <w:tab/>
      </w:r>
      <w:r w:rsidRPr="005E52C9">
        <w:rPr>
          <w:rFonts w:asciiTheme="minorBidi" w:hAnsiTheme="minorBidi"/>
          <w:sz w:val="28"/>
          <w:szCs w:val="28"/>
        </w:rPr>
        <w:tab/>
      </w:r>
      <w:r w:rsidR="00FE463E" w:rsidRPr="00066EF8">
        <w:rPr>
          <w:rFonts w:asciiTheme="minorBidi" w:hAnsiTheme="minorBidi"/>
          <w:b/>
          <w:sz w:val="28"/>
          <w:szCs w:val="28"/>
        </w:rPr>
        <w:t>Submitted on:</w:t>
      </w:r>
      <w:r w:rsidR="00FE463E">
        <w:rPr>
          <w:rFonts w:asciiTheme="minorBidi" w:hAnsiTheme="minorBidi"/>
          <w:sz w:val="28"/>
          <w:szCs w:val="28"/>
        </w:rPr>
        <w:t xml:space="preserve">  21/04/2026</w:t>
      </w:r>
    </w:p>
    <w:p w14:paraId="54A63D0B" w14:textId="77777777" w:rsidR="006E2908" w:rsidRDefault="006E2908" w:rsidP="00D36252">
      <w:pPr>
        <w:spacing w:line="360" w:lineRule="auto"/>
        <w:jc w:val="both"/>
        <w:rPr>
          <w:rFonts w:asciiTheme="minorBidi" w:hAnsiTheme="minorBidi"/>
          <w:sz w:val="28"/>
          <w:szCs w:val="28"/>
        </w:rPr>
      </w:pPr>
    </w:p>
    <w:p w14:paraId="0880BDE5" w14:textId="77777777" w:rsidR="006E2908" w:rsidRDefault="006E2908" w:rsidP="00D36252">
      <w:pPr>
        <w:spacing w:line="360" w:lineRule="auto"/>
        <w:jc w:val="both"/>
        <w:rPr>
          <w:rFonts w:asciiTheme="minorBidi" w:hAnsiTheme="minorBidi"/>
          <w:sz w:val="28"/>
          <w:szCs w:val="28"/>
        </w:rPr>
      </w:pPr>
    </w:p>
    <w:p w14:paraId="4E01A713" w14:textId="77777777" w:rsidR="006E2908" w:rsidRDefault="006E2908" w:rsidP="00D36252">
      <w:pPr>
        <w:spacing w:line="360" w:lineRule="auto"/>
        <w:jc w:val="both"/>
        <w:rPr>
          <w:rFonts w:asciiTheme="minorBidi" w:hAnsiTheme="minorBidi"/>
          <w:sz w:val="28"/>
          <w:szCs w:val="28"/>
        </w:rPr>
      </w:pPr>
    </w:p>
    <w:p w14:paraId="59953974" w14:textId="77777777" w:rsidR="00854D29" w:rsidRPr="005E52C9" w:rsidRDefault="00854D29" w:rsidP="00D36252">
      <w:pPr>
        <w:spacing w:line="360" w:lineRule="auto"/>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rFonts w:cstheme="minorBidi"/>
          <w:b w:val="0"/>
          <w:bCs w:val="0"/>
        </w:rPr>
      </w:sdtEndPr>
      <w:sdtContent>
        <w:p w14:paraId="69A45AB4" w14:textId="1BC22B3F" w:rsidR="00184A9A" w:rsidRPr="00854D29" w:rsidRDefault="00184A9A" w:rsidP="00443225">
          <w:pPr>
            <w:pStyle w:val="TOCHeading"/>
            <w:spacing w:line="480" w:lineRule="auto"/>
            <w:jc w:val="center"/>
            <w:rPr>
              <w:rFonts w:ascii="Arial" w:hAnsi="Arial" w:cs="Arial"/>
              <w:b/>
              <w:bCs w:val="0"/>
              <w:color w:val="000000" w:themeColor="text1"/>
              <w:sz w:val="40"/>
              <w:szCs w:val="40"/>
              <w:lang w:val="en-GB"/>
            </w:rPr>
          </w:pPr>
          <w:r w:rsidRPr="00854D29">
            <w:rPr>
              <w:rFonts w:ascii="Arial" w:hAnsi="Arial" w:cs="Arial"/>
              <w:b/>
              <w:bCs w:val="0"/>
              <w:color w:val="000000" w:themeColor="text1"/>
              <w:sz w:val="40"/>
              <w:szCs w:val="40"/>
              <w:lang w:val="en-GB"/>
            </w:rPr>
            <w:t>Table of Contents</w:t>
          </w:r>
        </w:p>
        <w:p w14:paraId="49BA35C3" w14:textId="2F18C613" w:rsidR="008A7B0B" w:rsidRPr="00854D29" w:rsidRDefault="0156E134"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r w:rsidRPr="0073280F">
            <w:rPr>
              <w:rFonts w:ascii="Arial" w:hAnsi="Arial" w:cs="Arial"/>
              <w:color w:val="000000" w:themeColor="text1"/>
              <w:sz w:val="22"/>
            </w:rPr>
            <w:fldChar w:fldCharType="begin"/>
          </w:r>
          <w:r w:rsidR="00184A9A" w:rsidRPr="0073280F">
            <w:rPr>
              <w:rFonts w:ascii="Arial" w:hAnsi="Arial" w:cs="Arial"/>
              <w:color w:val="000000" w:themeColor="text1"/>
              <w:sz w:val="22"/>
            </w:rPr>
            <w:instrText>TOC \o "1-3" \z \u \h</w:instrText>
          </w:r>
          <w:r w:rsidRPr="0073280F">
            <w:rPr>
              <w:rFonts w:ascii="Arial" w:hAnsi="Arial" w:cs="Arial"/>
              <w:color w:val="000000" w:themeColor="text1"/>
              <w:sz w:val="22"/>
            </w:rPr>
            <w:fldChar w:fldCharType="separate"/>
          </w:r>
          <w:hyperlink w:anchor="_Toc226114006" w:history="1">
            <w:r w:rsidR="008A7B0B" w:rsidRPr="00854D29">
              <w:rPr>
                <w:rStyle w:val="Hyperlink"/>
                <w:rFonts w:ascii="Arial" w:hAnsi="Arial" w:cs="Arial"/>
                <w:noProof/>
                <w:color w:val="000000" w:themeColor="text1"/>
                <w:sz w:val="28"/>
                <w:szCs w:val="28"/>
              </w:rPr>
              <w:t>1 Introduction</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_Toc226114006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2</w:t>
            </w:r>
            <w:r w:rsidR="008A7B0B" w:rsidRPr="00854D29">
              <w:rPr>
                <w:rFonts w:ascii="Arial" w:hAnsi="Arial" w:cs="Arial"/>
                <w:noProof/>
                <w:webHidden/>
                <w:color w:val="000000" w:themeColor="text1"/>
                <w:sz w:val="28"/>
                <w:szCs w:val="28"/>
              </w:rPr>
              <w:fldChar w:fldCharType="end"/>
            </w:r>
          </w:hyperlink>
        </w:p>
        <w:p w14:paraId="07AD59E7" w14:textId="407D86A1"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07" w:history="1">
            <w:r w:rsidR="008A7B0B" w:rsidRPr="00854D29">
              <w:rPr>
                <w:rStyle w:val="Hyperlink"/>
                <w:rFonts w:ascii="Arial" w:hAnsi="Arial" w:cs="Arial"/>
                <w:noProof/>
                <w:color w:val="000000" w:themeColor="text1"/>
                <w:sz w:val="28"/>
                <w:szCs w:val="28"/>
              </w:rPr>
              <w:t>2 Nurse in the Health and Social Care Field</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_Toc226114007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2</w:t>
            </w:r>
            <w:r w:rsidR="008A7B0B" w:rsidRPr="00854D29">
              <w:rPr>
                <w:rFonts w:ascii="Arial" w:hAnsi="Arial" w:cs="Arial"/>
                <w:noProof/>
                <w:webHidden/>
                <w:color w:val="000000" w:themeColor="text1"/>
                <w:sz w:val="28"/>
                <w:szCs w:val="28"/>
              </w:rPr>
              <w:fldChar w:fldCharType="end"/>
            </w:r>
          </w:hyperlink>
        </w:p>
        <w:p w14:paraId="205EB827" w14:textId="3E3A2384"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08" w:history="1">
            <w:r w:rsidR="008A7B0B" w:rsidRPr="00854D29">
              <w:rPr>
                <w:rStyle w:val="Hyperlink"/>
                <w:rFonts w:ascii="Arial" w:hAnsi="Arial" w:cs="Arial"/>
                <w:noProof/>
                <w:color w:val="000000" w:themeColor="text1"/>
                <w:sz w:val="28"/>
                <w:szCs w:val="28"/>
              </w:rPr>
              <w:t>2.1 Description of Nurse in Health and Social Care</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_Toc226114008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2</w:t>
            </w:r>
            <w:r w:rsidR="008A7B0B" w:rsidRPr="00854D29">
              <w:rPr>
                <w:rFonts w:ascii="Arial" w:hAnsi="Arial" w:cs="Arial"/>
                <w:noProof/>
                <w:webHidden/>
                <w:color w:val="000000" w:themeColor="text1"/>
                <w:sz w:val="28"/>
                <w:szCs w:val="28"/>
              </w:rPr>
              <w:fldChar w:fldCharType="end"/>
            </w:r>
          </w:hyperlink>
        </w:p>
        <w:p w14:paraId="6CCB83B6" w14:textId="2F4ED91D"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09" w:history="1">
            <w:r w:rsidR="008A7B0B" w:rsidRPr="00854D29">
              <w:rPr>
                <w:rStyle w:val="Hyperlink"/>
                <w:rFonts w:ascii="Arial" w:hAnsi="Arial" w:cs="Arial"/>
                <w:noProof/>
                <w:color w:val="000000" w:themeColor="text1"/>
                <w:sz w:val="28"/>
                <w:szCs w:val="28"/>
              </w:rPr>
              <w:t>2.2 Explanation of Most Significant Skills Needed for Nurse in Health and Social Care</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_Toc226114009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3</w:t>
            </w:r>
            <w:r w:rsidR="008A7B0B" w:rsidRPr="00854D29">
              <w:rPr>
                <w:rFonts w:ascii="Arial" w:hAnsi="Arial" w:cs="Arial"/>
                <w:noProof/>
                <w:webHidden/>
                <w:color w:val="000000" w:themeColor="text1"/>
                <w:sz w:val="28"/>
                <w:szCs w:val="28"/>
              </w:rPr>
              <w:fldChar w:fldCharType="end"/>
            </w:r>
          </w:hyperlink>
        </w:p>
        <w:p w14:paraId="5688CB43" w14:textId="3DCD179A"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10" w:history="1">
            <w:r w:rsidR="008A7B0B" w:rsidRPr="00854D29">
              <w:rPr>
                <w:rStyle w:val="Hyperlink"/>
                <w:rFonts w:ascii="Arial" w:hAnsi="Arial" w:cs="Arial"/>
                <w:noProof/>
                <w:color w:val="000000" w:themeColor="text1"/>
                <w:sz w:val="28"/>
                <w:szCs w:val="28"/>
              </w:rPr>
              <w:t>3 Strategies for Skill Improvement for Nurse</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_Toc226114010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4</w:t>
            </w:r>
            <w:r w:rsidR="008A7B0B" w:rsidRPr="00854D29">
              <w:rPr>
                <w:rFonts w:ascii="Arial" w:hAnsi="Arial" w:cs="Arial"/>
                <w:noProof/>
                <w:webHidden/>
                <w:color w:val="000000" w:themeColor="text1"/>
                <w:sz w:val="28"/>
                <w:szCs w:val="28"/>
              </w:rPr>
              <w:fldChar w:fldCharType="end"/>
            </w:r>
          </w:hyperlink>
        </w:p>
        <w:p w14:paraId="58EAA3C7" w14:textId="653A1AC2"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11" w:history="1">
            <w:r w:rsidR="008A7B0B" w:rsidRPr="00854D29">
              <w:rPr>
                <w:rStyle w:val="Hyperlink"/>
                <w:rFonts w:ascii="Arial" w:hAnsi="Arial" w:cs="Arial"/>
                <w:noProof/>
                <w:color w:val="000000" w:themeColor="text1"/>
                <w:sz w:val="28"/>
                <w:szCs w:val="28"/>
              </w:rPr>
              <w:t>3.1 Three Strategies to Improve the Skills for Nurse</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_Toc226114011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4</w:t>
            </w:r>
            <w:r w:rsidR="008A7B0B" w:rsidRPr="00854D29">
              <w:rPr>
                <w:rFonts w:ascii="Arial" w:hAnsi="Arial" w:cs="Arial"/>
                <w:noProof/>
                <w:webHidden/>
                <w:color w:val="000000" w:themeColor="text1"/>
                <w:sz w:val="28"/>
                <w:szCs w:val="28"/>
              </w:rPr>
              <w:fldChar w:fldCharType="end"/>
            </w:r>
          </w:hyperlink>
        </w:p>
        <w:p w14:paraId="3C99EC59" w14:textId="7C3CB9EA"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12" w:history="1">
            <w:r w:rsidR="008A7B0B" w:rsidRPr="00854D29">
              <w:rPr>
                <w:rStyle w:val="Hyperlink"/>
                <w:rFonts w:ascii="Arial" w:hAnsi="Arial" w:cs="Arial"/>
                <w:noProof/>
                <w:color w:val="000000" w:themeColor="text1"/>
                <w:sz w:val="28"/>
                <w:szCs w:val="28"/>
              </w:rPr>
              <w:t>4 Conclusion</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_Toc226114012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5</w:t>
            </w:r>
            <w:r w:rsidR="008A7B0B" w:rsidRPr="00854D29">
              <w:rPr>
                <w:rFonts w:ascii="Arial" w:hAnsi="Arial" w:cs="Arial"/>
                <w:noProof/>
                <w:webHidden/>
                <w:color w:val="000000" w:themeColor="text1"/>
                <w:sz w:val="28"/>
                <w:szCs w:val="28"/>
              </w:rPr>
              <w:fldChar w:fldCharType="end"/>
            </w:r>
          </w:hyperlink>
        </w:p>
        <w:p w14:paraId="780CF11D" w14:textId="063F184D" w:rsidR="008A7B0B" w:rsidRPr="00854D29" w:rsidRDefault="00956739" w:rsidP="00443225">
          <w:pPr>
            <w:pStyle w:val="TOC2"/>
            <w:tabs>
              <w:tab w:val="right" w:leader="dot" w:pos="9016"/>
            </w:tabs>
            <w:spacing w:line="480" w:lineRule="auto"/>
            <w:rPr>
              <w:rFonts w:ascii="Arial" w:hAnsi="Arial" w:cs="Arial"/>
              <w:b w:val="0"/>
              <w:bCs w:val="0"/>
              <w:noProof/>
              <w:color w:val="000000" w:themeColor="text1"/>
              <w:sz w:val="28"/>
              <w:szCs w:val="28"/>
              <w:lang w:val="en-IN" w:eastAsia="en-IN"/>
            </w:rPr>
          </w:pPr>
          <w:hyperlink w:anchor="_Toc226114013" w:history="1">
            <w:r w:rsidR="008A7B0B" w:rsidRPr="00854D29">
              <w:rPr>
                <w:rStyle w:val="Hyperlink"/>
                <w:rFonts w:ascii="Arial" w:hAnsi="Arial" w:cs="Arial"/>
                <w:noProof/>
                <w:color w:val="000000" w:themeColor="text1"/>
                <w:sz w:val="28"/>
                <w:szCs w:val="28"/>
              </w:rPr>
              <w:t>5 Reference List</w:t>
            </w:r>
            <w:r w:rsidR="008A7B0B" w:rsidRPr="00854D29">
              <w:rPr>
                <w:rFonts w:ascii="Arial" w:hAnsi="Arial" w:cs="Arial"/>
                <w:noProof/>
                <w:webHidden/>
                <w:color w:val="000000" w:themeColor="text1"/>
                <w:sz w:val="28"/>
                <w:szCs w:val="28"/>
              </w:rPr>
              <w:tab/>
            </w:r>
            <w:r w:rsidR="008A7B0B" w:rsidRPr="00854D29">
              <w:rPr>
                <w:rFonts w:ascii="Arial" w:hAnsi="Arial" w:cs="Arial"/>
                <w:noProof/>
                <w:webHidden/>
                <w:color w:val="000000" w:themeColor="text1"/>
                <w:sz w:val="28"/>
                <w:szCs w:val="28"/>
              </w:rPr>
              <w:fldChar w:fldCharType="begin"/>
            </w:r>
            <w:r w:rsidR="008A7B0B" w:rsidRPr="00854D29">
              <w:rPr>
                <w:rFonts w:ascii="Arial" w:hAnsi="Arial" w:cs="Arial"/>
                <w:noProof/>
                <w:webHidden/>
                <w:color w:val="000000" w:themeColor="text1"/>
                <w:sz w:val="28"/>
                <w:szCs w:val="28"/>
              </w:rPr>
              <w:instrText xml:space="preserve"> PAGEREF _Toc226114013 \h </w:instrText>
            </w:r>
            <w:r w:rsidR="008A7B0B" w:rsidRPr="00854D29">
              <w:rPr>
                <w:rFonts w:ascii="Arial" w:hAnsi="Arial" w:cs="Arial"/>
                <w:noProof/>
                <w:webHidden/>
                <w:color w:val="000000" w:themeColor="text1"/>
                <w:sz w:val="28"/>
                <w:szCs w:val="28"/>
              </w:rPr>
            </w:r>
            <w:r w:rsidR="008A7B0B" w:rsidRPr="00854D29">
              <w:rPr>
                <w:rFonts w:ascii="Arial" w:hAnsi="Arial" w:cs="Arial"/>
                <w:noProof/>
                <w:webHidden/>
                <w:color w:val="000000" w:themeColor="text1"/>
                <w:sz w:val="28"/>
                <w:szCs w:val="28"/>
              </w:rPr>
              <w:fldChar w:fldCharType="separate"/>
            </w:r>
            <w:r w:rsidR="00B46578" w:rsidRPr="00854D29">
              <w:rPr>
                <w:rFonts w:ascii="Arial" w:hAnsi="Arial" w:cs="Arial"/>
                <w:noProof/>
                <w:webHidden/>
                <w:color w:val="000000" w:themeColor="text1"/>
                <w:sz w:val="28"/>
                <w:szCs w:val="28"/>
              </w:rPr>
              <w:t>6</w:t>
            </w:r>
            <w:r w:rsidR="008A7B0B" w:rsidRPr="00854D29">
              <w:rPr>
                <w:rFonts w:ascii="Arial" w:hAnsi="Arial" w:cs="Arial"/>
                <w:noProof/>
                <w:webHidden/>
                <w:color w:val="000000" w:themeColor="text1"/>
                <w:sz w:val="28"/>
                <w:szCs w:val="28"/>
              </w:rPr>
              <w:fldChar w:fldCharType="end"/>
            </w:r>
          </w:hyperlink>
        </w:p>
        <w:p w14:paraId="2F2A1EA8" w14:textId="238ADD1F" w:rsidR="0156E134" w:rsidRPr="005E52C9" w:rsidRDefault="0156E134" w:rsidP="00443225">
          <w:pPr>
            <w:spacing w:line="480" w:lineRule="auto"/>
            <w:rPr>
              <w:rStyle w:val="Hyperlink"/>
            </w:rPr>
          </w:pPr>
          <w:r w:rsidRPr="0073280F">
            <w:rPr>
              <w:rFonts w:ascii="Arial" w:hAnsi="Arial" w:cs="Arial"/>
              <w:sz w:val="22"/>
            </w:rPr>
            <w:fldChar w:fldCharType="end"/>
          </w:r>
        </w:p>
      </w:sdtContent>
    </w:sdt>
    <w:p w14:paraId="6138A55F" w14:textId="5BBC1E8C" w:rsidR="00184A9A" w:rsidRPr="005E52C9" w:rsidRDefault="00184A9A" w:rsidP="00D36252">
      <w:pPr>
        <w:spacing w:line="360" w:lineRule="auto"/>
      </w:pPr>
    </w:p>
    <w:p w14:paraId="4A159F97" w14:textId="77777777" w:rsidR="00ED5964" w:rsidRPr="005E52C9" w:rsidRDefault="00ED5964" w:rsidP="00D36252">
      <w:pPr>
        <w:spacing w:line="360" w:lineRule="auto"/>
        <w:jc w:val="both"/>
        <w:rPr>
          <w:rFonts w:asciiTheme="minorBidi" w:hAnsiTheme="minorBidi"/>
          <w:b/>
          <w:bCs/>
          <w:sz w:val="28"/>
          <w:szCs w:val="28"/>
        </w:rPr>
      </w:pPr>
    </w:p>
    <w:p w14:paraId="09E24E55" w14:textId="77777777" w:rsidR="00ED5964" w:rsidRPr="005E52C9" w:rsidRDefault="00ED5964" w:rsidP="00D36252">
      <w:pPr>
        <w:spacing w:line="360" w:lineRule="auto"/>
        <w:jc w:val="both"/>
        <w:rPr>
          <w:rFonts w:asciiTheme="minorBidi" w:hAnsiTheme="minorBidi"/>
          <w:b/>
          <w:bCs/>
          <w:sz w:val="28"/>
          <w:szCs w:val="28"/>
        </w:rPr>
      </w:pPr>
    </w:p>
    <w:p w14:paraId="40BC340F" w14:textId="77777777" w:rsidR="00ED5964" w:rsidRPr="005E52C9" w:rsidRDefault="00ED5964" w:rsidP="00D36252">
      <w:pPr>
        <w:spacing w:line="360" w:lineRule="auto"/>
        <w:jc w:val="both"/>
        <w:rPr>
          <w:rFonts w:asciiTheme="minorBidi" w:hAnsiTheme="minorBidi"/>
          <w:b/>
          <w:bCs/>
          <w:sz w:val="28"/>
          <w:szCs w:val="28"/>
        </w:rPr>
      </w:pPr>
    </w:p>
    <w:p w14:paraId="41A63835" w14:textId="77777777" w:rsidR="00ED5964" w:rsidRPr="005E52C9" w:rsidRDefault="00ED5964" w:rsidP="00D36252">
      <w:pPr>
        <w:spacing w:line="360" w:lineRule="auto"/>
        <w:jc w:val="both"/>
        <w:rPr>
          <w:rFonts w:asciiTheme="minorBidi" w:hAnsiTheme="minorBidi"/>
          <w:b/>
          <w:bCs/>
          <w:sz w:val="28"/>
          <w:szCs w:val="28"/>
        </w:rPr>
      </w:pPr>
    </w:p>
    <w:p w14:paraId="123865CA" w14:textId="77777777" w:rsidR="00ED5964" w:rsidRPr="005E52C9" w:rsidRDefault="00ED5964" w:rsidP="00D36252">
      <w:pPr>
        <w:spacing w:line="360" w:lineRule="auto"/>
        <w:jc w:val="both"/>
        <w:rPr>
          <w:rFonts w:asciiTheme="minorBidi" w:hAnsiTheme="minorBidi"/>
          <w:b/>
          <w:bCs/>
          <w:sz w:val="28"/>
          <w:szCs w:val="28"/>
        </w:rPr>
      </w:pPr>
    </w:p>
    <w:p w14:paraId="2A21042D" w14:textId="77777777" w:rsidR="00ED5964" w:rsidRPr="005E52C9" w:rsidRDefault="00ED5964" w:rsidP="00D36252">
      <w:pPr>
        <w:spacing w:line="360" w:lineRule="auto"/>
        <w:jc w:val="both"/>
        <w:rPr>
          <w:rFonts w:asciiTheme="minorBidi" w:hAnsiTheme="minorBidi"/>
          <w:b/>
          <w:bCs/>
          <w:sz w:val="28"/>
          <w:szCs w:val="28"/>
        </w:rPr>
      </w:pPr>
    </w:p>
    <w:p w14:paraId="48382F67" w14:textId="77777777" w:rsidR="00ED5964" w:rsidRPr="005E52C9" w:rsidRDefault="00ED5964" w:rsidP="00D36252">
      <w:pPr>
        <w:spacing w:line="360" w:lineRule="auto"/>
        <w:jc w:val="both"/>
        <w:rPr>
          <w:rFonts w:asciiTheme="minorBidi" w:hAnsiTheme="minorBidi"/>
          <w:b/>
          <w:bCs/>
          <w:sz w:val="28"/>
          <w:szCs w:val="28"/>
        </w:rPr>
      </w:pPr>
    </w:p>
    <w:p w14:paraId="26AEF49B" w14:textId="77777777" w:rsidR="008C1176" w:rsidRDefault="008C1176">
      <w:pPr>
        <w:rPr>
          <w:rFonts w:eastAsiaTheme="majorEastAsia" w:cstheme="majorBidi"/>
          <w:color w:val="4471C4"/>
          <w:sz w:val="28"/>
          <w:szCs w:val="26"/>
        </w:rPr>
      </w:pPr>
      <w:bookmarkStart w:id="1" w:name="_Toc226114006"/>
      <w:r>
        <w:rPr>
          <w:color w:val="4471C4"/>
        </w:rPr>
        <w:br w:type="page"/>
      </w:r>
    </w:p>
    <w:p w14:paraId="7E817B09" w14:textId="0C795B44" w:rsidR="00A035CD" w:rsidRPr="00660374" w:rsidRDefault="00AA77C8" w:rsidP="00D36252">
      <w:pPr>
        <w:pStyle w:val="Heading2"/>
        <w:spacing w:line="360" w:lineRule="auto"/>
        <w:rPr>
          <w:rFonts w:ascii="Arial" w:hAnsi="Arial" w:cs="Arial"/>
          <w:color w:val="4472C4" w:themeColor="accent1"/>
          <w:sz w:val="36"/>
          <w:szCs w:val="36"/>
        </w:rPr>
      </w:pPr>
      <w:r w:rsidRPr="00660374">
        <w:rPr>
          <w:rFonts w:ascii="Arial" w:hAnsi="Arial" w:cs="Arial"/>
          <w:color w:val="4471C4"/>
          <w:sz w:val="36"/>
          <w:szCs w:val="36"/>
        </w:rPr>
        <w:lastRenderedPageBreak/>
        <w:t>1</w:t>
      </w:r>
      <w:r w:rsidR="005E52C9" w:rsidRPr="00660374">
        <w:rPr>
          <w:rFonts w:ascii="Arial" w:hAnsi="Arial" w:cs="Arial"/>
          <w:color w:val="4471C4"/>
          <w:sz w:val="36"/>
          <w:szCs w:val="36"/>
        </w:rPr>
        <w:t xml:space="preserve"> </w:t>
      </w:r>
      <w:r w:rsidR="00A035CD" w:rsidRPr="00660374">
        <w:rPr>
          <w:rFonts w:ascii="Arial" w:hAnsi="Arial" w:cs="Arial"/>
          <w:color w:val="4471C4"/>
          <w:sz w:val="36"/>
          <w:szCs w:val="36"/>
        </w:rPr>
        <w:t>Introduction</w:t>
      </w:r>
      <w:bookmarkEnd w:id="1"/>
    </w:p>
    <w:p w14:paraId="4CC61BC1" w14:textId="2B05BA7D" w:rsidR="00F36ADC" w:rsidRDefault="005E52C9" w:rsidP="00D36252">
      <w:pPr>
        <w:spacing w:after="0" w:line="360" w:lineRule="auto"/>
        <w:jc w:val="both"/>
        <w:rPr>
          <w:rFonts w:ascii="Arial" w:hAnsi="Arial" w:cs="Arial"/>
          <w:sz w:val="22"/>
        </w:rPr>
      </w:pPr>
      <w:r w:rsidRPr="00D36252">
        <w:rPr>
          <w:rFonts w:ascii="Arial" w:hAnsi="Arial" w:cs="Arial"/>
          <w:sz w:val="22"/>
        </w:rPr>
        <w:t xml:space="preserve">Nurses play a crucial role in health and social care and focus on providing holistic, essential care that spans emotional support, clinical treatment and patient advocacy. Nurses improve patient outcomes through ensuring safety, managing chronic conditions and coordinating care. The thesis statement is to analyse the role and impact of nurses in the health and social care. Health and social care is the combination of medical treatment with personal assistance in order to support individuals' emotional, physical and social well-being. The report sheds light on describing nurse roles in health and social care along with significant skills needed. The report also highlights multiple strategies to enhance skills of nurses.  </w:t>
      </w:r>
    </w:p>
    <w:p w14:paraId="1C2BF8AA" w14:textId="77777777" w:rsidR="004C6995" w:rsidRPr="00D36252" w:rsidRDefault="004C6995" w:rsidP="00D36252">
      <w:pPr>
        <w:spacing w:after="0" w:line="360" w:lineRule="auto"/>
        <w:jc w:val="both"/>
        <w:rPr>
          <w:rFonts w:ascii="Arial" w:hAnsi="Arial" w:cs="Arial"/>
          <w:sz w:val="22"/>
        </w:rPr>
      </w:pPr>
    </w:p>
    <w:p w14:paraId="3C079BEF" w14:textId="5897DAC7" w:rsidR="0156E134" w:rsidRPr="004C6995" w:rsidRDefault="3C659699" w:rsidP="00D36252">
      <w:pPr>
        <w:pStyle w:val="Heading2"/>
        <w:spacing w:line="360" w:lineRule="auto"/>
        <w:rPr>
          <w:rFonts w:ascii="Arial" w:hAnsi="Arial" w:cs="Arial"/>
          <w:color w:val="4472C4" w:themeColor="accent1"/>
          <w:sz w:val="36"/>
          <w:szCs w:val="36"/>
        </w:rPr>
      </w:pPr>
      <w:bookmarkStart w:id="2" w:name="_Toc226114007"/>
      <w:r w:rsidRPr="004C6995">
        <w:rPr>
          <w:rFonts w:ascii="Arial" w:hAnsi="Arial" w:cs="Arial"/>
          <w:color w:val="4471C4"/>
          <w:sz w:val="36"/>
          <w:szCs w:val="36"/>
        </w:rPr>
        <w:t xml:space="preserve">2 </w:t>
      </w:r>
      <w:r w:rsidR="00CF0F1A" w:rsidRPr="004C6995">
        <w:rPr>
          <w:rFonts w:ascii="Arial" w:hAnsi="Arial" w:cs="Arial"/>
          <w:color w:val="4471C4"/>
          <w:sz w:val="36"/>
          <w:szCs w:val="36"/>
        </w:rPr>
        <w:t>Nurse</w:t>
      </w:r>
      <w:r w:rsidRPr="004C6995">
        <w:rPr>
          <w:rFonts w:ascii="Arial" w:hAnsi="Arial" w:cs="Arial"/>
          <w:color w:val="4471C4"/>
          <w:sz w:val="36"/>
          <w:szCs w:val="36"/>
        </w:rPr>
        <w:t xml:space="preserve"> in the Health and Social Care Field</w:t>
      </w:r>
      <w:bookmarkEnd w:id="2"/>
    </w:p>
    <w:p w14:paraId="26E0D1A5" w14:textId="754AA3FA" w:rsidR="0156E134" w:rsidRPr="005D41D9" w:rsidRDefault="004C6995" w:rsidP="00D36252">
      <w:pPr>
        <w:pStyle w:val="Heading2"/>
        <w:spacing w:line="360" w:lineRule="auto"/>
        <w:rPr>
          <w:rFonts w:ascii="Arial" w:hAnsi="Arial" w:cs="Arial"/>
          <w:color w:val="4472C4" w:themeColor="accent1"/>
        </w:rPr>
      </w:pPr>
      <w:bookmarkStart w:id="3" w:name="_Toc226114008"/>
      <w:r>
        <w:rPr>
          <w:color w:val="4471C4"/>
        </w:rPr>
        <w:t xml:space="preserve">  </w:t>
      </w:r>
      <w:r w:rsidR="5CF7C3DB" w:rsidRPr="005D41D9">
        <w:rPr>
          <w:rFonts w:ascii="Arial" w:hAnsi="Arial" w:cs="Arial"/>
          <w:color w:val="4471C4"/>
        </w:rPr>
        <w:t>2.1</w:t>
      </w:r>
      <w:r w:rsidR="002370CE" w:rsidRPr="005D41D9">
        <w:rPr>
          <w:rFonts w:ascii="Arial" w:hAnsi="Arial" w:cs="Arial"/>
          <w:color w:val="4471C4"/>
        </w:rPr>
        <w:t xml:space="preserve"> </w:t>
      </w:r>
      <w:r w:rsidR="071F48DC" w:rsidRPr="005D41D9">
        <w:rPr>
          <w:rFonts w:ascii="Arial" w:hAnsi="Arial" w:cs="Arial"/>
          <w:color w:val="4471C4"/>
        </w:rPr>
        <w:t>Description</w:t>
      </w:r>
      <w:r w:rsidR="00070818" w:rsidRPr="005D41D9">
        <w:rPr>
          <w:rFonts w:ascii="Arial" w:hAnsi="Arial" w:cs="Arial"/>
          <w:color w:val="4471C4"/>
        </w:rPr>
        <w:t xml:space="preserve"> </w:t>
      </w:r>
      <w:r w:rsidR="13BD3D5D" w:rsidRPr="005D41D9">
        <w:rPr>
          <w:rFonts w:ascii="Arial" w:hAnsi="Arial" w:cs="Arial"/>
          <w:color w:val="4471C4"/>
        </w:rPr>
        <w:t xml:space="preserve">of </w:t>
      </w:r>
      <w:r w:rsidR="00CF0F1A" w:rsidRPr="005D41D9">
        <w:rPr>
          <w:rFonts w:ascii="Arial" w:hAnsi="Arial" w:cs="Arial"/>
          <w:color w:val="4471C4"/>
        </w:rPr>
        <w:t xml:space="preserve">Nurse </w:t>
      </w:r>
      <w:r w:rsidR="008B0B22" w:rsidRPr="005D41D9">
        <w:rPr>
          <w:rFonts w:ascii="Arial" w:hAnsi="Arial" w:cs="Arial"/>
          <w:color w:val="4471C4"/>
        </w:rPr>
        <w:t>in Health</w:t>
      </w:r>
      <w:r w:rsidR="3464B4D3" w:rsidRPr="005D41D9">
        <w:rPr>
          <w:rFonts w:ascii="Arial" w:hAnsi="Arial" w:cs="Arial"/>
          <w:color w:val="4471C4"/>
        </w:rPr>
        <w:t xml:space="preserve"> and Social </w:t>
      </w:r>
      <w:r w:rsidR="3D6135D7" w:rsidRPr="005D41D9">
        <w:rPr>
          <w:rFonts w:ascii="Arial" w:hAnsi="Arial" w:cs="Arial"/>
          <w:color w:val="4471C4"/>
        </w:rPr>
        <w:t>C</w:t>
      </w:r>
      <w:r w:rsidR="008B0B22" w:rsidRPr="005D41D9">
        <w:rPr>
          <w:rFonts w:ascii="Arial" w:hAnsi="Arial" w:cs="Arial"/>
          <w:color w:val="4471C4"/>
        </w:rPr>
        <w:t>are</w:t>
      </w:r>
      <w:bookmarkEnd w:id="3"/>
      <w:r w:rsidR="008B0B22" w:rsidRPr="005D41D9">
        <w:rPr>
          <w:rFonts w:ascii="Arial" w:hAnsi="Arial" w:cs="Arial"/>
          <w:color w:val="4471C4"/>
        </w:rPr>
        <w:t xml:space="preserve"> </w:t>
      </w:r>
    </w:p>
    <w:p w14:paraId="515C3033" w14:textId="77777777" w:rsidR="005E52C9" w:rsidRPr="00D36252" w:rsidRDefault="005E52C9" w:rsidP="00D36252">
      <w:pPr>
        <w:spacing w:after="0" w:line="360" w:lineRule="auto"/>
        <w:jc w:val="both"/>
        <w:rPr>
          <w:rFonts w:ascii="Arial" w:hAnsi="Arial" w:cs="Arial"/>
          <w:sz w:val="22"/>
        </w:rPr>
      </w:pPr>
      <w:r w:rsidRPr="00D36252">
        <w:rPr>
          <w:rFonts w:ascii="Arial" w:hAnsi="Arial" w:cs="Arial"/>
          <w:sz w:val="22"/>
        </w:rPr>
        <w:t>The role of a nurse in the health and social care involves a high-level, multifaceted responsibility that is focused on providing direct patient care, collaborating with the medical teams and advocating for the well-being of patients for achieving optimal recovery outcomes (Alhafezy et al., 2025). The key duties of a nurse include monitoring vital signs, performing physical assessments, treatments under physician orders and administering medications, maintaining accurate health records and operating medical equipment. For instance, in a medical-surgical ward nurse is responsible to assess the post-operative pain level of patient's, cleans a surgical wound using the sterile technique, checks the IV infusion rate and instructs the patient. The duties of nurses are significant in health and social care as it directly impacts patient safety and health outcomes by continuous, accurate monitoring that allows for early detection of the complications.</w:t>
      </w:r>
    </w:p>
    <w:p w14:paraId="1CB8B0F1" w14:textId="2CE6FB60" w:rsidR="0156E134" w:rsidRDefault="005E52C9" w:rsidP="00D36252">
      <w:pPr>
        <w:spacing w:after="0" w:line="360" w:lineRule="auto"/>
        <w:jc w:val="both"/>
        <w:rPr>
          <w:rFonts w:ascii="Arial" w:hAnsi="Arial" w:cs="Arial"/>
          <w:sz w:val="22"/>
        </w:rPr>
      </w:pPr>
      <w:r w:rsidRPr="00D36252">
        <w:rPr>
          <w:rFonts w:ascii="Arial" w:hAnsi="Arial" w:cs="Arial"/>
          <w:sz w:val="22"/>
        </w:rPr>
        <w:t>The nursing profession reflects demand for a diverse blend of critical thinking, technical proficiency and advanced interpersonal abilities incorporating organizational and effective communication, empathy skills. The skills are significant for nurses to bridge between patients as well as broader healthcare system. Communication skills can help nurses to convey the complex information clearly to the patients along with collaborating with interdisciplinary teams (Efthymiou, 2024). Additionally, clinical proficiency can help to ensure safe treatment administration and empathy and compassion are important for building trust in the vulnerable moments. For instance, in busy surgical unit, a nurse can use clinical observation to observe a patient’s oxygen saturation during the recovery. Furthermore, the skills are indispensable to the social and health care sector, as it helps to transform the medical knowledge into patient-centred, compassionate care.</w:t>
      </w:r>
    </w:p>
    <w:p w14:paraId="78CE76B1" w14:textId="77777777" w:rsidR="00066EF8" w:rsidRPr="00D36252" w:rsidRDefault="00066EF8" w:rsidP="00D36252">
      <w:pPr>
        <w:spacing w:after="0" w:line="360" w:lineRule="auto"/>
        <w:jc w:val="both"/>
        <w:rPr>
          <w:rFonts w:ascii="Arial" w:hAnsi="Arial" w:cs="Arial"/>
          <w:sz w:val="22"/>
        </w:rPr>
      </w:pPr>
    </w:p>
    <w:p w14:paraId="4010C35E" w14:textId="0D05504A" w:rsidR="00EC7EBE" w:rsidRPr="005D41D9" w:rsidRDefault="005D41D9" w:rsidP="00D36252">
      <w:pPr>
        <w:pStyle w:val="Heading2"/>
        <w:spacing w:line="360" w:lineRule="auto"/>
        <w:rPr>
          <w:rFonts w:ascii="Arial" w:hAnsi="Arial" w:cs="Arial"/>
          <w:color w:val="4472C4" w:themeColor="accent1"/>
        </w:rPr>
      </w:pPr>
      <w:bookmarkStart w:id="4" w:name="_Toc226114009"/>
      <w:r>
        <w:rPr>
          <w:rFonts w:ascii="Arial" w:hAnsi="Arial" w:cs="Arial"/>
          <w:color w:val="4471C4"/>
        </w:rPr>
        <w:lastRenderedPageBreak/>
        <w:t xml:space="preserve">  </w:t>
      </w:r>
      <w:r w:rsidR="04019B15" w:rsidRPr="005D41D9">
        <w:rPr>
          <w:rFonts w:ascii="Arial" w:hAnsi="Arial" w:cs="Arial"/>
          <w:color w:val="4471C4"/>
        </w:rPr>
        <w:t>2.2</w:t>
      </w:r>
      <w:r w:rsidR="00676FEB" w:rsidRPr="005D41D9">
        <w:rPr>
          <w:rFonts w:ascii="Arial" w:hAnsi="Arial" w:cs="Arial"/>
          <w:color w:val="4471C4"/>
        </w:rPr>
        <w:t xml:space="preserve"> </w:t>
      </w:r>
      <w:r w:rsidR="00DD5135" w:rsidRPr="005D41D9">
        <w:rPr>
          <w:rFonts w:ascii="Arial" w:hAnsi="Arial" w:cs="Arial"/>
          <w:color w:val="4471C4"/>
        </w:rPr>
        <w:t>Explanation</w:t>
      </w:r>
      <w:r w:rsidR="00805726" w:rsidRPr="005D41D9">
        <w:rPr>
          <w:rFonts w:ascii="Arial" w:hAnsi="Arial" w:cs="Arial"/>
          <w:color w:val="4471C4"/>
        </w:rPr>
        <w:t xml:space="preserve"> of </w:t>
      </w:r>
      <w:r w:rsidR="549B9698" w:rsidRPr="005D41D9">
        <w:rPr>
          <w:rFonts w:ascii="Arial" w:hAnsi="Arial" w:cs="Arial"/>
          <w:color w:val="4471C4"/>
        </w:rPr>
        <w:t>M</w:t>
      </w:r>
      <w:r w:rsidR="00824CB1" w:rsidRPr="005D41D9">
        <w:rPr>
          <w:rFonts w:ascii="Arial" w:hAnsi="Arial" w:cs="Arial"/>
          <w:color w:val="4471C4"/>
        </w:rPr>
        <w:t xml:space="preserve">ost </w:t>
      </w:r>
      <w:r w:rsidR="7AC44C89" w:rsidRPr="005D41D9">
        <w:rPr>
          <w:rFonts w:ascii="Arial" w:hAnsi="Arial" w:cs="Arial"/>
          <w:color w:val="4471C4"/>
        </w:rPr>
        <w:t>S</w:t>
      </w:r>
      <w:r w:rsidR="00824CB1" w:rsidRPr="005D41D9">
        <w:rPr>
          <w:rFonts w:ascii="Arial" w:hAnsi="Arial" w:cs="Arial"/>
          <w:color w:val="4471C4"/>
        </w:rPr>
        <w:t xml:space="preserve">ignificant </w:t>
      </w:r>
      <w:r w:rsidR="556E2D6A" w:rsidRPr="005D41D9">
        <w:rPr>
          <w:rFonts w:ascii="Arial" w:hAnsi="Arial" w:cs="Arial"/>
          <w:color w:val="4471C4"/>
        </w:rPr>
        <w:t>S</w:t>
      </w:r>
      <w:r w:rsidR="00D4006B" w:rsidRPr="005D41D9">
        <w:rPr>
          <w:rFonts w:ascii="Arial" w:hAnsi="Arial" w:cs="Arial"/>
          <w:color w:val="4471C4"/>
        </w:rPr>
        <w:t xml:space="preserve">kills </w:t>
      </w:r>
      <w:r w:rsidR="653BE314" w:rsidRPr="005D41D9">
        <w:rPr>
          <w:rFonts w:ascii="Arial" w:hAnsi="Arial" w:cs="Arial"/>
          <w:color w:val="4471C4"/>
        </w:rPr>
        <w:t>N</w:t>
      </w:r>
      <w:r w:rsidR="00D4006B" w:rsidRPr="005D41D9">
        <w:rPr>
          <w:rFonts w:ascii="Arial" w:hAnsi="Arial" w:cs="Arial"/>
          <w:color w:val="4471C4"/>
        </w:rPr>
        <w:t xml:space="preserve">eeded for </w:t>
      </w:r>
      <w:r w:rsidR="00CF0F1A" w:rsidRPr="005D41D9">
        <w:rPr>
          <w:rFonts w:ascii="Arial" w:hAnsi="Arial" w:cs="Arial"/>
          <w:color w:val="4471C4"/>
        </w:rPr>
        <w:t>Nurse</w:t>
      </w:r>
      <w:r w:rsidR="007138EF" w:rsidRPr="005D41D9">
        <w:rPr>
          <w:rFonts w:ascii="Arial" w:hAnsi="Arial" w:cs="Arial"/>
          <w:color w:val="4471C4"/>
        </w:rPr>
        <w:t xml:space="preserve"> in Health</w:t>
      </w:r>
      <w:r w:rsidR="655ACEAB" w:rsidRPr="005D41D9">
        <w:rPr>
          <w:rFonts w:ascii="Arial" w:hAnsi="Arial" w:cs="Arial"/>
          <w:color w:val="4471C4"/>
        </w:rPr>
        <w:t xml:space="preserve"> and Social C</w:t>
      </w:r>
      <w:r w:rsidR="007138EF" w:rsidRPr="005D41D9">
        <w:rPr>
          <w:rFonts w:ascii="Arial" w:hAnsi="Arial" w:cs="Arial"/>
          <w:color w:val="4471C4"/>
        </w:rPr>
        <w:t>are</w:t>
      </w:r>
      <w:bookmarkEnd w:id="4"/>
    </w:p>
    <w:p w14:paraId="4644EA39" w14:textId="77777777" w:rsidR="005E52C9" w:rsidRPr="00D36252" w:rsidRDefault="005E52C9" w:rsidP="00D36252">
      <w:pPr>
        <w:spacing w:after="0" w:line="360" w:lineRule="auto"/>
        <w:jc w:val="both"/>
        <w:rPr>
          <w:rFonts w:ascii="Arial" w:hAnsi="Arial" w:cs="Arial"/>
          <w:sz w:val="22"/>
        </w:rPr>
      </w:pPr>
      <w:r w:rsidRPr="00D36252">
        <w:rPr>
          <w:rFonts w:ascii="Arial" w:hAnsi="Arial" w:cs="Arial"/>
          <w:sz w:val="22"/>
        </w:rPr>
        <w:t>Effective therapeutic communication can be a most significant skill in nursing, for accurately assessing patient needs, building trust along with ensuring patient safety (Alreshidi et al., 2024). The therapeutic communication skill helps to support effective practice through enabling nurses to actively listen, convey empathy and clear information to families, patients and the multidisciplinary team. For instance, when a patient is expressing anxiety regarding an upcoming surgical procedure, nurses can practice active listening and use open body language to voice fears before explaining the pre-operative process calmly and reducing anxiety. Moreover, proficient communication is important in health and social care for fostering therapeutic relationships along with ensuring that patients feel understood, heard and safe throughout the care journey.</w:t>
      </w:r>
    </w:p>
    <w:p w14:paraId="5CDA64BF" w14:textId="77777777" w:rsidR="005E52C9" w:rsidRPr="00D36252" w:rsidRDefault="005E52C9" w:rsidP="00D36252">
      <w:pPr>
        <w:spacing w:after="0" w:line="360" w:lineRule="auto"/>
        <w:jc w:val="both"/>
        <w:rPr>
          <w:rFonts w:ascii="Arial" w:hAnsi="Arial" w:cs="Arial"/>
          <w:sz w:val="22"/>
        </w:rPr>
      </w:pPr>
      <w:r w:rsidRPr="00D36252">
        <w:rPr>
          <w:rFonts w:ascii="Arial" w:hAnsi="Arial" w:cs="Arial"/>
          <w:sz w:val="22"/>
        </w:rPr>
        <w:t>Critical thinking is significant in nursing as it enables the logical, fast analysis of patient situations, and allows nurses to anticipate complications and make lifesaving decisions in rapidly changing environments. The critical thinking skill assists to support effective practice through diagnosing, assessing and intervening relied on evidence (Dombrowski et al., 2022). For instance, in the process of checking a patient, a nurse might notice a subtle drop in the blood pressure and instead of waiting for a doctor's round, informing the physician immediately can prevent potential crisis. In health and social care settings, enhancing ability to think critically can aid nurses to manage tasks.</w:t>
      </w:r>
    </w:p>
    <w:p w14:paraId="4157DDA3" w14:textId="19D07C8B" w:rsidR="005E52C9" w:rsidRPr="00D36252" w:rsidRDefault="005E52C9" w:rsidP="00D36252">
      <w:pPr>
        <w:spacing w:after="0" w:line="360" w:lineRule="auto"/>
        <w:jc w:val="both"/>
        <w:rPr>
          <w:rFonts w:ascii="Arial" w:hAnsi="Arial" w:cs="Arial"/>
          <w:sz w:val="22"/>
        </w:rPr>
      </w:pPr>
      <w:r w:rsidRPr="00D36252">
        <w:rPr>
          <w:rFonts w:ascii="Arial" w:hAnsi="Arial" w:cs="Arial"/>
          <w:sz w:val="22"/>
        </w:rPr>
        <w:t>Empathy nursing skill can enhance patient outcomes through allowing nurses to connect with the patients (Abou Hashish, 2025). Empathetic care can aid to ensure that patients feel valued and heard, that can reflect to lower pain perception, accelerate recovery and develop trust in the therapeutic relationship. For instance, in the process of caring for a patient who is frequently non-compliant and irritable so instead of reacting in a defensive way, taking time to ask regarding frustration and other problems can help to modify the approach to involve better strategies in care decisions. Furthermore, empathy skill among nurses can help to develop patient-</w:t>
      </w:r>
      <w:r w:rsidR="008A7B0B" w:rsidRPr="00D36252">
        <w:rPr>
          <w:rFonts w:ascii="Arial" w:hAnsi="Arial" w:cs="Arial"/>
          <w:sz w:val="22"/>
        </w:rPr>
        <w:t>centred</w:t>
      </w:r>
      <w:r w:rsidRPr="00D36252">
        <w:rPr>
          <w:rFonts w:ascii="Arial" w:hAnsi="Arial" w:cs="Arial"/>
          <w:sz w:val="22"/>
        </w:rPr>
        <w:t xml:space="preserve"> care and ensure the psychosocial and emotional needs of patients are addressed with the physical requirements.</w:t>
      </w:r>
    </w:p>
    <w:p w14:paraId="7338813D" w14:textId="62DE7F6B" w:rsidR="00C85A7C" w:rsidRDefault="005E52C9" w:rsidP="00D36252">
      <w:pPr>
        <w:spacing w:after="0" w:line="360" w:lineRule="auto"/>
        <w:jc w:val="both"/>
        <w:rPr>
          <w:rFonts w:ascii="Arial" w:hAnsi="Arial" w:cs="Arial"/>
          <w:sz w:val="22"/>
        </w:rPr>
      </w:pPr>
      <w:r w:rsidRPr="00D36252">
        <w:rPr>
          <w:rFonts w:ascii="Arial" w:hAnsi="Arial" w:cs="Arial"/>
          <w:sz w:val="22"/>
        </w:rPr>
        <w:t xml:space="preserve">Failure developing and applying critical thinking, empathy and therapeutic communication skills in nursing can directly jeopardize the patient's safety as well as result in a fragmented healthcare environment (Alkhaqan and Najaf, 2025). Absence of such skills among nurses can mirror patients feeling uninformed, ignored and unsafe, that can lead to poor treatment compliance and decreased satisfaction. For instance, a nurse relying on a non-empathetic and judgmental approach with a patient having addiction issues, can lead to improper </w:t>
      </w:r>
      <w:r w:rsidRPr="00D36252">
        <w:rPr>
          <w:rFonts w:ascii="Arial" w:hAnsi="Arial" w:cs="Arial"/>
          <w:sz w:val="22"/>
        </w:rPr>
        <w:lastRenderedPageBreak/>
        <w:t>medication. Moreover, critical thinking, therapeutic communication and empathy are essential skills for nurses to deliver high standards of quality care.</w:t>
      </w:r>
    </w:p>
    <w:p w14:paraId="3A3EF439" w14:textId="77777777" w:rsidR="004C6995" w:rsidRPr="00D36252" w:rsidRDefault="004C6995" w:rsidP="00D36252">
      <w:pPr>
        <w:spacing w:after="0" w:line="360" w:lineRule="auto"/>
        <w:jc w:val="both"/>
        <w:rPr>
          <w:rFonts w:ascii="Arial" w:hAnsi="Arial" w:cs="Arial"/>
          <w:sz w:val="22"/>
        </w:rPr>
      </w:pPr>
    </w:p>
    <w:p w14:paraId="2CAEA1EC" w14:textId="351DE14D" w:rsidR="002370CE" w:rsidRPr="004C6995" w:rsidRDefault="1F09BC6E" w:rsidP="00D36252">
      <w:pPr>
        <w:pStyle w:val="Heading2"/>
        <w:spacing w:line="360" w:lineRule="auto"/>
        <w:rPr>
          <w:rFonts w:ascii="Arial" w:hAnsi="Arial" w:cs="Arial"/>
          <w:color w:val="4472C4" w:themeColor="accent1"/>
          <w:sz w:val="36"/>
          <w:szCs w:val="36"/>
        </w:rPr>
      </w:pPr>
      <w:bookmarkStart w:id="5" w:name="_Toc226114010"/>
      <w:r w:rsidRPr="004C6995">
        <w:rPr>
          <w:rFonts w:ascii="Arial" w:hAnsi="Arial" w:cs="Arial"/>
          <w:color w:val="4471C4"/>
          <w:sz w:val="36"/>
          <w:szCs w:val="36"/>
        </w:rPr>
        <w:t>3</w:t>
      </w:r>
      <w:r w:rsidR="005D5457" w:rsidRPr="004C6995">
        <w:rPr>
          <w:rFonts w:ascii="Arial" w:hAnsi="Arial" w:cs="Arial"/>
          <w:color w:val="4471C4"/>
          <w:sz w:val="36"/>
          <w:szCs w:val="36"/>
        </w:rPr>
        <w:t xml:space="preserve"> </w:t>
      </w:r>
      <w:r w:rsidR="003003FD" w:rsidRPr="004C6995">
        <w:rPr>
          <w:rFonts w:ascii="Arial" w:hAnsi="Arial" w:cs="Arial"/>
          <w:color w:val="4471C4"/>
          <w:sz w:val="36"/>
          <w:szCs w:val="36"/>
        </w:rPr>
        <w:t>Strategies</w:t>
      </w:r>
      <w:r w:rsidR="00183CB9" w:rsidRPr="004C6995">
        <w:rPr>
          <w:rFonts w:ascii="Arial" w:hAnsi="Arial" w:cs="Arial"/>
          <w:color w:val="4471C4"/>
          <w:sz w:val="36"/>
          <w:szCs w:val="36"/>
        </w:rPr>
        <w:t xml:space="preserve"> </w:t>
      </w:r>
      <w:r w:rsidR="59AB5A3E" w:rsidRPr="004C6995">
        <w:rPr>
          <w:rFonts w:ascii="Arial" w:hAnsi="Arial" w:cs="Arial"/>
          <w:color w:val="4471C4"/>
          <w:sz w:val="36"/>
          <w:szCs w:val="36"/>
        </w:rPr>
        <w:t xml:space="preserve">for Skill Improvement for </w:t>
      </w:r>
      <w:r w:rsidR="00CF0F1A" w:rsidRPr="004C6995">
        <w:rPr>
          <w:rFonts w:ascii="Arial" w:hAnsi="Arial" w:cs="Arial"/>
          <w:color w:val="4471C4"/>
          <w:sz w:val="36"/>
          <w:szCs w:val="36"/>
        </w:rPr>
        <w:t>Nurse</w:t>
      </w:r>
      <w:bookmarkEnd w:id="5"/>
    </w:p>
    <w:p w14:paraId="01C49510" w14:textId="15F25302" w:rsidR="002370CE" w:rsidRPr="005D41D9" w:rsidRDefault="005D41D9" w:rsidP="00D36252">
      <w:pPr>
        <w:pStyle w:val="Heading2"/>
        <w:spacing w:line="360" w:lineRule="auto"/>
        <w:rPr>
          <w:rFonts w:ascii="Arial" w:hAnsi="Arial" w:cs="Arial"/>
          <w:color w:val="4472C4" w:themeColor="accent1"/>
        </w:rPr>
      </w:pPr>
      <w:bookmarkStart w:id="6" w:name="_Toc226114011"/>
      <w:r>
        <w:rPr>
          <w:rFonts w:ascii="Arial" w:hAnsi="Arial" w:cs="Arial"/>
          <w:color w:val="4471C4"/>
        </w:rPr>
        <w:t xml:space="preserve">  </w:t>
      </w:r>
      <w:r w:rsidR="0C5D0C5C" w:rsidRPr="005D41D9">
        <w:rPr>
          <w:rFonts w:ascii="Arial" w:hAnsi="Arial" w:cs="Arial"/>
          <w:color w:val="4471C4"/>
        </w:rPr>
        <w:t xml:space="preserve">3.1 Three Strategies </w:t>
      </w:r>
      <w:r w:rsidR="00183CB9" w:rsidRPr="005D41D9">
        <w:rPr>
          <w:rFonts w:ascii="Arial" w:hAnsi="Arial" w:cs="Arial"/>
          <w:color w:val="4471C4"/>
        </w:rPr>
        <w:t xml:space="preserve">to </w:t>
      </w:r>
      <w:r w:rsidR="5CE671C3" w:rsidRPr="005D41D9">
        <w:rPr>
          <w:rFonts w:ascii="Arial" w:hAnsi="Arial" w:cs="Arial"/>
          <w:color w:val="4471C4"/>
        </w:rPr>
        <w:t>I</w:t>
      </w:r>
      <w:r w:rsidR="00183CB9" w:rsidRPr="005D41D9">
        <w:rPr>
          <w:rFonts w:ascii="Arial" w:hAnsi="Arial" w:cs="Arial"/>
          <w:color w:val="4471C4"/>
        </w:rPr>
        <w:t xml:space="preserve">mprove the </w:t>
      </w:r>
      <w:r w:rsidR="40F0AB75" w:rsidRPr="005D41D9">
        <w:rPr>
          <w:rFonts w:ascii="Arial" w:hAnsi="Arial" w:cs="Arial"/>
          <w:color w:val="4471C4"/>
        </w:rPr>
        <w:t>S</w:t>
      </w:r>
      <w:r w:rsidR="00183CB9" w:rsidRPr="005D41D9">
        <w:rPr>
          <w:rFonts w:ascii="Arial" w:hAnsi="Arial" w:cs="Arial"/>
          <w:color w:val="4471C4"/>
        </w:rPr>
        <w:t>kills</w:t>
      </w:r>
      <w:r w:rsidR="005D5457" w:rsidRPr="005D41D9">
        <w:rPr>
          <w:rFonts w:ascii="Arial" w:hAnsi="Arial" w:cs="Arial"/>
          <w:color w:val="4471C4"/>
        </w:rPr>
        <w:t xml:space="preserve"> </w:t>
      </w:r>
      <w:r w:rsidR="00070818" w:rsidRPr="005D41D9">
        <w:rPr>
          <w:rFonts w:ascii="Arial" w:hAnsi="Arial" w:cs="Arial"/>
          <w:color w:val="4471C4"/>
        </w:rPr>
        <w:t xml:space="preserve">for </w:t>
      </w:r>
      <w:r w:rsidR="00CF0F1A" w:rsidRPr="005D41D9">
        <w:rPr>
          <w:rFonts w:ascii="Arial" w:hAnsi="Arial" w:cs="Arial"/>
          <w:color w:val="4471C4"/>
        </w:rPr>
        <w:t>Nurse</w:t>
      </w:r>
      <w:bookmarkEnd w:id="6"/>
    </w:p>
    <w:p w14:paraId="05B0BB0D" w14:textId="77777777" w:rsidR="005E52C9" w:rsidRPr="00D36252" w:rsidRDefault="005E52C9" w:rsidP="00D36252">
      <w:pPr>
        <w:pStyle w:val="ListParagraph"/>
        <w:spacing w:after="0" w:line="360" w:lineRule="auto"/>
        <w:ind w:left="0"/>
        <w:jc w:val="both"/>
        <w:rPr>
          <w:rFonts w:ascii="Arial" w:hAnsi="Arial" w:cs="Arial"/>
          <w:sz w:val="22"/>
        </w:rPr>
      </w:pPr>
      <w:r w:rsidRPr="00D36252">
        <w:rPr>
          <w:rFonts w:ascii="Arial" w:hAnsi="Arial" w:cs="Arial"/>
          <w:sz w:val="22"/>
        </w:rPr>
        <w:t>Active listening can be fruitful for improving therapeutic communication skill, specifically with using the “SOLER mnemonic (Sit squarely, Open posture, Lean in, Eye contact, Relax)” for ensuring the patient feels validated and heard. Active listening also helps to understand the intentions, feelings and nonverbal cues. Usage of SOLER, can aid nurses physically demonstrating engagement that can foster trust along with encouraging patients to express emotions freely (Allande-Cussó et al., 2022). For instance, if a patient is nervous regarding upcoming surgery a nurse can communicate regarding the issues and being beside during the process and using SOLER strategy. Moreover, improving active listening is significant as it can directly impact patient satisfaction and safety that can lead to increased adherence to treatment plans with accurate information gathering.</w:t>
      </w:r>
    </w:p>
    <w:p w14:paraId="68048CCE" w14:textId="77777777" w:rsidR="005E52C9" w:rsidRPr="00D36252" w:rsidRDefault="005E52C9" w:rsidP="00D36252">
      <w:pPr>
        <w:pStyle w:val="ListParagraph"/>
        <w:spacing w:after="0" w:line="360" w:lineRule="auto"/>
        <w:ind w:left="0"/>
        <w:jc w:val="both"/>
        <w:rPr>
          <w:rFonts w:ascii="Arial" w:hAnsi="Arial" w:cs="Arial"/>
          <w:sz w:val="22"/>
        </w:rPr>
      </w:pPr>
      <w:r w:rsidRPr="00D36252">
        <w:rPr>
          <w:rFonts w:ascii="Arial" w:hAnsi="Arial" w:cs="Arial"/>
          <w:sz w:val="22"/>
        </w:rPr>
        <w:t>Implementation of unfolding case studies as well as simulation-based learning can be helpful for nurses to enhance critical thinking skills by forcing to actively prioritize, analyse and adapt to the changing patient conditions (Stenseth et al., 2025). Unfolding case studies works as introducing new information incrementally and reflecting the unpredictable nature in clinical practice. Besides this, structured debriefing after the simulations assists in allowing for reflecting on actions. For instance, a nurse participating in a simulation in which a patient is stable post-surgery initially and after the simulation unfolds, situations in which increased heart rate, dropping blood pressure it is significant for nurses to immediately recognize and prioritise interventions. Moreover, enhancing critical thinking with simulation and unfolding case studies is significant to bridge the gap between real-world application and theoretical knowledge.</w:t>
      </w:r>
    </w:p>
    <w:p w14:paraId="58A1B501" w14:textId="119AA5B0" w:rsidR="0156E134" w:rsidRDefault="005E52C9" w:rsidP="00D36252">
      <w:pPr>
        <w:pStyle w:val="ListParagraph"/>
        <w:spacing w:after="0" w:line="360" w:lineRule="auto"/>
        <w:ind w:left="0"/>
        <w:jc w:val="both"/>
        <w:rPr>
          <w:rFonts w:ascii="Arial" w:hAnsi="Arial" w:cs="Arial"/>
          <w:sz w:val="22"/>
        </w:rPr>
      </w:pPr>
      <w:r w:rsidRPr="00D36252">
        <w:rPr>
          <w:rFonts w:ascii="Arial" w:hAnsi="Arial" w:cs="Arial"/>
          <w:sz w:val="22"/>
        </w:rPr>
        <w:t>Immersive simulation-based training, specially using “Virtual Reality (VR)”, can be the effective strategies for enhancing “empathy nursing skills” among nurses (Cho and Kim, 2024). This strategy works through allowing the nurses to provide experiential learning that can target cognitive understanding. For instance, a nurse can participate in a geriatric simulation while interacting with a patient to feel the patient's vulnerability and adapt communication. Further, developing empathy with immersive simulation is important as it is linked to higher compliance and better patient outcomes with treatment plans through nurturing compassionate care.</w:t>
      </w:r>
    </w:p>
    <w:p w14:paraId="23AC5EE3" w14:textId="77777777" w:rsidR="00066EF8" w:rsidRDefault="00066EF8" w:rsidP="00D36252">
      <w:pPr>
        <w:pStyle w:val="ListParagraph"/>
        <w:spacing w:after="0" w:line="360" w:lineRule="auto"/>
        <w:ind w:left="0"/>
        <w:jc w:val="both"/>
        <w:rPr>
          <w:rFonts w:ascii="Arial" w:hAnsi="Arial" w:cs="Arial"/>
          <w:sz w:val="22"/>
        </w:rPr>
      </w:pPr>
    </w:p>
    <w:p w14:paraId="5100AD5C" w14:textId="77777777" w:rsidR="00066EF8" w:rsidRPr="00D36252" w:rsidRDefault="00066EF8" w:rsidP="00D36252">
      <w:pPr>
        <w:pStyle w:val="ListParagraph"/>
        <w:spacing w:after="0" w:line="360" w:lineRule="auto"/>
        <w:ind w:left="0"/>
        <w:jc w:val="both"/>
        <w:rPr>
          <w:rFonts w:ascii="Arial" w:hAnsi="Arial" w:cs="Arial"/>
          <w:sz w:val="21"/>
          <w:szCs w:val="21"/>
        </w:rPr>
      </w:pPr>
    </w:p>
    <w:p w14:paraId="1497148C" w14:textId="5D9ACA22" w:rsidR="00A946CB" w:rsidRPr="004C6995" w:rsidRDefault="5617AA6E" w:rsidP="00D36252">
      <w:pPr>
        <w:pStyle w:val="Heading2"/>
        <w:spacing w:line="360" w:lineRule="auto"/>
        <w:rPr>
          <w:rFonts w:ascii="Arial" w:hAnsi="Arial" w:cs="Arial"/>
          <w:color w:val="4472C4" w:themeColor="accent1"/>
          <w:sz w:val="36"/>
          <w:szCs w:val="36"/>
        </w:rPr>
      </w:pPr>
      <w:bookmarkStart w:id="7" w:name="_Toc226114012"/>
      <w:r w:rsidRPr="004C6995">
        <w:rPr>
          <w:rFonts w:ascii="Arial" w:hAnsi="Arial" w:cs="Arial"/>
          <w:color w:val="4471C4"/>
          <w:sz w:val="36"/>
          <w:szCs w:val="36"/>
        </w:rPr>
        <w:lastRenderedPageBreak/>
        <w:t>4</w:t>
      </w:r>
      <w:r w:rsidR="00A946CB" w:rsidRPr="004C6995">
        <w:rPr>
          <w:rFonts w:ascii="Arial" w:hAnsi="Arial" w:cs="Arial"/>
          <w:color w:val="4471C4"/>
          <w:sz w:val="36"/>
          <w:szCs w:val="36"/>
        </w:rPr>
        <w:t xml:space="preserve"> Conclusion</w:t>
      </w:r>
      <w:bookmarkEnd w:id="7"/>
    </w:p>
    <w:p w14:paraId="6C4B494D" w14:textId="397E3375" w:rsidR="00226D31" w:rsidRPr="00E04045" w:rsidRDefault="005E52C9" w:rsidP="00E04045">
      <w:pPr>
        <w:spacing w:line="360" w:lineRule="auto"/>
        <w:jc w:val="both"/>
        <w:rPr>
          <w:rFonts w:ascii="Arial" w:hAnsi="Arial" w:cs="Arial"/>
          <w:sz w:val="22"/>
        </w:rPr>
      </w:pPr>
      <w:r w:rsidRPr="00D36252">
        <w:rPr>
          <w:rFonts w:ascii="Arial" w:hAnsi="Arial" w:cs="Arial"/>
          <w:sz w:val="22"/>
        </w:rPr>
        <w:t>Based on the above factors, it can be concluded that the role of nurses is diverse and contributes to effective health and social care. The identified skills include therapeutic communication, critical thinking and empathy nursing skills. The key strategies include active listening using SOLER mnemonic, unfolding case studies and simulation-based learning along with immersive simulation-based training can help to enhance skills of nurses. Furthermore, professional roles along with strong skills in health and social care are important to deliver high-quality care, ensure patient safety and foster trust.</w:t>
      </w:r>
      <w:r w:rsidR="00D676C3" w:rsidRPr="00D36252">
        <w:rPr>
          <w:rFonts w:ascii="Arial" w:hAnsi="Arial" w:cs="Arial"/>
          <w:sz w:val="22"/>
        </w:rPr>
        <w:br w:type="page"/>
      </w:r>
      <w:bookmarkStart w:id="8" w:name="_Toc226114013"/>
      <w:r w:rsidR="00226D31" w:rsidRPr="00E04045">
        <w:rPr>
          <w:rFonts w:ascii="Arial" w:hAnsi="Arial" w:cs="Arial"/>
          <w:color w:val="4471C4"/>
          <w:sz w:val="36"/>
          <w:szCs w:val="36"/>
        </w:rPr>
        <w:lastRenderedPageBreak/>
        <w:t>5 Reference List</w:t>
      </w:r>
      <w:bookmarkEnd w:id="8"/>
    </w:p>
    <w:p w14:paraId="2186707F" w14:textId="250C0337" w:rsidR="005D41D9" w:rsidRPr="00A43484" w:rsidRDefault="008A7B0B" w:rsidP="00D36252">
      <w:pPr>
        <w:spacing w:before="200" w:after="200" w:line="360" w:lineRule="auto"/>
        <w:jc w:val="both"/>
        <w:rPr>
          <w:rFonts w:ascii="Arial" w:hAnsi="Arial" w:cs="Arial"/>
          <w:sz w:val="22"/>
          <w:highlight w:val="white"/>
        </w:rPr>
      </w:pPr>
      <w:r w:rsidRPr="00A43484">
        <w:rPr>
          <w:rFonts w:ascii="Arial" w:hAnsi="Arial" w:cs="Arial"/>
          <w:sz w:val="22"/>
          <w:highlight w:val="white"/>
        </w:rPr>
        <w:t xml:space="preserve">Abou Hashish, E.A., 2025. Compassion through technology: Digital empathy concept analysis and implications in nursing. </w:t>
      </w:r>
      <w:proofErr w:type="gramStart"/>
      <w:r w:rsidRPr="00A43484">
        <w:rPr>
          <w:rFonts w:ascii="Arial" w:hAnsi="Arial" w:cs="Arial"/>
          <w:i/>
          <w:iCs/>
          <w:sz w:val="22"/>
          <w:highlight w:val="white"/>
        </w:rPr>
        <w:t>Digital health</w:t>
      </w:r>
      <w:r w:rsidRPr="00A43484">
        <w:rPr>
          <w:rFonts w:ascii="Arial" w:hAnsi="Arial" w:cs="Arial"/>
          <w:sz w:val="22"/>
          <w:highlight w:val="white"/>
        </w:rPr>
        <w:t xml:space="preserve">, </w:t>
      </w:r>
      <w:r w:rsidRPr="00A43484">
        <w:rPr>
          <w:rFonts w:ascii="Arial" w:hAnsi="Arial" w:cs="Arial"/>
          <w:i/>
          <w:iCs/>
          <w:sz w:val="22"/>
          <w:highlight w:val="white"/>
        </w:rPr>
        <w:t>11</w:t>
      </w:r>
      <w:r w:rsidR="005D41D9">
        <w:rPr>
          <w:rFonts w:ascii="Arial" w:hAnsi="Arial" w:cs="Arial"/>
          <w:sz w:val="22"/>
          <w:highlight w:val="white"/>
        </w:rPr>
        <w:t>, p.20552076251326221</w:t>
      </w:r>
      <w:r w:rsidR="00E04045">
        <w:rPr>
          <w:rFonts w:ascii="Arial" w:hAnsi="Arial" w:cs="Arial"/>
          <w:sz w:val="22"/>
          <w:highlight w:val="white"/>
        </w:rPr>
        <w:t>.</w:t>
      </w:r>
      <w:proofErr w:type="gramEnd"/>
      <w:r w:rsidR="005D41D9">
        <w:rPr>
          <w:rFonts w:ascii="Arial" w:hAnsi="Arial" w:cs="Arial"/>
          <w:sz w:val="22"/>
          <w:highlight w:val="white"/>
        </w:rPr>
        <w:t xml:space="preserve"> </w:t>
      </w:r>
      <w:r w:rsidR="00E04045">
        <w:rPr>
          <w:rFonts w:ascii="Arial" w:hAnsi="Arial" w:cs="Arial"/>
          <w:sz w:val="22"/>
          <w:highlight w:val="white"/>
        </w:rPr>
        <w:t xml:space="preserve"> </w:t>
      </w:r>
      <w:r w:rsidR="005D41D9">
        <w:rPr>
          <w:rFonts w:ascii="Arial" w:hAnsi="Arial" w:cs="Arial"/>
          <w:sz w:val="22"/>
          <w:highlight w:val="white"/>
        </w:rPr>
        <w:t xml:space="preserve">Available at: </w:t>
      </w:r>
      <w:hyperlink r:id="rId10" w:history="1">
        <w:r w:rsidR="005D41D9" w:rsidRPr="001E2E2A">
          <w:rPr>
            <w:rStyle w:val="Hyperlink"/>
            <w:rFonts w:ascii="Arial" w:hAnsi="Arial" w:cs="Arial"/>
            <w:sz w:val="22"/>
            <w:highlight w:val="white"/>
          </w:rPr>
          <w:t>http://journals.sagepub.com/home/dhj</w:t>
        </w:r>
      </w:hyperlink>
      <w:r w:rsidR="005D41D9">
        <w:rPr>
          <w:rFonts w:ascii="Arial" w:hAnsi="Arial" w:cs="Arial"/>
          <w:sz w:val="22"/>
          <w:highlight w:val="white"/>
        </w:rPr>
        <w:t xml:space="preserve"> (Accessed: 21 April 2026)</w:t>
      </w:r>
      <w:r w:rsidR="00592D79">
        <w:rPr>
          <w:rFonts w:ascii="Arial" w:hAnsi="Arial" w:cs="Arial"/>
          <w:sz w:val="22"/>
          <w:highlight w:val="white"/>
        </w:rPr>
        <w:t>.</w:t>
      </w:r>
    </w:p>
    <w:p w14:paraId="40EF4CCB" w14:textId="29CFD430" w:rsidR="008A7B0B" w:rsidRPr="00A43484" w:rsidRDefault="008A7B0B" w:rsidP="00D36252">
      <w:pPr>
        <w:spacing w:before="200" w:after="200" w:line="360" w:lineRule="auto"/>
        <w:jc w:val="both"/>
        <w:rPr>
          <w:rFonts w:ascii="Arial" w:hAnsi="Arial" w:cs="Arial"/>
          <w:sz w:val="22"/>
          <w:highlight w:val="white"/>
        </w:rPr>
      </w:pPr>
      <w:r w:rsidRPr="00A43484">
        <w:rPr>
          <w:rFonts w:ascii="Arial" w:hAnsi="Arial" w:cs="Arial"/>
          <w:sz w:val="22"/>
          <w:highlight w:val="white"/>
        </w:rPr>
        <w:t xml:space="preserve">Alhafezy, A.M., Jelly, S.A., </w:t>
      </w:r>
      <w:proofErr w:type="spellStart"/>
      <w:r w:rsidRPr="00A43484">
        <w:rPr>
          <w:rFonts w:ascii="Arial" w:hAnsi="Arial" w:cs="Arial"/>
          <w:sz w:val="22"/>
          <w:highlight w:val="white"/>
        </w:rPr>
        <w:t>Aljumayd</w:t>
      </w:r>
      <w:proofErr w:type="spellEnd"/>
      <w:r w:rsidRPr="00A43484">
        <w:rPr>
          <w:rFonts w:ascii="Arial" w:hAnsi="Arial" w:cs="Arial"/>
          <w:sz w:val="22"/>
          <w:highlight w:val="white"/>
        </w:rPr>
        <w:t xml:space="preserve">, S.S., </w:t>
      </w:r>
      <w:proofErr w:type="spellStart"/>
      <w:r w:rsidRPr="00A43484">
        <w:rPr>
          <w:rFonts w:ascii="Arial" w:hAnsi="Arial" w:cs="Arial"/>
          <w:sz w:val="22"/>
          <w:highlight w:val="white"/>
        </w:rPr>
        <w:t>Almahri</w:t>
      </w:r>
      <w:proofErr w:type="spellEnd"/>
      <w:r w:rsidRPr="00A43484">
        <w:rPr>
          <w:rFonts w:ascii="Arial" w:hAnsi="Arial" w:cs="Arial"/>
          <w:sz w:val="22"/>
          <w:highlight w:val="white"/>
        </w:rPr>
        <w:t xml:space="preserve">, H.S., </w:t>
      </w:r>
      <w:proofErr w:type="spellStart"/>
      <w:r w:rsidRPr="00A43484">
        <w:rPr>
          <w:rFonts w:ascii="Arial" w:hAnsi="Arial" w:cs="Arial"/>
          <w:sz w:val="22"/>
          <w:highlight w:val="white"/>
        </w:rPr>
        <w:t>Alsharari</w:t>
      </w:r>
      <w:proofErr w:type="spellEnd"/>
      <w:r w:rsidRPr="00A43484">
        <w:rPr>
          <w:rFonts w:ascii="Arial" w:hAnsi="Arial" w:cs="Arial"/>
          <w:sz w:val="22"/>
          <w:highlight w:val="white"/>
        </w:rPr>
        <w:t xml:space="preserve">, S.L., </w:t>
      </w:r>
      <w:proofErr w:type="spellStart"/>
      <w:r w:rsidRPr="00A43484">
        <w:rPr>
          <w:rFonts w:ascii="Arial" w:hAnsi="Arial" w:cs="Arial"/>
          <w:sz w:val="22"/>
          <w:highlight w:val="white"/>
        </w:rPr>
        <w:t>AlTliean</w:t>
      </w:r>
      <w:proofErr w:type="spellEnd"/>
      <w:r w:rsidRPr="00A43484">
        <w:rPr>
          <w:rFonts w:ascii="Arial" w:hAnsi="Arial" w:cs="Arial"/>
          <w:sz w:val="22"/>
          <w:highlight w:val="white"/>
        </w:rPr>
        <w:t xml:space="preserve">, A.A., </w:t>
      </w:r>
      <w:proofErr w:type="spellStart"/>
      <w:r w:rsidRPr="00A43484">
        <w:rPr>
          <w:rFonts w:ascii="Arial" w:hAnsi="Arial" w:cs="Arial"/>
          <w:sz w:val="22"/>
          <w:highlight w:val="white"/>
        </w:rPr>
        <w:t>Alhafezy</w:t>
      </w:r>
      <w:proofErr w:type="spellEnd"/>
      <w:r w:rsidRPr="00A43484">
        <w:rPr>
          <w:rFonts w:ascii="Arial" w:hAnsi="Arial" w:cs="Arial"/>
          <w:sz w:val="22"/>
          <w:highlight w:val="white"/>
        </w:rPr>
        <w:t xml:space="preserve">, R.M., </w:t>
      </w:r>
      <w:proofErr w:type="spellStart"/>
      <w:r w:rsidRPr="00A43484">
        <w:rPr>
          <w:rFonts w:ascii="Arial" w:hAnsi="Arial" w:cs="Arial"/>
          <w:sz w:val="22"/>
          <w:highlight w:val="white"/>
        </w:rPr>
        <w:t>Alsulami</w:t>
      </w:r>
      <w:proofErr w:type="spellEnd"/>
      <w:r w:rsidRPr="00A43484">
        <w:rPr>
          <w:rFonts w:ascii="Arial" w:hAnsi="Arial" w:cs="Arial"/>
          <w:sz w:val="22"/>
          <w:highlight w:val="white"/>
        </w:rPr>
        <w:t xml:space="preserve">, A.Q., Al Musharraf, A.M., Alshahrani, S.S.S. and Al-Harbi, A.S.S., 2025. The Role of Multiple Specialties Collaboration: Laboratory Services, Rehabilitation and Nursing Care in Improving Patient Integrated Management. </w:t>
      </w:r>
      <w:proofErr w:type="gramStart"/>
      <w:r w:rsidRPr="00A43484">
        <w:rPr>
          <w:rFonts w:ascii="Arial" w:hAnsi="Arial" w:cs="Arial"/>
          <w:i/>
          <w:iCs/>
          <w:sz w:val="22"/>
          <w:highlight w:val="white"/>
        </w:rPr>
        <w:t>Journal of Clinical Practice and Medical Research</w:t>
      </w:r>
      <w:r w:rsidRPr="00A43484">
        <w:rPr>
          <w:rFonts w:ascii="Arial" w:hAnsi="Arial" w:cs="Arial"/>
          <w:sz w:val="22"/>
          <w:highlight w:val="white"/>
        </w:rPr>
        <w:t xml:space="preserve">, </w:t>
      </w:r>
      <w:r w:rsidRPr="00A43484">
        <w:rPr>
          <w:rFonts w:ascii="Arial" w:hAnsi="Arial" w:cs="Arial"/>
          <w:i/>
          <w:iCs/>
          <w:sz w:val="22"/>
          <w:highlight w:val="white"/>
        </w:rPr>
        <w:t>1</w:t>
      </w:r>
      <w:r w:rsidRPr="00A43484">
        <w:rPr>
          <w:rFonts w:ascii="Arial" w:hAnsi="Arial" w:cs="Arial"/>
          <w:sz w:val="22"/>
          <w:highlight w:val="white"/>
        </w:rPr>
        <w:t>(3), pp.116-125.</w:t>
      </w:r>
      <w:proofErr w:type="gramEnd"/>
      <w:r w:rsidR="00E04045">
        <w:rPr>
          <w:rFonts w:ascii="Arial" w:hAnsi="Arial" w:cs="Arial"/>
          <w:sz w:val="22"/>
          <w:highlight w:val="white"/>
        </w:rPr>
        <w:t xml:space="preserve">  </w:t>
      </w:r>
      <w:r w:rsidR="00E04045">
        <w:rPr>
          <w:rFonts w:ascii="Arial" w:hAnsi="Arial" w:cs="Arial"/>
          <w:sz w:val="22"/>
          <w:highlight w:val="white"/>
        </w:rPr>
        <w:t>A</w:t>
      </w:r>
      <w:r w:rsidR="00E04045">
        <w:rPr>
          <w:rFonts w:ascii="Arial" w:hAnsi="Arial" w:cs="Arial"/>
          <w:sz w:val="22"/>
          <w:highlight w:val="white"/>
        </w:rPr>
        <w:t xml:space="preserve">vailable </w:t>
      </w:r>
      <w:r w:rsidR="00E04045">
        <w:rPr>
          <w:rFonts w:ascii="Arial" w:hAnsi="Arial" w:cs="Arial"/>
          <w:sz w:val="22"/>
          <w:highlight w:val="white"/>
        </w:rPr>
        <w:t>at:</w:t>
      </w:r>
      <w:r w:rsidR="00E04045">
        <w:rPr>
          <w:rFonts w:ascii="Arial" w:hAnsi="Arial" w:cs="Arial"/>
          <w:sz w:val="22"/>
          <w:highlight w:val="white"/>
        </w:rPr>
        <w:t xml:space="preserve"> </w:t>
      </w:r>
      <w:hyperlink r:id="rId11" w:history="1">
        <w:r w:rsidR="00E04045" w:rsidRPr="001E2E2A">
          <w:rPr>
            <w:rStyle w:val="Hyperlink"/>
            <w:rFonts w:ascii="Arial" w:hAnsi="Arial" w:cs="Arial"/>
            <w:sz w:val="22"/>
            <w:highlight w:val="white"/>
          </w:rPr>
          <w:t>https://www.jcpmr.com</w:t>
        </w:r>
      </w:hyperlink>
      <w:r w:rsidR="00E04045">
        <w:rPr>
          <w:rFonts w:ascii="Arial" w:hAnsi="Arial" w:cs="Arial"/>
          <w:sz w:val="22"/>
          <w:highlight w:val="white"/>
        </w:rPr>
        <w:t xml:space="preserve"> (</w:t>
      </w:r>
      <w:r w:rsidR="00E04045">
        <w:rPr>
          <w:rFonts w:ascii="Arial" w:hAnsi="Arial" w:cs="Arial"/>
          <w:sz w:val="22"/>
          <w:highlight w:val="white"/>
        </w:rPr>
        <w:t>Accessed: 21 April 2026</w:t>
      </w:r>
      <w:r w:rsidR="00E04045">
        <w:rPr>
          <w:rFonts w:ascii="Arial" w:hAnsi="Arial" w:cs="Arial"/>
          <w:sz w:val="22"/>
          <w:highlight w:val="white"/>
        </w:rPr>
        <w:t>)</w:t>
      </w:r>
      <w:r w:rsidR="00592D79">
        <w:rPr>
          <w:rFonts w:ascii="Arial" w:hAnsi="Arial" w:cs="Arial"/>
          <w:sz w:val="22"/>
          <w:highlight w:val="white"/>
        </w:rPr>
        <w:t>.</w:t>
      </w:r>
    </w:p>
    <w:p w14:paraId="3761DD2A" w14:textId="316C7BA2" w:rsidR="008A7B0B" w:rsidRPr="00A43484" w:rsidRDefault="008A7B0B" w:rsidP="00D36252">
      <w:pPr>
        <w:spacing w:before="200" w:after="200" w:line="360" w:lineRule="auto"/>
        <w:jc w:val="both"/>
        <w:rPr>
          <w:rFonts w:ascii="Arial" w:hAnsi="Arial" w:cs="Arial"/>
          <w:sz w:val="22"/>
          <w:highlight w:val="white"/>
        </w:rPr>
      </w:pPr>
      <w:r w:rsidRPr="00A43484">
        <w:rPr>
          <w:rFonts w:ascii="Arial" w:hAnsi="Arial" w:cs="Arial"/>
          <w:sz w:val="22"/>
          <w:highlight w:val="white"/>
        </w:rPr>
        <w:t xml:space="preserve">Alkhaqan, A.L. and Najaf, A., 2025. Effective Communication in Nursing Clinical Practice. </w:t>
      </w:r>
      <w:proofErr w:type="gramStart"/>
      <w:r w:rsidRPr="00A43484">
        <w:rPr>
          <w:rFonts w:ascii="Arial" w:hAnsi="Arial" w:cs="Arial"/>
          <w:i/>
          <w:iCs/>
          <w:sz w:val="22"/>
          <w:highlight w:val="white"/>
        </w:rPr>
        <w:t>Asian Journal of Medical Research and Health Sciences</w:t>
      </w:r>
      <w:r w:rsidRPr="00A43484">
        <w:rPr>
          <w:rFonts w:ascii="Arial" w:hAnsi="Arial" w:cs="Arial"/>
          <w:sz w:val="22"/>
          <w:highlight w:val="white"/>
        </w:rPr>
        <w:t xml:space="preserve">, </w:t>
      </w:r>
      <w:r w:rsidRPr="00A43484">
        <w:rPr>
          <w:rFonts w:ascii="Arial" w:hAnsi="Arial" w:cs="Arial"/>
          <w:i/>
          <w:iCs/>
          <w:sz w:val="22"/>
          <w:highlight w:val="white"/>
        </w:rPr>
        <w:t>3</w:t>
      </w:r>
      <w:r w:rsidRPr="00A43484">
        <w:rPr>
          <w:rFonts w:ascii="Arial" w:hAnsi="Arial" w:cs="Arial"/>
          <w:sz w:val="22"/>
          <w:highlight w:val="white"/>
        </w:rPr>
        <w:t>(01), pp.1-7.</w:t>
      </w:r>
      <w:proofErr w:type="gramEnd"/>
      <w:r w:rsidR="00E04045">
        <w:rPr>
          <w:rFonts w:ascii="Arial" w:hAnsi="Arial" w:cs="Arial"/>
          <w:sz w:val="22"/>
          <w:highlight w:val="white"/>
        </w:rPr>
        <w:t xml:space="preserve">  </w:t>
      </w:r>
      <w:r w:rsidR="00E04045">
        <w:rPr>
          <w:rFonts w:ascii="Arial" w:hAnsi="Arial" w:cs="Arial"/>
          <w:sz w:val="22"/>
          <w:highlight w:val="white"/>
        </w:rPr>
        <w:t>Available at:</w:t>
      </w:r>
      <w:r w:rsidR="00E04045">
        <w:rPr>
          <w:rFonts w:ascii="Arial" w:hAnsi="Arial" w:cs="Arial"/>
          <w:sz w:val="22"/>
          <w:highlight w:val="white"/>
        </w:rPr>
        <w:t xml:space="preserve"> </w:t>
      </w:r>
      <w:hyperlink r:id="rId12" w:history="1">
        <w:r w:rsidR="00592D79" w:rsidRPr="001E2E2A">
          <w:rPr>
            <w:rStyle w:val="Hyperlink"/>
            <w:rFonts w:ascii="Arial" w:hAnsi="Arial" w:cs="Arial"/>
            <w:sz w:val="22"/>
            <w:highlight w:val="white"/>
          </w:rPr>
          <w:t>https://ajmrhs.com</w:t>
        </w:r>
      </w:hyperlink>
      <w:r w:rsidR="00592D79">
        <w:rPr>
          <w:rFonts w:ascii="Arial" w:hAnsi="Arial" w:cs="Arial"/>
          <w:sz w:val="22"/>
          <w:highlight w:val="white"/>
        </w:rPr>
        <w:t xml:space="preserve">  (Accessed: 21 April 2026</w:t>
      </w:r>
      <w:proofErr w:type="gramStart"/>
      <w:r w:rsidR="00592D79">
        <w:rPr>
          <w:rFonts w:ascii="Arial" w:hAnsi="Arial" w:cs="Arial"/>
          <w:sz w:val="22"/>
          <w:highlight w:val="white"/>
        </w:rPr>
        <w:t>) .</w:t>
      </w:r>
      <w:proofErr w:type="gramEnd"/>
    </w:p>
    <w:p w14:paraId="406E70CB" w14:textId="1F6441BC" w:rsidR="008A7B0B" w:rsidRPr="00A43484" w:rsidRDefault="008A7B0B" w:rsidP="00D36252">
      <w:pPr>
        <w:spacing w:before="200" w:after="200" w:line="360" w:lineRule="auto"/>
        <w:jc w:val="both"/>
        <w:rPr>
          <w:rFonts w:ascii="Arial" w:hAnsi="Arial" w:cs="Arial"/>
          <w:sz w:val="22"/>
          <w:highlight w:val="white"/>
        </w:rPr>
      </w:pPr>
      <w:proofErr w:type="gramStart"/>
      <w:r w:rsidRPr="00A43484">
        <w:rPr>
          <w:rFonts w:ascii="Arial" w:hAnsi="Arial" w:cs="Arial"/>
          <w:sz w:val="22"/>
          <w:highlight w:val="white"/>
        </w:rPr>
        <w:t>Allande-Cussó, R., Fernández-García, E. and Porcel-Gálvez, A.M., 2022.</w:t>
      </w:r>
      <w:proofErr w:type="gramEnd"/>
      <w:r w:rsidRPr="00A43484">
        <w:rPr>
          <w:rFonts w:ascii="Arial" w:hAnsi="Arial" w:cs="Arial"/>
          <w:sz w:val="22"/>
          <w:highlight w:val="white"/>
        </w:rPr>
        <w:t xml:space="preserve"> Defining and characterising the nurse–patient relationship: A concept analysis. </w:t>
      </w:r>
      <w:proofErr w:type="gramStart"/>
      <w:r w:rsidRPr="00A43484">
        <w:rPr>
          <w:rFonts w:ascii="Arial" w:hAnsi="Arial" w:cs="Arial"/>
          <w:i/>
          <w:iCs/>
          <w:sz w:val="22"/>
          <w:highlight w:val="white"/>
        </w:rPr>
        <w:t>Nursing ethics</w:t>
      </w:r>
      <w:r w:rsidRPr="00A43484">
        <w:rPr>
          <w:rFonts w:ascii="Arial" w:hAnsi="Arial" w:cs="Arial"/>
          <w:sz w:val="22"/>
          <w:highlight w:val="white"/>
        </w:rPr>
        <w:t xml:space="preserve">, </w:t>
      </w:r>
      <w:r w:rsidRPr="00A43484">
        <w:rPr>
          <w:rFonts w:ascii="Arial" w:hAnsi="Arial" w:cs="Arial"/>
          <w:i/>
          <w:iCs/>
          <w:sz w:val="22"/>
          <w:highlight w:val="white"/>
        </w:rPr>
        <w:t>29</w:t>
      </w:r>
      <w:r w:rsidRPr="00A43484">
        <w:rPr>
          <w:rFonts w:ascii="Arial" w:hAnsi="Arial" w:cs="Arial"/>
          <w:sz w:val="22"/>
          <w:highlight w:val="white"/>
        </w:rPr>
        <w:t>(2), pp.462-484.</w:t>
      </w:r>
      <w:proofErr w:type="gramEnd"/>
      <w:r w:rsidR="00592D79">
        <w:rPr>
          <w:rFonts w:ascii="Arial" w:hAnsi="Arial" w:cs="Arial"/>
          <w:sz w:val="22"/>
          <w:highlight w:val="white"/>
        </w:rPr>
        <w:t xml:space="preserve">  </w:t>
      </w:r>
      <w:r w:rsidR="00592D79">
        <w:rPr>
          <w:rFonts w:ascii="Arial" w:hAnsi="Arial" w:cs="Arial"/>
          <w:sz w:val="22"/>
          <w:highlight w:val="white"/>
        </w:rPr>
        <w:t>Available at:</w:t>
      </w:r>
      <w:r w:rsidR="00592D79">
        <w:rPr>
          <w:rFonts w:ascii="Arial" w:hAnsi="Arial" w:cs="Arial"/>
          <w:sz w:val="22"/>
          <w:highlight w:val="white"/>
        </w:rPr>
        <w:t xml:space="preserve"> </w:t>
      </w:r>
      <w:hyperlink r:id="rId13" w:history="1">
        <w:r w:rsidR="00592D79" w:rsidRPr="001E2E2A">
          <w:rPr>
            <w:rStyle w:val="Hyperlink"/>
            <w:rFonts w:ascii="Arial" w:hAnsi="Arial" w:cs="Arial"/>
            <w:sz w:val="22"/>
            <w:highlight w:val="white"/>
          </w:rPr>
          <w:t>https://doi.org/10.1177/09697330211046651</w:t>
        </w:r>
      </w:hyperlink>
      <w:r w:rsidR="00592D79">
        <w:rPr>
          <w:rFonts w:ascii="Arial" w:hAnsi="Arial" w:cs="Arial"/>
          <w:sz w:val="22"/>
          <w:highlight w:val="white"/>
        </w:rPr>
        <w:t xml:space="preserve"> (Accessed: 21 April 2026).</w:t>
      </w:r>
    </w:p>
    <w:p w14:paraId="67EA0219" w14:textId="38A14F19" w:rsidR="008A7B0B" w:rsidRPr="00A43484" w:rsidRDefault="008A7B0B" w:rsidP="00D36252">
      <w:pPr>
        <w:spacing w:before="200" w:after="200" w:line="360" w:lineRule="auto"/>
        <w:jc w:val="both"/>
        <w:rPr>
          <w:rFonts w:ascii="Arial" w:hAnsi="Arial" w:cs="Arial"/>
          <w:sz w:val="22"/>
          <w:highlight w:val="white"/>
        </w:rPr>
      </w:pPr>
      <w:proofErr w:type="gramStart"/>
      <w:r w:rsidRPr="00A43484">
        <w:rPr>
          <w:rFonts w:ascii="Arial" w:hAnsi="Arial" w:cs="Arial"/>
          <w:sz w:val="22"/>
          <w:highlight w:val="white"/>
        </w:rPr>
        <w:t xml:space="preserve">Alreshidi, M.R., </w:t>
      </w:r>
      <w:proofErr w:type="spellStart"/>
      <w:r w:rsidRPr="00A43484">
        <w:rPr>
          <w:rFonts w:ascii="Arial" w:hAnsi="Arial" w:cs="Arial"/>
          <w:sz w:val="22"/>
          <w:highlight w:val="white"/>
        </w:rPr>
        <w:t>Alshammari</w:t>
      </w:r>
      <w:proofErr w:type="spellEnd"/>
      <w:r w:rsidRPr="00A43484">
        <w:rPr>
          <w:rFonts w:ascii="Arial" w:hAnsi="Arial" w:cs="Arial"/>
          <w:sz w:val="22"/>
          <w:highlight w:val="white"/>
        </w:rPr>
        <w:t xml:space="preserve">, A.S.S., </w:t>
      </w:r>
      <w:proofErr w:type="spellStart"/>
      <w:r w:rsidRPr="00A43484">
        <w:rPr>
          <w:rFonts w:ascii="Arial" w:hAnsi="Arial" w:cs="Arial"/>
          <w:sz w:val="22"/>
          <w:highlight w:val="white"/>
        </w:rPr>
        <w:t>Alruwaili</w:t>
      </w:r>
      <w:proofErr w:type="spellEnd"/>
      <w:r w:rsidRPr="00A43484">
        <w:rPr>
          <w:rFonts w:ascii="Arial" w:hAnsi="Arial" w:cs="Arial"/>
          <w:sz w:val="22"/>
          <w:highlight w:val="white"/>
        </w:rPr>
        <w:t xml:space="preserve">, M.O.H., </w:t>
      </w:r>
      <w:proofErr w:type="spellStart"/>
      <w:r w:rsidRPr="00A43484">
        <w:rPr>
          <w:rFonts w:ascii="Arial" w:hAnsi="Arial" w:cs="Arial"/>
          <w:sz w:val="22"/>
          <w:highlight w:val="white"/>
        </w:rPr>
        <w:t>Alruwaill</w:t>
      </w:r>
      <w:proofErr w:type="spellEnd"/>
      <w:r w:rsidRPr="00A43484">
        <w:rPr>
          <w:rFonts w:ascii="Arial" w:hAnsi="Arial" w:cs="Arial"/>
          <w:sz w:val="22"/>
          <w:highlight w:val="white"/>
        </w:rPr>
        <w:t>, H.G., Al-Shammari, H.K.H., Al-</w:t>
      </w:r>
      <w:proofErr w:type="spellStart"/>
      <w:r w:rsidRPr="00A43484">
        <w:rPr>
          <w:rFonts w:ascii="Arial" w:hAnsi="Arial" w:cs="Arial"/>
          <w:sz w:val="22"/>
          <w:highlight w:val="white"/>
        </w:rPr>
        <w:t>Shammari</w:t>
      </w:r>
      <w:proofErr w:type="spellEnd"/>
      <w:r w:rsidRPr="00A43484">
        <w:rPr>
          <w:rFonts w:ascii="Arial" w:hAnsi="Arial" w:cs="Arial"/>
          <w:sz w:val="22"/>
          <w:highlight w:val="white"/>
        </w:rPr>
        <w:t xml:space="preserve">, A.M., </w:t>
      </w:r>
      <w:proofErr w:type="spellStart"/>
      <w:r w:rsidRPr="00A43484">
        <w:rPr>
          <w:rFonts w:ascii="Arial" w:hAnsi="Arial" w:cs="Arial"/>
          <w:sz w:val="22"/>
          <w:highlight w:val="white"/>
        </w:rPr>
        <w:t>Alanzy</w:t>
      </w:r>
      <w:proofErr w:type="spellEnd"/>
      <w:r w:rsidRPr="00A43484">
        <w:rPr>
          <w:rFonts w:ascii="Arial" w:hAnsi="Arial" w:cs="Arial"/>
          <w:sz w:val="22"/>
          <w:highlight w:val="white"/>
        </w:rPr>
        <w:t xml:space="preserve">, K.M.A. and </w:t>
      </w:r>
      <w:proofErr w:type="spellStart"/>
      <w:r w:rsidRPr="00A43484">
        <w:rPr>
          <w:rFonts w:ascii="Arial" w:hAnsi="Arial" w:cs="Arial"/>
          <w:sz w:val="22"/>
          <w:highlight w:val="white"/>
        </w:rPr>
        <w:t>Alanzy</w:t>
      </w:r>
      <w:proofErr w:type="spellEnd"/>
      <w:r w:rsidRPr="00A43484">
        <w:rPr>
          <w:rFonts w:ascii="Arial" w:hAnsi="Arial" w:cs="Arial"/>
          <w:sz w:val="22"/>
          <w:highlight w:val="white"/>
        </w:rPr>
        <w:t>, N.M.A., 2024.</w:t>
      </w:r>
      <w:proofErr w:type="gramEnd"/>
      <w:r w:rsidRPr="00A43484">
        <w:rPr>
          <w:rFonts w:ascii="Arial" w:hAnsi="Arial" w:cs="Arial"/>
          <w:sz w:val="22"/>
          <w:highlight w:val="white"/>
        </w:rPr>
        <w:t xml:space="preserve"> Effective Communication Between Nurses And Patients And Its Impact On Healthcare. </w:t>
      </w:r>
      <w:proofErr w:type="gramStart"/>
      <w:r w:rsidRPr="00A43484">
        <w:rPr>
          <w:rFonts w:ascii="Arial" w:hAnsi="Arial" w:cs="Arial"/>
          <w:i/>
          <w:iCs/>
          <w:sz w:val="22"/>
          <w:highlight w:val="white"/>
        </w:rPr>
        <w:t>The Review of Diabetic Studies</w:t>
      </w:r>
      <w:r w:rsidRPr="00A43484">
        <w:rPr>
          <w:rFonts w:ascii="Arial" w:hAnsi="Arial" w:cs="Arial"/>
          <w:sz w:val="22"/>
          <w:highlight w:val="white"/>
        </w:rPr>
        <w:t>, pp.589-610.</w:t>
      </w:r>
      <w:proofErr w:type="gramEnd"/>
      <w:r w:rsidR="00592D79">
        <w:rPr>
          <w:rFonts w:ascii="Arial" w:hAnsi="Arial" w:cs="Arial"/>
          <w:sz w:val="22"/>
          <w:highlight w:val="white"/>
        </w:rPr>
        <w:t xml:space="preserve"> </w:t>
      </w:r>
      <w:r w:rsidR="00592D79">
        <w:rPr>
          <w:rFonts w:ascii="Arial" w:hAnsi="Arial" w:cs="Arial"/>
          <w:sz w:val="22"/>
          <w:highlight w:val="white"/>
        </w:rPr>
        <w:t>Available at:</w:t>
      </w:r>
      <w:r w:rsidR="00592D79">
        <w:rPr>
          <w:rFonts w:ascii="Arial" w:hAnsi="Arial" w:cs="Arial"/>
          <w:sz w:val="22"/>
          <w:highlight w:val="white"/>
        </w:rPr>
        <w:t xml:space="preserve"> </w:t>
      </w:r>
      <w:hyperlink r:id="rId14" w:history="1">
        <w:r w:rsidR="00592D79" w:rsidRPr="001E2E2A">
          <w:rPr>
            <w:rStyle w:val="Hyperlink"/>
            <w:rFonts w:ascii="Arial" w:hAnsi="Arial" w:cs="Arial"/>
            <w:sz w:val="22"/>
            <w:highlight w:val="white"/>
          </w:rPr>
          <w:t>https://www.diabeticstdies.org</w:t>
        </w:r>
      </w:hyperlink>
      <w:r w:rsidR="00592D79">
        <w:rPr>
          <w:rFonts w:ascii="Arial" w:hAnsi="Arial" w:cs="Arial"/>
          <w:sz w:val="22"/>
          <w:highlight w:val="white"/>
        </w:rPr>
        <w:t xml:space="preserve"> (Accessed: 21 April 2026).</w:t>
      </w:r>
    </w:p>
    <w:p w14:paraId="175F5792" w14:textId="77C2C0B2" w:rsidR="008A7B0B" w:rsidRPr="00A43484" w:rsidRDefault="008A7B0B" w:rsidP="00D36252">
      <w:pPr>
        <w:spacing w:before="200" w:after="200" w:line="360" w:lineRule="auto"/>
        <w:jc w:val="both"/>
        <w:rPr>
          <w:rFonts w:ascii="Arial" w:hAnsi="Arial" w:cs="Arial"/>
          <w:sz w:val="22"/>
        </w:rPr>
      </w:pPr>
      <w:r w:rsidRPr="00A43484">
        <w:rPr>
          <w:rFonts w:ascii="Arial" w:hAnsi="Arial" w:cs="Arial"/>
          <w:sz w:val="22"/>
          <w:highlight w:val="white"/>
        </w:rPr>
        <w:t xml:space="preserve">Cho, M.K. and Kim, M.Y., 2024. Effectiveness of simulation-based interventions on empathy enhancement among nursing students: a systematic literature review and meta-analysis. </w:t>
      </w:r>
      <w:proofErr w:type="gramStart"/>
      <w:r w:rsidRPr="00A43484">
        <w:rPr>
          <w:rFonts w:ascii="Arial" w:hAnsi="Arial" w:cs="Arial"/>
          <w:i/>
          <w:iCs/>
          <w:sz w:val="22"/>
          <w:highlight w:val="white"/>
        </w:rPr>
        <w:t>BMC nursing</w:t>
      </w:r>
      <w:r w:rsidRPr="00A43484">
        <w:rPr>
          <w:rFonts w:ascii="Arial" w:hAnsi="Arial" w:cs="Arial"/>
          <w:sz w:val="22"/>
          <w:highlight w:val="white"/>
        </w:rPr>
        <w:t xml:space="preserve">, </w:t>
      </w:r>
      <w:r w:rsidRPr="00A43484">
        <w:rPr>
          <w:rFonts w:ascii="Arial" w:hAnsi="Arial" w:cs="Arial"/>
          <w:i/>
          <w:iCs/>
          <w:sz w:val="22"/>
          <w:highlight w:val="white"/>
        </w:rPr>
        <w:t>23</w:t>
      </w:r>
      <w:r w:rsidRPr="00A43484">
        <w:rPr>
          <w:rFonts w:ascii="Arial" w:hAnsi="Arial" w:cs="Arial"/>
          <w:sz w:val="22"/>
          <w:highlight w:val="white"/>
        </w:rPr>
        <w:t>(1), p.319.</w:t>
      </w:r>
      <w:proofErr w:type="gramEnd"/>
      <w:r w:rsidR="00592D79">
        <w:rPr>
          <w:rFonts w:ascii="Arial" w:hAnsi="Arial" w:cs="Arial"/>
          <w:sz w:val="22"/>
        </w:rPr>
        <w:t xml:space="preserve"> </w:t>
      </w:r>
      <w:r w:rsidR="00643D29">
        <w:rPr>
          <w:rFonts w:ascii="Arial" w:hAnsi="Arial" w:cs="Arial"/>
          <w:sz w:val="22"/>
          <w:highlight w:val="white"/>
        </w:rPr>
        <w:t>Available at:</w:t>
      </w:r>
      <w:r w:rsidR="00643D29">
        <w:rPr>
          <w:rFonts w:ascii="Arial" w:hAnsi="Arial" w:cs="Arial"/>
          <w:sz w:val="22"/>
        </w:rPr>
        <w:t xml:space="preserve"> </w:t>
      </w:r>
      <w:hyperlink r:id="rId15" w:history="1">
        <w:r w:rsidR="00643D29" w:rsidRPr="001E2E2A">
          <w:rPr>
            <w:rStyle w:val="Hyperlink"/>
            <w:rFonts w:ascii="Arial" w:hAnsi="Arial" w:cs="Arial"/>
            <w:sz w:val="22"/>
          </w:rPr>
          <w:t>https://doi.org/10.1186/s12912-024-01802-5</w:t>
        </w:r>
      </w:hyperlink>
      <w:r w:rsidR="00643D29">
        <w:rPr>
          <w:rFonts w:ascii="Arial" w:hAnsi="Arial" w:cs="Arial"/>
          <w:sz w:val="22"/>
        </w:rPr>
        <w:t xml:space="preserve"> (Accessed: 21 April 2026).</w:t>
      </w:r>
    </w:p>
    <w:p w14:paraId="3FAF3163" w14:textId="2DEBCDA9" w:rsidR="008A7B0B" w:rsidRPr="00A43484" w:rsidRDefault="008A7B0B" w:rsidP="00D36252">
      <w:pPr>
        <w:spacing w:before="200" w:after="200" w:line="360" w:lineRule="auto"/>
        <w:jc w:val="both"/>
        <w:rPr>
          <w:rFonts w:ascii="Arial" w:hAnsi="Arial" w:cs="Arial"/>
          <w:sz w:val="22"/>
          <w:highlight w:val="white"/>
        </w:rPr>
      </w:pPr>
      <w:proofErr w:type="gramStart"/>
      <w:r w:rsidRPr="00A43484">
        <w:rPr>
          <w:rFonts w:ascii="Arial" w:hAnsi="Arial" w:cs="Arial"/>
          <w:sz w:val="22"/>
          <w:highlight w:val="white"/>
        </w:rPr>
        <w:t xml:space="preserve">Dombrowski, S.C., J. McGill, R., Farmer, R.L., Kranzler, J.H. and </w:t>
      </w:r>
      <w:proofErr w:type="spellStart"/>
      <w:r w:rsidRPr="00A43484">
        <w:rPr>
          <w:rFonts w:ascii="Arial" w:hAnsi="Arial" w:cs="Arial"/>
          <w:sz w:val="22"/>
          <w:highlight w:val="white"/>
        </w:rPr>
        <w:t>Canivez</w:t>
      </w:r>
      <w:proofErr w:type="spellEnd"/>
      <w:r w:rsidRPr="00A43484">
        <w:rPr>
          <w:rFonts w:ascii="Arial" w:hAnsi="Arial" w:cs="Arial"/>
          <w:sz w:val="22"/>
          <w:highlight w:val="white"/>
        </w:rPr>
        <w:t>, G.L., 2022.</w:t>
      </w:r>
      <w:proofErr w:type="gramEnd"/>
      <w:r w:rsidRPr="00A43484">
        <w:rPr>
          <w:rFonts w:ascii="Arial" w:hAnsi="Arial" w:cs="Arial"/>
          <w:sz w:val="22"/>
          <w:highlight w:val="white"/>
        </w:rPr>
        <w:t xml:space="preserve"> Beyond the rhetoric of evidence-based assessment: A framework for critical thinking in clinical practice. </w:t>
      </w:r>
      <w:proofErr w:type="gramStart"/>
      <w:r w:rsidRPr="00A43484">
        <w:rPr>
          <w:rFonts w:ascii="Arial" w:hAnsi="Arial" w:cs="Arial"/>
          <w:i/>
          <w:iCs/>
          <w:sz w:val="22"/>
          <w:highlight w:val="white"/>
        </w:rPr>
        <w:t>School Psychology Review</w:t>
      </w:r>
      <w:r w:rsidRPr="00A43484">
        <w:rPr>
          <w:rFonts w:ascii="Arial" w:hAnsi="Arial" w:cs="Arial"/>
          <w:sz w:val="22"/>
          <w:highlight w:val="white"/>
        </w:rPr>
        <w:t xml:space="preserve">, </w:t>
      </w:r>
      <w:r w:rsidRPr="00A43484">
        <w:rPr>
          <w:rFonts w:ascii="Arial" w:hAnsi="Arial" w:cs="Arial"/>
          <w:i/>
          <w:iCs/>
          <w:sz w:val="22"/>
          <w:highlight w:val="white"/>
        </w:rPr>
        <w:t>51</w:t>
      </w:r>
      <w:r w:rsidRPr="00A43484">
        <w:rPr>
          <w:rFonts w:ascii="Arial" w:hAnsi="Arial" w:cs="Arial"/>
          <w:sz w:val="22"/>
          <w:highlight w:val="white"/>
        </w:rPr>
        <w:t>(6), pp.771-784.</w:t>
      </w:r>
      <w:proofErr w:type="gramEnd"/>
      <w:r w:rsidR="00643D29">
        <w:rPr>
          <w:rFonts w:ascii="Arial" w:hAnsi="Arial" w:cs="Arial"/>
          <w:sz w:val="22"/>
          <w:highlight w:val="white"/>
        </w:rPr>
        <w:t xml:space="preserve">  </w:t>
      </w:r>
      <w:r w:rsidR="00643D29">
        <w:rPr>
          <w:rFonts w:ascii="Arial" w:hAnsi="Arial" w:cs="Arial"/>
          <w:sz w:val="22"/>
          <w:highlight w:val="white"/>
        </w:rPr>
        <w:t>Available at:</w:t>
      </w:r>
      <w:r w:rsidR="00643D29">
        <w:rPr>
          <w:rFonts w:ascii="Arial" w:hAnsi="Arial" w:cs="Arial"/>
          <w:sz w:val="22"/>
          <w:highlight w:val="white"/>
        </w:rPr>
        <w:t xml:space="preserve"> </w:t>
      </w:r>
      <w:hyperlink r:id="rId16" w:history="1">
        <w:r w:rsidR="00643D29" w:rsidRPr="001E2E2A">
          <w:rPr>
            <w:rStyle w:val="Hyperlink"/>
            <w:rFonts w:ascii="Arial" w:hAnsi="Arial" w:cs="Arial"/>
            <w:sz w:val="22"/>
            <w:highlight w:val="white"/>
          </w:rPr>
          <w:t>https://doi.org/10.1080/2372966x.2021.1958253</w:t>
        </w:r>
      </w:hyperlink>
      <w:r w:rsidR="00643D29">
        <w:rPr>
          <w:rFonts w:ascii="Arial" w:hAnsi="Arial" w:cs="Arial"/>
          <w:sz w:val="22"/>
          <w:highlight w:val="white"/>
        </w:rPr>
        <w:t xml:space="preserve"> (Accessed: 21 April 2026).</w:t>
      </w:r>
    </w:p>
    <w:p w14:paraId="3F068964" w14:textId="60FF56F5" w:rsidR="008A7B0B" w:rsidRPr="00A43484" w:rsidRDefault="008A7B0B" w:rsidP="00D36252">
      <w:pPr>
        <w:spacing w:before="200" w:after="200" w:line="360" w:lineRule="auto"/>
        <w:jc w:val="both"/>
        <w:rPr>
          <w:rFonts w:ascii="Arial" w:hAnsi="Arial" w:cs="Arial"/>
          <w:sz w:val="22"/>
          <w:highlight w:val="white"/>
        </w:rPr>
      </w:pPr>
      <w:r w:rsidRPr="00A43484">
        <w:rPr>
          <w:rFonts w:ascii="Arial" w:hAnsi="Arial" w:cs="Arial"/>
          <w:sz w:val="22"/>
          <w:highlight w:val="white"/>
        </w:rPr>
        <w:t xml:space="preserve">Efthymiou, I.P., 2024. The importance of soft skills in healthcare: The impact of communication, empathy, and teamwork on doctor-nurse interactions. </w:t>
      </w:r>
      <w:proofErr w:type="gramStart"/>
      <w:r w:rsidRPr="00A43484">
        <w:rPr>
          <w:rFonts w:ascii="Arial" w:hAnsi="Arial" w:cs="Arial"/>
          <w:i/>
          <w:iCs/>
          <w:sz w:val="22"/>
          <w:highlight w:val="white"/>
        </w:rPr>
        <w:t xml:space="preserve">International Case </w:t>
      </w:r>
      <w:r w:rsidRPr="00A43484">
        <w:rPr>
          <w:rFonts w:ascii="Arial" w:hAnsi="Arial" w:cs="Arial"/>
          <w:i/>
          <w:iCs/>
          <w:sz w:val="22"/>
          <w:highlight w:val="white"/>
        </w:rPr>
        <w:lastRenderedPageBreak/>
        <w:t>Studies Journal</w:t>
      </w:r>
      <w:r w:rsidRPr="00A43484">
        <w:rPr>
          <w:rFonts w:ascii="Arial" w:hAnsi="Arial" w:cs="Arial"/>
          <w:sz w:val="22"/>
          <w:highlight w:val="white"/>
        </w:rPr>
        <w:t xml:space="preserve">, </w:t>
      </w:r>
      <w:r w:rsidRPr="00A43484">
        <w:rPr>
          <w:rFonts w:ascii="Arial" w:hAnsi="Arial" w:cs="Arial"/>
          <w:i/>
          <w:iCs/>
          <w:sz w:val="22"/>
          <w:highlight w:val="white"/>
        </w:rPr>
        <w:t>13</w:t>
      </w:r>
      <w:r w:rsidRPr="00A43484">
        <w:rPr>
          <w:rFonts w:ascii="Arial" w:hAnsi="Arial" w:cs="Arial"/>
          <w:sz w:val="22"/>
          <w:highlight w:val="white"/>
        </w:rPr>
        <w:t>(11), pp.6-11.</w:t>
      </w:r>
      <w:proofErr w:type="gramEnd"/>
      <w:r w:rsidR="00643D29">
        <w:rPr>
          <w:rFonts w:ascii="Arial" w:hAnsi="Arial" w:cs="Arial"/>
          <w:sz w:val="22"/>
          <w:highlight w:val="white"/>
        </w:rPr>
        <w:t xml:space="preserve"> </w:t>
      </w:r>
      <w:r w:rsidR="00643D29">
        <w:rPr>
          <w:rFonts w:ascii="Arial" w:hAnsi="Arial" w:cs="Arial"/>
          <w:sz w:val="22"/>
          <w:highlight w:val="white"/>
        </w:rPr>
        <w:t>Available at:</w:t>
      </w:r>
      <w:r w:rsidR="00643D29">
        <w:rPr>
          <w:rFonts w:ascii="Arial" w:hAnsi="Arial" w:cs="Arial"/>
          <w:sz w:val="22"/>
          <w:highlight w:val="white"/>
        </w:rPr>
        <w:t xml:space="preserve"> </w:t>
      </w:r>
      <w:hyperlink r:id="rId17" w:history="1">
        <w:r w:rsidR="00643D29" w:rsidRPr="001E2E2A">
          <w:rPr>
            <w:rStyle w:val="Hyperlink"/>
            <w:rFonts w:ascii="Arial" w:hAnsi="Arial" w:cs="Arial"/>
            <w:sz w:val="22"/>
            <w:highlight w:val="white"/>
          </w:rPr>
          <w:t>https://www.casestudiesjournal.com</w:t>
        </w:r>
      </w:hyperlink>
      <w:r w:rsidR="00643D29">
        <w:rPr>
          <w:rFonts w:ascii="Arial" w:hAnsi="Arial" w:cs="Arial"/>
          <w:sz w:val="22"/>
          <w:highlight w:val="white"/>
        </w:rPr>
        <w:t xml:space="preserve"> (Accessed: 21 April 2026).</w:t>
      </w:r>
    </w:p>
    <w:p w14:paraId="1D0F2D59" w14:textId="52832ACD" w:rsidR="004552CE" w:rsidRDefault="008A7B0B" w:rsidP="00D36252">
      <w:pPr>
        <w:spacing w:before="200" w:after="200" w:line="360" w:lineRule="auto"/>
        <w:jc w:val="both"/>
        <w:rPr>
          <w:rFonts w:ascii="Arial" w:hAnsi="Arial" w:cs="Arial"/>
          <w:sz w:val="22"/>
          <w:highlight w:val="white"/>
        </w:rPr>
      </w:pPr>
      <w:r w:rsidRPr="00A43484">
        <w:rPr>
          <w:rFonts w:ascii="Arial" w:hAnsi="Arial" w:cs="Arial"/>
          <w:sz w:val="22"/>
          <w:highlight w:val="white"/>
        </w:rPr>
        <w:t xml:space="preserve">Stenseth, H.V., Steindal, S.A., Solberg, M.T., Ølnes, M.A., Sørensen, A.L., Strandell-Laine, C., Olaussen, C., </w:t>
      </w:r>
      <w:proofErr w:type="spellStart"/>
      <w:r w:rsidRPr="00A43484">
        <w:rPr>
          <w:rFonts w:ascii="Arial" w:hAnsi="Arial" w:cs="Arial"/>
          <w:sz w:val="22"/>
          <w:highlight w:val="white"/>
        </w:rPr>
        <w:t>Farsjø</w:t>
      </w:r>
      <w:proofErr w:type="spellEnd"/>
      <w:r w:rsidRPr="00A43484">
        <w:rPr>
          <w:rFonts w:ascii="Arial" w:hAnsi="Arial" w:cs="Arial"/>
          <w:sz w:val="22"/>
          <w:highlight w:val="white"/>
        </w:rPr>
        <w:t xml:space="preserve"> </w:t>
      </w:r>
      <w:proofErr w:type="spellStart"/>
      <w:r w:rsidRPr="00A43484">
        <w:rPr>
          <w:rFonts w:ascii="Arial" w:hAnsi="Arial" w:cs="Arial"/>
          <w:sz w:val="22"/>
          <w:highlight w:val="white"/>
        </w:rPr>
        <w:t>Aure</w:t>
      </w:r>
      <w:proofErr w:type="spellEnd"/>
      <w:r w:rsidRPr="00A43484">
        <w:rPr>
          <w:rFonts w:ascii="Arial" w:hAnsi="Arial" w:cs="Arial"/>
          <w:sz w:val="22"/>
          <w:highlight w:val="white"/>
        </w:rPr>
        <w:t xml:space="preserve">, C., Pedersen, I., Zlamal, J. and Gue Martini, J., 2025. Simulation-based learning supported by technology to enhance critical thinking in nursing students: scoping review. </w:t>
      </w:r>
      <w:r w:rsidRPr="00A43484">
        <w:rPr>
          <w:rFonts w:ascii="Arial" w:hAnsi="Arial" w:cs="Arial"/>
          <w:i/>
          <w:iCs/>
          <w:sz w:val="22"/>
          <w:highlight w:val="white"/>
        </w:rPr>
        <w:t>Journal of Medical Internet Research</w:t>
      </w:r>
      <w:r w:rsidRPr="00A43484">
        <w:rPr>
          <w:rFonts w:ascii="Arial" w:hAnsi="Arial" w:cs="Arial"/>
          <w:sz w:val="22"/>
          <w:highlight w:val="white"/>
        </w:rPr>
        <w:t xml:space="preserve">, </w:t>
      </w:r>
      <w:r w:rsidRPr="00A43484">
        <w:rPr>
          <w:rFonts w:ascii="Arial" w:hAnsi="Arial" w:cs="Arial"/>
          <w:i/>
          <w:iCs/>
          <w:sz w:val="22"/>
          <w:highlight w:val="white"/>
        </w:rPr>
        <w:t>27</w:t>
      </w:r>
      <w:r w:rsidRPr="00A43484">
        <w:rPr>
          <w:rFonts w:ascii="Arial" w:hAnsi="Arial" w:cs="Arial"/>
          <w:sz w:val="22"/>
          <w:highlight w:val="white"/>
        </w:rPr>
        <w:t>, p.e58744.</w:t>
      </w:r>
      <w:r w:rsidR="00643D29">
        <w:rPr>
          <w:rFonts w:ascii="Arial" w:hAnsi="Arial" w:cs="Arial"/>
          <w:sz w:val="22"/>
          <w:highlight w:val="white"/>
        </w:rPr>
        <w:t xml:space="preserve"> </w:t>
      </w:r>
      <w:r w:rsidR="00643D29">
        <w:rPr>
          <w:rFonts w:ascii="Arial" w:hAnsi="Arial" w:cs="Arial"/>
          <w:sz w:val="22"/>
          <w:highlight w:val="white"/>
        </w:rPr>
        <w:t>Available at:</w:t>
      </w:r>
      <w:r w:rsidR="00643D29">
        <w:rPr>
          <w:rFonts w:ascii="Arial" w:hAnsi="Arial" w:cs="Arial"/>
          <w:sz w:val="22"/>
          <w:highlight w:val="white"/>
        </w:rPr>
        <w:t xml:space="preserve"> </w:t>
      </w:r>
      <w:hyperlink r:id="rId18" w:history="1">
        <w:r w:rsidR="00643D29" w:rsidRPr="001E2E2A">
          <w:rPr>
            <w:rStyle w:val="Hyperlink"/>
            <w:rFonts w:ascii="Arial" w:hAnsi="Arial" w:cs="Arial"/>
            <w:sz w:val="22"/>
            <w:highlight w:val="white"/>
          </w:rPr>
          <w:t>https://doi.org/10.2196/58744</w:t>
        </w:r>
      </w:hyperlink>
      <w:r w:rsidR="00643D29">
        <w:rPr>
          <w:rFonts w:ascii="Arial" w:hAnsi="Arial" w:cs="Arial"/>
          <w:sz w:val="22"/>
          <w:highlight w:val="white"/>
        </w:rPr>
        <w:t xml:space="preserve"> (Accessed: 21 April 2026).</w:t>
      </w:r>
    </w:p>
    <w:p w14:paraId="0D0DD1EB" w14:textId="77777777" w:rsidR="00643D29" w:rsidRPr="008A7B0B" w:rsidRDefault="00643D29" w:rsidP="00D36252">
      <w:pPr>
        <w:spacing w:before="200" w:after="200" w:line="360" w:lineRule="auto"/>
        <w:jc w:val="both"/>
        <w:rPr>
          <w:rFonts w:ascii="Arial" w:hAnsi="Arial" w:cs="Arial"/>
          <w:sz w:val="22"/>
          <w:highlight w:val="white"/>
        </w:rPr>
      </w:pPr>
    </w:p>
    <w:sectPr w:rsidR="00643D29" w:rsidRPr="008A7B0B" w:rsidSect="00D36252">
      <w:headerReference w:type="even" r:id="rId19"/>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6BB750" w14:textId="77777777" w:rsidR="00956739" w:rsidRDefault="00956739" w:rsidP="003C7C97">
      <w:pPr>
        <w:spacing w:after="0" w:line="240" w:lineRule="auto"/>
      </w:pPr>
      <w:r>
        <w:separator/>
      </w:r>
    </w:p>
  </w:endnote>
  <w:endnote w:type="continuationSeparator" w:id="0">
    <w:p w14:paraId="6CEA2A2F" w14:textId="77777777" w:rsidR="00956739" w:rsidRDefault="0095673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120714"/>
      <w:docPartObj>
        <w:docPartGallery w:val="Page Numbers (Bottom of Page)"/>
        <w:docPartUnique/>
      </w:docPartObj>
    </w:sdtPr>
    <w:sdtEndPr>
      <w:rPr>
        <w:rFonts w:ascii="Arial" w:hAnsi="Arial" w:cs="Arial"/>
        <w:noProof/>
      </w:rPr>
    </w:sdtEndPr>
    <w:sdtContent>
      <w:p w14:paraId="710AB2CE" w14:textId="40C9B337" w:rsidR="00D36252" w:rsidRPr="00D36252" w:rsidRDefault="00CE07D7" w:rsidP="00CE07D7">
        <w:pPr>
          <w:pStyle w:val="Footer"/>
          <w:jc w:val="right"/>
          <w:rPr>
            <w:rFonts w:ascii="Arial" w:hAnsi="Arial" w:cs="Arial"/>
          </w:rPr>
        </w:pPr>
        <w:r w:rsidRPr="00CE07D7">
          <w:rPr>
            <w:rFonts w:ascii="Arial" w:hAnsi="Arial" w:cs="Arial"/>
          </w:rPr>
          <w:fldChar w:fldCharType="begin"/>
        </w:r>
        <w:r w:rsidRPr="00CE07D7">
          <w:rPr>
            <w:rFonts w:ascii="Arial" w:hAnsi="Arial" w:cs="Arial"/>
          </w:rPr>
          <w:instrText xml:space="preserve"> PAGE   \* MERGEFORMAT </w:instrText>
        </w:r>
        <w:r w:rsidRPr="00CE07D7">
          <w:rPr>
            <w:rFonts w:ascii="Arial" w:hAnsi="Arial" w:cs="Arial"/>
          </w:rPr>
          <w:fldChar w:fldCharType="separate"/>
        </w:r>
        <w:r w:rsidR="00066EF8">
          <w:rPr>
            <w:rFonts w:ascii="Arial" w:hAnsi="Arial" w:cs="Arial"/>
            <w:noProof/>
          </w:rPr>
          <w:t>1</w:t>
        </w:r>
        <w:r w:rsidRPr="00CE07D7">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90115" w14:textId="77777777" w:rsidR="00956739" w:rsidRDefault="00956739" w:rsidP="003C7C97">
      <w:pPr>
        <w:spacing w:after="0" w:line="240" w:lineRule="auto"/>
      </w:pPr>
      <w:r>
        <w:separator/>
      </w:r>
    </w:p>
  </w:footnote>
  <w:footnote w:type="continuationSeparator" w:id="0">
    <w:p w14:paraId="3B81DAF3" w14:textId="77777777" w:rsidR="00956739" w:rsidRDefault="00956739" w:rsidP="003C7C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7542198"/>
    <w:multiLevelType w:val="hybridMultilevel"/>
    <w:tmpl w:val="9B129864"/>
    <w:lvl w:ilvl="0" w:tplc="99F02768">
      <w:start w:val="1"/>
      <w:numFmt w:val="bullet"/>
      <w:lvlText w:val=""/>
      <w:lvlJc w:val="left"/>
      <w:pPr>
        <w:ind w:left="720" w:hanging="360"/>
      </w:pPr>
      <w:rPr>
        <w:rFonts w:ascii="Symbol" w:hAnsi="Symbol" w:hint="default"/>
      </w:rPr>
    </w:lvl>
    <w:lvl w:ilvl="1" w:tplc="2B7A7384">
      <w:start w:val="1"/>
      <w:numFmt w:val="bullet"/>
      <w:lvlText w:val="o"/>
      <w:lvlJc w:val="left"/>
      <w:pPr>
        <w:ind w:left="1440" w:hanging="360"/>
      </w:pPr>
      <w:rPr>
        <w:rFonts w:ascii="Courier New" w:hAnsi="Courier New" w:hint="default"/>
      </w:rPr>
    </w:lvl>
    <w:lvl w:ilvl="2" w:tplc="1D5461CA">
      <w:start w:val="1"/>
      <w:numFmt w:val="bullet"/>
      <w:lvlText w:val=""/>
      <w:lvlJc w:val="left"/>
      <w:pPr>
        <w:ind w:left="2160" w:hanging="360"/>
      </w:pPr>
      <w:rPr>
        <w:rFonts w:ascii="Wingdings" w:hAnsi="Wingdings" w:hint="default"/>
      </w:rPr>
    </w:lvl>
    <w:lvl w:ilvl="3" w:tplc="00D2DF18">
      <w:start w:val="1"/>
      <w:numFmt w:val="bullet"/>
      <w:lvlText w:val=""/>
      <w:lvlJc w:val="left"/>
      <w:pPr>
        <w:ind w:left="2880" w:hanging="360"/>
      </w:pPr>
      <w:rPr>
        <w:rFonts w:ascii="Symbol" w:hAnsi="Symbol" w:hint="default"/>
      </w:rPr>
    </w:lvl>
    <w:lvl w:ilvl="4" w:tplc="16FC2D84">
      <w:start w:val="1"/>
      <w:numFmt w:val="bullet"/>
      <w:lvlText w:val="o"/>
      <w:lvlJc w:val="left"/>
      <w:pPr>
        <w:ind w:left="3600" w:hanging="360"/>
      </w:pPr>
      <w:rPr>
        <w:rFonts w:ascii="Courier New" w:hAnsi="Courier New" w:hint="default"/>
      </w:rPr>
    </w:lvl>
    <w:lvl w:ilvl="5" w:tplc="71949968">
      <w:start w:val="1"/>
      <w:numFmt w:val="bullet"/>
      <w:lvlText w:val=""/>
      <w:lvlJc w:val="left"/>
      <w:pPr>
        <w:ind w:left="4320" w:hanging="360"/>
      </w:pPr>
      <w:rPr>
        <w:rFonts w:ascii="Wingdings" w:hAnsi="Wingdings" w:hint="default"/>
      </w:rPr>
    </w:lvl>
    <w:lvl w:ilvl="6" w:tplc="9FECA3EE">
      <w:start w:val="1"/>
      <w:numFmt w:val="bullet"/>
      <w:lvlText w:val=""/>
      <w:lvlJc w:val="left"/>
      <w:pPr>
        <w:ind w:left="5040" w:hanging="360"/>
      </w:pPr>
      <w:rPr>
        <w:rFonts w:ascii="Symbol" w:hAnsi="Symbol" w:hint="default"/>
      </w:rPr>
    </w:lvl>
    <w:lvl w:ilvl="7" w:tplc="8698E456">
      <w:start w:val="1"/>
      <w:numFmt w:val="bullet"/>
      <w:lvlText w:val="o"/>
      <w:lvlJc w:val="left"/>
      <w:pPr>
        <w:ind w:left="5760" w:hanging="360"/>
      </w:pPr>
      <w:rPr>
        <w:rFonts w:ascii="Courier New" w:hAnsi="Courier New" w:hint="default"/>
      </w:rPr>
    </w:lvl>
    <w:lvl w:ilvl="8" w:tplc="7C0408C8">
      <w:start w:val="1"/>
      <w:numFmt w:val="bullet"/>
      <w:lvlText w:val=""/>
      <w:lvlJc w:val="left"/>
      <w:pPr>
        <w:ind w:left="6480" w:hanging="360"/>
      </w:pPr>
      <w:rPr>
        <w:rFonts w:ascii="Wingdings" w:hAnsi="Wingdings" w:hint="default"/>
      </w:rPr>
    </w:lvl>
  </w:abstractNum>
  <w:abstractNum w:abstractNumId="2">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CA6C03"/>
    <w:multiLevelType w:val="hybridMultilevel"/>
    <w:tmpl w:val="329AB260"/>
    <w:lvl w:ilvl="0" w:tplc="8886DD90">
      <w:start w:val="1"/>
      <w:numFmt w:val="bullet"/>
      <w:lvlText w:val=""/>
      <w:lvlJc w:val="left"/>
      <w:pPr>
        <w:ind w:left="720" w:hanging="360"/>
      </w:pPr>
      <w:rPr>
        <w:rFonts w:ascii="Symbol" w:hAnsi="Symbol" w:hint="default"/>
      </w:rPr>
    </w:lvl>
    <w:lvl w:ilvl="1" w:tplc="5D7492DE">
      <w:start w:val="1"/>
      <w:numFmt w:val="bullet"/>
      <w:lvlText w:val="o"/>
      <w:lvlJc w:val="left"/>
      <w:pPr>
        <w:ind w:left="1440" w:hanging="360"/>
      </w:pPr>
      <w:rPr>
        <w:rFonts w:ascii="Courier New" w:hAnsi="Courier New" w:hint="default"/>
      </w:rPr>
    </w:lvl>
    <w:lvl w:ilvl="2" w:tplc="DA323FE6">
      <w:start w:val="1"/>
      <w:numFmt w:val="bullet"/>
      <w:lvlText w:val=""/>
      <w:lvlJc w:val="left"/>
      <w:pPr>
        <w:ind w:left="2160" w:hanging="360"/>
      </w:pPr>
      <w:rPr>
        <w:rFonts w:ascii="Wingdings" w:hAnsi="Wingdings" w:hint="default"/>
      </w:rPr>
    </w:lvl>
    <w:lvl w:ilvl="3" w:tplc="DE306F54">
      <w:start w:val="1"/>
      <w:numFmt w:val="bullet"/>
      <w:lvlText w:val=""/>
      <w:lvlJc w:val="left"/>
      <w:pPr>
        <w:ind w:left="2880" w:hanging="360"/>
      </w:pPr>
      <w:rPr>
        <w:rFonts w:ascii="Symbol" w:hAnsi="Symbol" w:hint="default"/>
      </w:rPr>
    </w:lvl>
    <w:lvl w:ilvl="4" w:tplc="638C5BD8">
      <w:start w:val="1"/>
      <w:numFmt w:val="bullet"/>
      <w:lvlText w:val="o"/>
      <w:lvlJc w:val="left"/>
      <w:pPr>
        <w:ind w:left="3600" w:hanging="360"/>
      </w:pPr>
      <w:rPr>
        <w:rFonts w:ascii="Courier New" w:hAnsi="Courier New" w:hint="default"/>
      </w:rPr>
    </w:lvl>
    <w:lvl w:ilvl="5" w:tplc="E9DE8522">
      <w:start w:val="1"/>
      <w:numFmt w:val="bullet"/>
      <w:lvlText w:val=""/>
      <w:lvlJc w:val="left"/>
      <w:pPr>
        <w:ind w:left="4320" w:hanging="360"/>
      </w:pPr>
      <w:rPr>
        <w:rFonts w:ascii="Wingdings" w:hAnsi="Wingdings" w:hint="default"/>
      </w:rPr>
    </w:lvl>
    <w:lvl w:ilvl="6" w:tplc="CBA8A88C">
      <w:start w:val="1"/>
      <w:numFmt w:val="bullet"/>
      <w:lvlText w:val=""/>
      <w:lvlJc w:val="left"/>
      <w:pPr>
        <w:ind w:left="5040" w:hanging="360"/>
      </w:pPr>
      <w:rPr>
        <w:rFonts w:ascii="Symbol" w:hAnsi="Symbol" w:hint="default"/>
      </w:rPr>
    </w:lvl>
    <w:lvl w:ilvl="7" w:tplc="A4F038EA">
      <w:start w:val="1"/>
      <w:numFmt w:val="bullet"/>
      <w:lvlText w:val="o"/>
      <w:lvlJc w:val="left"/>
      <w:pPr>
        <w:ind w:left="5760" w:hanging="360"/>
      </w:pPr>
      <w:rPr>
        <w:rFonts w:ascii="Courier New" w:hAnsi="Courier New" w:hint="default"/>
      </w:rPr>
    </w:lvl>
    <w:lvl w:ilvl="8" w:tplc="FA701CF8">
      <w:start w:val="1"/>
      <w:numFmt w:val="bullet"/>
      <w:lvlText w:val=""/>
      <w:lvlJc w:val="left"/>
      <w:pPr>
        <w:ind w:left="6480" w:hanging="360"/>
      </w:pPr>
      <w:rPr>
        <w:rFonts w:ascii="Wingdings" w:hAnsi="Wingdings" w:hint="default"/>
      </w:rPr>
    </w:lvl>
  </w:abstractNum>
  <w:abstractNum w:abstractNumId="4">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4789E61"/>
    <w:multiLevelType w:val="hybridMultilevel"/>
    <w:tmpl w:val="601A49F2"/>
    <w:lvl w:ilvl="0" w:tplc="177EA882">
      <w:start w:val="1"/>
      <w:numFmt w:val="bullet"/>
      <w:lvlText w:val=""/>
      <w:lvlJc w:val="left"/>
      <w:pPr>
        <w:ind w:left="720" w:hanging="360"/>
      </w:pPr>
      <w:rPr>
        <w:rFonts w:ascii="Symbol" w:hAnsi="Symbol" w:hint="default"/>
      </w:rPr>
    </w:lvl>
    <w:lvl w:ilvl="1" w:tplc="2B7A5DA4">
      <w:start w:val="1"/>
      <w:numFmt w:val="bullet"/>
      <w:lvlText w:val="o"/>
      <w:lvlJc w:val="left"/>
      <w:pPr>
        <w:ind w:left="1440" w:hanging="360"/>
      </w:pPr>
      <w:rPr>
        <w:rFonts w:ascii="Courier New" w:hAnsi="Courier New" w:hint="default"/>
      </w:rPr>
    </w:lvl>
    <w:lvl w:ilvl="2" w:tplc="E15AEF42">
      <w:start w:val="1"/>
      <w:numFmt w:val="bullet"/>
      <w:lvlText w:val=""/>
      <w:lvlJc w:val="left"/>
      <w:pPr>
        <w:ind w:left="2160" w:hanging="360"/>
      </w:pPr>
      <w:rPr>
        <w:rFonts w:ascii="Wingdings" w:hAnsi="Wingdings" w:hint="default"/>
      </w:rPr>
    </w:lvl>
    <w:lvl w:ilvl="3" w:tplc="414A053C">
      <w:start w:val="1"/>
      <w:numFmt w:val="bullet"/>
      <w:lvlText w:val=""/>
      <w:lvlJc w:val="left"/>
      <w:pPr>
        <w:ind w:left="2880" w:hanging="360"/>
      </w:pPr>
      <w:rPr>
        <w:rFonts w:ascii="Symbol" w:hAnsi="Symbol" w:hint="default"/>
      </w:rPr>
    </w:lvl>
    <w:lvl w:ilvl="4" w:tplc="17D21616">
      <w:start w:val="1"/>
      <w:numFmt w:val="bullet"/>
      <w:lvlText w:val="o"/>
      <w:lvlJc w:val="left"/>
      <w:pPr>
        <w:ind w:left="3600" w:hanging="360"/>
      </w:pPr>
      <w:rPr>
        <w:rFonts w:ascii="Courier New" w:hAnsi="Courier New" w:hint="default"/>
      </w:rPr>
    </w:lvl>
    <w:lvl w:ilvl="5" w:tplc="C0A64A18">
      <w:start w:val="1"/>
      <w:numFmt w:val="bullet"/>
      <w:lvlText w:val=""/>
      <w:lvlJc w:val="left"/>
      <w:pPr>
        <w:ind w:left="4320" w:hanging="360"/>
      </w:pPr>
      <w:rPr>
        <w:rFonts w:ascii="Wingdings" w:hAnsi="Wingdings" w:hint="default"/>
      </w:rPr>
    </w:lvl>
    <w:lvl w:ilvl="6" w:tplc="FDA8D620">
      <w:start w:val="1"/>
      <w:numFmt w:val="bullet"/>
      <w:lvlText w:val=""/>
      <w:lvlJc w:val="left"/>
      <w:pPr>
        <w:ind w:left="5040" w:hanging="360"/>
      </w:pPr>
      <w:rPr>
        <w:rFonts w:ascii="Symbol" w:hAnsi="Symbol" w:hint="default"/>
      </w:rPr>
    </w:lvl>
    <w:lvl w:ilvl="7" w:tplc="3078F3E6">
      <w:start w:val="1"/>
      <w:numFmt w:val="bullet"/>
      <w:lvlText w:val="o"/>
      <w:lvlJc w:val="left"/>
      <w:pPr>
        <w:ind w:left="5760" w:hanging="360"/>
      </w:pPr>
      <w:rPr>
        <w:rFonts w:ascii="Courier New" w:hAnsi="Courier New" w:hint="default"/>
      </w:rPr>
    </w:lvl>
    <w:lvl w:ilvl="8" w:tplc="753038FE">
      <w:start w:val="1"/>
      <w:numFmt w:val="bullet"/>
      <w:lvlText w:val=""/>
      <w:lvlJc w:val="left"/>
      <w:pPr>
        <w:ind w:left="6480" w:hanging="360"/>
      </w:pPr>
      <w:rPr>
        <w:rFonts w:ascii="Wingdings" w:hAnsi="Wingdings" w:hint="default"/>
      </w:rPr>
    </w:lvl>
  </w:abstractNum>
  <w:abstractNum w:abstractNumId="12">
    <w:nsid w:val="3AB16C17"/>
    <w:multiLevelType w:val="hybridMultilevel"/>
    <w:tmpl w:val="09A42740"/>
    <w:lvl w:ilvl="0" w:tplc="0EF4F784">
      <w:start w:val="1"/>
      <w:numFmt w:val="bullet"/>
      <w:lvlText w:val=""/>
      <w:lvlJc w:val="left"/>
      <w:pPr>
        <w:ind w:left="720" w:hanging="360"/>
      </w:pPr>
      <w:rPr>
        <w:rFonts w:ascii="Symbol" w:hAnsi="Symbol" w:hint="default"/>
      </w:rPr>
    </w:lvl>
    <w:lvl w:ilvl="1" w:tplc="458692C8">
      <w:start w:val="1"/>
      <w:numFmt w:val="bullet"/>
      <w:lvlText w:val="o"/>
      <w:lvlJc w:val="left"/>
      <w:pPr>
        <w:ind w:left="1440" w:hanging="360"/>
      </w:pPr>
      <w:rPr>
        <w:rFonts w:ascii="Courier New" w:hAnsi="Courier New" w:hint="default"/>
      </w:rPr>
    </w:lvl>
    <w:lvl w:ilvl="2" w:tplc="7A54755C">
      <w:start w:val="1"/>
      <w:numFmt w:val="bullet"/>
      <w:lvlText w:val=""/>
      <w:lvlJc w:val="left"/>
      <w:pPr>
        <w:ind w:left="2160" w:hanging="360"/>
      </w:pPr>
      <w:rPr>
        <w:rFonts w:ascii="Wingdings" w:hAnsi="Wingdings" w:hint="default"/>
      </w:rPr>
    </w:lvl>
    <w:lvl w:ilvl="3" w:tplc="CDD605B4">
      <w:start w:val="1"/>
      <w:numFmt w:val="bullet"/>
      <w:lvlText w:val=""/>
      <w:lvlJc w:val="left"/>
      <w:pPr>
        <w:ind w:left="2880" w:hanging="360"/>
      </w:pPr>
      <w:rPr>
        <w:rFonts w:ascii="Symbol" w:hAnsi="Symbol" w:hint="default"/>
      </w:rPr>
    </w:lvl>
    <w:lvl w:ilvl="4" w:tplc="4C605A08">
      <w:start w:val="1"/>
      <w:numFmt w:val="bullet"/>
      <w:lvlText w:val="o"/>
      <w:lvlJc w:val="left"/>
      <w:pPr>
        <w:ind w:left="3600" w:hanging="360"/>
      </w:pPr>
      <w:rPr>
        <w:rFonts w:ascii="Courier New" w:hAnsi="Courier New" w:hint="default"/>
      </w:rPr>
    </w:lvl>
    <w:lvl w:ilvl="5" w:tplc="7FA2032C">
      <w:start w:val="1"/>
      <w:numFmt w:val="bullet"/>
      <w:lvlText w:val=""/>
      <w:lvlJc w:val="left"/>
      <w:pPr>
        <w:ind w:left="4320" w:hanging="360"/>
      </w:pPr>
      <w:rPr>
        <w:rFonts w:ascii="Wingdings" w:hAnsi="Wingdings" w:hint="default"/>
      </w:rPr>
    </w:lvl>
    <w:lvl w:ilvl="6" w:tplc="E9C6F978">
      <w:start w:val="1"/>
      <w:numFmt w:val="bullet"/>
      <w:lvlText w:val=""/>
      <w:lvlJc w:val="left"/>
      <w:pPr>
        <w:ind w:left="5040" w:hanging="360"/>
      </w:pPr>
      <w:rPr>
        <w:rFonts w:ascii="Symbol" w:hAnsi="Symbol" w:hint="default"/>
      </w:rPr>
    </w:lvl>
    <w:lvl w:ilvl="7" w:tplc="2872E584">
      <w:start w:val="1"/>
      <w:numFmt w:val="bullet"/>
      <w:lvlText w:val="o"/>
      <w:lvlJc w:val="left"/>
      <w:pPr>
        <w:ind w:left="5760" w:hanging="360"/>
      </w:pPr>
      <w:rPr>
        <w:rFonts w:ascii="Courier New" w:hAnsi="Courier New" w:hint="default"/>
      </w:rPr>
    </w:lvl>
    <w:lvl w:ilvl="8" w:tplc="ABF0B4A4">
      <w:start w:val="1"/>
      <w:numFmt w:val="bullet"/>
      <w:lvlText w:val=""/>
      <w:lvlJc w:val="left"/>
      <w:pPr>
        <w:ind w:left="6480" w:hanging="360"/>
      </w:pPr>
      <w:rPr>
        <w:rFonts w:ascii="Wingdings" w:hAnsi="Wingdings" w:hint="default"/>
      </w:rPr>
    </w:lvl>
  </w:abstractNum>
  <w:abstractNum w:abstractNumId="13">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224439"/>
    <w:multiLevelType w:val="hybridMultilevel"/>
    <w:tmpl w:val="24B2186A"/>
    <w:lvl w:ilvl="0" w:tplc="1F068E3A">
      <w:start w:val="1"/>
      <w:numFmt w:val="bullet"/>
      <w:lvlText w:val=""/>
      <w:lvlJc w:val="left"/>
      <w:pPr>
        <w:ind w:left="720" w:hanging="360"/>
      </w:pPr>
      <w:rPr>
        <w:rFonts w:ascii="Symbol" w:hAnsi="Symbol" w:hint="default"/>
      </w:rPr>
    </w:lvl>
    <w:lvl w:ilvl="1" w:tplc="EF9AAF66">
      <w:start w:val="1"/>
      <w:numFmt w:val="bullet"/>
      <w:lvlText w:val="o"/>
      <w:lvlJc w:val="left"/>
      <w:pPr>
        <w:ind w:left="1440" w:hanging="360"/>
      </w:pPr>
      <w:rPr>
        <w:rFonts w:ascii="Courier New" w:hAnsi="Courier New" w:hint="default"/>
      </w:rPr>
    </w:lvl>
    <w:lvl w:ilvl="2" w:tplc="6BB2F3EC">
      <w:start w:val="1"/>
      <w:numFmt w:val="bullet"/>
      <w:lvlText w:val=""/>
      <w:lvlJc w:val="left"/>
      <w:pPr>
        <w:ind w:left="2160" w:hanging="360"/>
      </w:pPr>
      <w:rPr>
        <w:rFonts w:ascii="Wingdings" w:hAnsi="Wingdings" w:hint="default"/>
      </w:rPr>
    </w:lvl>
    <w:lvl w:ilvl="3" w:tplc="68ECB42C">
      <w:start w:val="1"/>
      <w:numFmt w:val="bullet"/>
      <w:lvlText w:val=""/>
      <w:lvlJc w:val="left"/>
      <w:pPr>
        <w:ind w:left="2880" w:hanging="360"/>
      </w:pPr>
      <w:rPr>
        <w:rFonts w:ascii="Symbol" w:hAnsi="Symbol" w:hint="default"/>
      </w:rPr>
    </w:lvl>
    <w:lvl w:ilvl="4" w:tplc="B46E6A92">
      <w:start w:val="1"/>
      <w:numFmt w:val="bullet"/>
      <w:lvlText w:val="o"/>
      <w:lvlJc w:val="left"/>
      <w:pPr>
        <w:ind w:left="3600" w:hanging="360"/>
      </w:pPr>
      <w:rPr>
        <w:rFonts w:ascii="Courier New" w:hAnsi="Courier New" w:hint="default"/>
      </w:rPr>
    </w:lvl>
    <w:lvl w:ilvl="5" w:tplc="EC0E8A3E">
      <w:start w:val="1"/>
      <w:numFmt w:val="bullet"/>
      <w:lvlText w:val=""/>
      <w:lvlJc w:val="left"/>
      <w:pPr>
        <w:ind w:left="4320" w:hanging="360"/>
      </w:pPr>
      <w:rPr>
        <w:rFonts w:ascii="Wingdings" w:hAnsi="Wingdings" w:hint="default"/>
      </w:rPr>
    </w:lvl>
    <w:lvl w:ilvl="6" w:tplc="0D5E0CEE">
      <w:start w:val="1"/>
      <w:numFmt w:val="bullet"/>
      <w:lvlText w:val=""/>
      <w:lvlJc w:val="left"/>
      <w:pPr>
        <w:ind w:left="5040" w:hanging="360"/>
      </w:pPr>
      <w:rPr>
        <w:rFonts w:ascii="Symbol" w:hAnsi="Symbol" w:hint="default"/>
      </w:rPr>
    </w:lvl>
    <w:lvl w:ilvl="7" w:tplc="5C7A4012">
      <w:start w:val="1"/>
      <w:numFmt w:val="bullet"/>
      <w:lvlText w:val="o"/>
      <w:lvlJc w:val="left"/>
      <w:pPr>
        <w:ind w:left="5760" w:hanging="360"/>
      </w:pPr>
      <w:rPr>
        <w:rFonts w:ascii="Courier New" w:hAnsi="Courier New" w:hint="default"/>
      </w:rPr>
    </w:lvl>
    <w:lvl w:ilvl="8" w:tplc="74FC8BA2">
      <w:start w:val="1"/>
      <w:numFmt w:val="bullet"/>
      <w:lvlText w:val=""/>
      <w:lvlJc w:val="left"/>
      <w:pPr>
        <w:ind w:left="6480" w:hanging="360"/>
      </w:pPr>
      <w:rPr>
        <w:rFonts w:ascii="Wingdings" w:hAnsi="Wingdings" w:hint="default"/>
      </w:rPr>
    </w:lvl>
  </w:abstractNum>
  <w:abstractNum w:abstractNumId="16">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126354"/>
    <w:multiLevelType w:val="hybridMultilevel"/>
    <w:tmpl w:val="25E88B5C"/>
    <w:lvl w:ilvl="0" w:tplc="B5BA0FFE">
      <w:start w:val="1"/>
      <w:numFmt w:val="bullet"/>
      <w:lvlText w:val=""/>
      <w:lvlJc w:val="left"/>
      <w:pPr>
        <w:ind w:left="720" w:hanging="360"/>
      </w:pPr>
      <w:rPr>
        <w:rFonts w:ascii="Symbol" w:hAnsi="Symbol" w:hint="default"/>
      </w:rPr>
    </w:lvl>
    <w:lvl w:ilvl="1" w:tplc="DB285192">
      <w:start w:val="1"/>
      <w:numFmt w:val="bullet"/>
      <w:lvlText w:val="o"/>
      <w:lvlJc w:val="left"/>
      <w:pPr>
        <w:ind w:left="1440" w:hanging="360"/>
      </w:pPr>
      <w:rPr>
        <w:rFonts w:ascii="Courier New" w:hAnsi="Courier New" w:hint="default"/>
      </w:rPr>
    </w:lvl>
    <w:lvl w:ilvl="2" w:tplc="CE4011A6">
      <w:start w:val="1"/>
      <w:numFmt w:val="bullet"/>
      <w:lvlText w:val=""/>
      <w:lvlJc w:val="left"/>
      <w:pPr>
        <w:ind w:left="2160" w:hanging="360"/>
      </w:pPr>
      <w:rPr>
        <w:rFonts w:ascii="Wingdings" w:hAnsi="Wingdings" w:hint="default"/>
      </w:rPr>
    </w:lvl>
    <w:lvl w:ilvl="3" w:tplc="83DAACF0">
      <w:start w:val="1"/>
      <w:numFmt w:val="bullet"/>
      <w:lvlText w:val=""/>
      <w:lvlJc w:val="left"/>
      <w:pPr>
        <w:ind w:left="2880" w:hanging="360"/>
      </w:pPr>
      <w:rPr>
        <w:rFonts w:ascii="Symbol" w:hAnsi="Symbol" w:hint="default"/>
      </w:rPr>
    </w:lvl>
    <w:lvl w:ilvl="4" w:tplc="F1A6F810">
      <w:start w:val="1"/>
      <w:numFmt w:val="bullet"/>
      <w:lvlText w:val="o"/>
      <w:lvlJc w:val="left"/>
      <w:pPr>
        <w:ind w:left="3600" w:hanging="360"/>
      </w:pPr>
      <w:rPr>
        <w:rFonts w:ascii="Courier New" w:hAnsi="Courier New" w:hint="default"/>
      </w:rPr>
    </w:lvl>
    <w:lvl w:ilvl="5" w:tplc="2A0A2D1E">
      <w:start w:val="1"/>
      <w:numFmt w:val="bullet"/>
      <w:lvlText w:val=""/>
      <w:lvlJc w:val="left"/>
      <w:pPr>
        <w:ind w:left="4320" w:hanging="360"/>
      </w:pPr>
      <w:rPr>
        <w:rFonts w:ascii="Wingdings" w:hAnsi="Wingdings" w:hint="default"/>
      </w:rPr>
    </w:lvl>
    <w:lvl w:ilvl="6" w:tplc="50367C34">
      <w:start w:val="1"/>
      <w:numFmt w:val="bullet"/>
      <w:lvlText w:val=""/>
      <w:lvlJc w:val="left"/>
      <w:pPr>
        <w:ind w:left="5040" w:hanging="360"/>
      </w:pPr>
      <w:rPr>
        <w:rFonts w:ascii="Symbol" w:hAnsi="Symbol" w:hint="default"/>
      </w:rPr>
    </w:lvl>
    <w:lvl w:ilvl="7" w:tplc="45E4D1C0">
      <w:start w:val="1"/>
      <w:numFmt w:val="bullet"/>
      <w:lvlText w:val="o"/>
      <w:lvlJc w:val="left"/>
      <w:pPr>
        <w:ind w:left="5760" w:hanging="360"/>
      </w:pPr>
      <w:rPr>
        <w:rFonts w:ascii="Courier New" w:hAnsi="Courier New" w:hint="default"/>
      </w:rPr>
    </w:lvl>
    <w:lvl w:ilvl="8" w:tplc="54E64C7C">
      <w:start w:val="1"/>
      <w:numFmt w:val="bullet"/>
      <w:lvlText w:val=""/>
      <w:lvlJc w:val="left"/>
      <w:pPr>
        <w:ind w:left="6480" w:hanging="360"/>
      </w:pPr>
      <w:rPr>
        <w:rFonts w:ascii="Wingdings" w:hAnsi="Wingdings" w:hint="default"/>
      </w:rPr>
    </w:lvl>
  </w:abstractNum>
  <w:abstractNum w:abstractNumId="24">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64"/>
    <w:rsid w:val="0001715D"/>
    <w:rsid w:val="00022C42"/>
    <w:rsid w:val="00027B15"/>
    <w:rsid w:val="00030A05"/>
    <w:rsid w:val="00066EF8"/>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55866"/>
    <w:rsid w:val="00364C35"/>
    <w:rsid w:val="00396F60"/>
    <w:rsid w:val="003A51D6"/>
    <w:rsid w:val="003B125E"/>
    <w:rsid w:val="003B2A5E"/>
    <w:rsid w:val="003C7C97"/>
    <w:rsid w:val="003D0043"/>
    <w:rsid w:val="00406B8D"/>
    <w:rsid w:val="00410068"/>
    <w:rsid w:val="0041618E"/>
    <w:rsid w:val="0042295C"/>
    <w:rsid w:val="00426EEC"/>
    <w:rsid w:val="00443225"/>
    <w:rsid w:val="004466C3"/>
    <w:rsid w:val="004552CE"/>
    <w:rsid w:val="00481FF7"/>
    <w:rsid w:val="004C6995"/>
    <w:rsid w:val="00500295"/>
    <w:rsid w:val="00501AAF"/>
    <w:rsid w:val="00527AFA"/>
    <w:rsid w:val="005419DA"/>
    <w:rsid w:val="005678AC"/>
    <w:rsid w:val="005679BD"/>
    <w:rsid w:val="005701C0"/>
    <w:rsid w:val="005709B1"/>
    <w:rsid w:val="00572B3B"/>
    <w:rsid w:val="005836D2"/>
    <w:rsid w:val="00587C58"/>
    <w:rsid w:val="00592D79"/>
    <w:rsid w:val="005A7FD4"/>
    <w:rsid w:val="005B1A84"/>
    <w:rsid w:val="005D1AF9"/>
    <w:rsid w:val="005D41D9"/>
    <w:rsid w:val="005D5457"/>
    <w:rsid w:val="005E2699"/>
    <w:rsid w:val="005E44B5"/>
    <w:rsid w:val="005E52C9"/>
    <w:rsid w:val="006123BF"/>
    <w:rsid w:val="00612DEA"/>
    <w:rsid w:val="00614572"/>
    <w:rsid w:val="006232DF"/>
    <w:rsid w:val="00631F2E"/>
    <w:rsid w:val="00643D29"/>
    <w:rsid w:val="006457C0"/>
    <w:rsid w:val="00652BB7"/>
    <w:rsid w:val="00660374"/>
    <w:rsid w:val="00661758"/>
    <w:rsid w:val="0067612C"/>
    <w:rsid w:val="00676FEB"/>
    <w:rsid w:val="006912C4"/>
    <w:rsid w:val="006A5CFC"/>
    <w:rsid w:val="006C5138"/>
    <w:rsid w:val="006C689B"/>
    <w:rsid w:val="006E005C"/>
    <w:rsid w:val="006E2908"/>
    <w:rsid w:val="006E6EE5"/>
    <w:rsid w:val="006F0029"/>
    <w:rsid w:val="007138EF"/>
    <w:rsid w:val="0073280F"/>
    <w:rsid w:val="007632A9"/>
    <w:rsid w:val="00774092"/>
    <w:rsid w:val="00782830"/>
    <w:rsid w:val="0078664A"/>
    <w:rsid w:val="007B0F6D"/>
    <w:rsid w:val="007C62C3"/>
    <w:rsid w:val="007D25AA"/>
    <w:rsid w:val="007F0873"/>
    <w:rsid w:val="00805726"/>
    <w:rsid w:val="00815117"/>
    <w:rsid w:val="00824CB1"/>
    <w:rsid w:val="008520F8"/>
    <w:rsid w:val="00854D29"/>
    <w:rsid w:val="00855F34"/>
    <w:rsid w:val="008826B6"/>
    <w:rsid w:val="008A7B0B"/>
    <w:rsid w:val="008B0B22"/>
    <w:rsid w:val="008C1176"/>
    <w:rsid w:val="008C58B0"/>
    <w:rsid w:val="008C591B"/>
    <w:rsid w:val="008C6182"/>
    <w:rsid w:val="0090779E"/>
    <w:rsid w:val="00926458"/>
    <w:rsid w:val="00933720"/>
    <w:rsid w:val="00956739"/>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46578"/>
    <w:rsid w:val="00B81790"/>
    <w:rsid w:val="00B81BBC"/>
    <w:rsid w:val="00BD03D5"/>
    <w:rsid w:val="00C16208"/>
    <w:rsid w:val="00C3215E"/>
    <w:rsid w:val="00C45272"/>
    <w:rsid w:val="00C47770"/>
    <w:rsid w:val="00C75856"/>
    <w:rsid w:val="00C85A7C"/>
    <w:rsid w:val="00C95214"/>
    <w:rsid w:val="00CC3F59"/>
    <w:rsid w:val="00CD4774"/>
    <w:rsid w:val="00CE07D7"/>
    <w:rsid w:val="00CE1732"/>
    <w:rsid w:val="00CF0F1A"/>
    <w:rsid w:val="00D10AAF"/>
    <w:rsid w:val="00D27540"/>
    <w:rsid w:val="00D36252"/>
    <w:rsid w:val="00D4006B"/>
    <w:rsid w:val="00D40D7A"/>
    <w:rsid w:val="00D64A0D"/>
    <w:rsid w:val="00D676C3"/>
    <w:rsid w:val="00D70344"/>
    <w:rsid w:val="00D750B4"/>
    <w:rsid w:val="00D81C18"/>
    <w:rsid w:val="00D8461A"/>
    <w:rsid w:val="00D95CAF"/>
    <w:rsid w:val="00DB60B6"/>
    <w:rsid w:val="00DC1CC6"/>
    <w:rsid w:val="00DD5135"/>
    <w:rsid w:val="00E0404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D466C"/>
    <w:rsid w:val="00FE463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BalloonText">
    <w:name w:val="Balloon Text"/>
    <w:basedOn w:val="Normal"/>
    <w:link w:val="BalloonTextChar"/>
    <w:uiPriority w:val="99"/>
    <w:semiHidden/>
    <w:unhideWhenUsed/>
    <w:rsid w:val="004C6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995"/>
    <w:rPr>
      <w:rFonts w:ascii="Tahoma" w:hAnsi="Tahoma" w:cs="Tahoma"/>
      <w:sz w:val="16"/>
      <w:szCs w:val="16"/>
    </w:rPr>
  </w:style>
  <w:style w:type="table" w:styleId="TableGrid">
    <w:name w:val="Table Grid"/>
    <w:basedOn w:val="TableNormal"/>
    <w:uiPriority w:val="39"/>
    <w:rsid w:val="00B465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BalloonText">
    <w:name w:val="Balloon Text"/>
    <w:basedOn w:val="Normal"/>
    <w:link w:val="BalloonTextChar"/>
    <w:uiPriority w:val="99"/>
    <w:semiHidden/>
    <w:unhideWhenUsed/>
    <w:rsid w:val="004C6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995"/>
    <w:rPr>
      <w:rFonts w:ascii="Tahoma" w:hAnsi="Tahoma" w:cs="Tahoma"/>
      <w:sz w:val="16"/>
      <w:szCs w:val="16"/>
    </w:rPr>
  </w:style>
  <w:style w:type="table" w:styleId="TableGrid">
    <w:name w:val="Table Grid"/>
    <w:basedOn w:val="TableNormal"/>
    <w:uiPriority w:val="39"/>
    <w:rsid w:val="00B465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09697330211046651" TargetMode="External"/><Relationship Id="rId18" Type="http://schemas.openxmlformats.org/officeDocument/2006/relationships/hyperlink" Target="https://doi.org/10.2196/5874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jmrhs.com" TargetMode="External"/><Relationship Id="rId17" Type="http://schemas.openxmlformats.org/officeDocument/2006/relationships/hyperlink" Target="https://www.casestudiesjournal.com" TargetMode="External"/><Relationship Id="rId2" Type="http://schemas.openxmlformats.org/officeDocument/2006/relationships/numbering" Target="numbering.xml"/><Relationship Id="rId16" Type="http://schemas.openxmlformats.org/officeDocument/2006/relationships/hyperlink" Target="https://doi.org/10.1080/2372966x.2021.195825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pmr.com" TargetMode="External"/><Relationship Id="rId5" Type="http://schemas.openxmlformats.org/officeDocument/2006/relationships/settings" Target="settings.xml"/><Relationship Id="rId15" Type="http://schemas.openxmlformats.org/officeDocument/2006/relationships/hyperlink" Target="https://doi.org/10.1186/s12912-024-01802-5" TargetMode="External"/><Relationship Id="rId23" Type="http://schemas.openxmlformats.org/officeDocument/2006/relationships/theme" Target="theme/theme1.xml"/><Relationship Id="rId10" Type="http://schemas.openxmlformats.org/officeDocument/2006/relationships/hyperlink" Target="http://journals.sagepub.com/home/dhj"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diabeticstdies.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C4F94-2CF3-4CF0-A4E8-34E46348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8</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mostofa_sorwar@yahoo.co.uk</cp:lastModifiedBy>
  <cp:revision>16</cp:revision>
  <dcterms:created xsi:type="dcterms:W3CDTF">2025-11-19T18:30:00Z</dcterms:created>
  <dcterms:modified xsi:type="dcterms:W3CDTF">2026-04-21T14:45:00Z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