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6CB9C" w14:textId="25925F62" w:rsidR="00140349" w:rsidRDefault="001929F5">
      <w:r>
        <w:rPr>
          <w:noProof/>
        </w:rPr>
        <mc:AlternateContent>
          <mc:Choice Requires="wps">
            <w:drawing>
              <wp:anchor distT="45720" distB="45720" distL="114300" distR="114300" simplePos="0" relativeHeight="251660288" behindDoc="0" locked="0" layoutInCell="1" allowOverlap="1" wp14:anchorId="0645B5D9" wp14:editId="74A0FF4D">
                <wp:simplePos x="0" y="0"/>
                <wp:positionH relativeFrom="column">
                  <wp:posOffset>-348615</wp:posOffset>
                </wp:positionH>
                <wp:positionV relativeFrom="paragraph">
                  <wp:posOffset>0</wp:posOffset>
                </wp:positionV>
                <wp:extent cx="6327775" cy="4644390"/>
                <wp:effectExtent l="0" t="0" r="9525" b="16510"/>
                <wp:wrapSquare wrapText="bothSides"/>
                <wp:docPr id="2000818455" name="Text Box 3"/>
                <wp:cNvGraphicFramePr/>
                <a:graphic xmlns:a="http://schemas.openxmlformats.org/drawingml/2006/main">
                  <a:graphicData uri="http://schemas.microsoft.com/office/word/2010/wordprocessingShape">
                    <wps:wsp>
                      <wps:cNvSpPr txBox="1"/>
                      <wps:spPr>
                        <a:xfrm>
                          <a:off x="0" y="0"/>
                          <a:ext cx="6327775" cy="4644390"/>
                        </a:xfrm>
                        <a:prstGeom prst="rect">
                          <a:avLst/>
                        </a:prstGeom>
                        <a:solidFill>
                          <a:prstClr val="white"/>
                        </a:solidFill>
                        <a:ln w="6350">
                          <a:solidFill>
                            <a:prstClr val="black"/>
                          </a:solidFill>
                        </a:ln>
                      </wps:spPr>
                      <wps:txbx>
                        <w:txbxContent>
                          <w:p w14:paraId="66C723CE" w14:textId="77777777" w:rsidR="005767BD" w:rsidRDefault="005767BD" w:rsidP="001E5D99">
                            <w:pPr>
                              <w:jc w:val="center"/>
                              <w:rPr>
                                <w:rFonts w:ascii="Arial" w:hAnsi="Arial" w:cs="Arial"/>
                                <w:sz w:val="56"/>
                                <w:szCs w:val="56"/>
                              </w:rPr>
                            </w:pPr>
                          </w:p>
                          <w:p w14:paraId="200DAF76" w14:textId="0A89E29C" w:rsidR="001421D0" w:rsidRPr="00313C70" w:rsidRDefault="00C67B39" w:rsidP="001E5D99">
                            <w:pPr>
                              <w:jc w:val="center"/>
                              <w:rPr>
                                <w:rFonts w:ascii="Arial" w:hAnsi="Arial" w:cs="Arial"/>
                                <w:sz w:val="56"/>
                                <w:szCs w:val="56"/>
                              </w:rPr>
                            </w:pPr>
                            <w:r w:rsidRPr="00313C70">
                              <w:rPr>
                                <w:rFonts w:ascii="Arial" w:hAnsi="Arial" w:cs="Arial"/>
                                <w:sz w:val="56"/>
                                <w:szCs w:val="56"/>
                              </w:rPr>
                              <w:t xml:space="preserve">Discuss the advantages and disadvantages </w:t>
                            </w:r>
                            <w:r w:rsidR="00A50297" w:rsidRPr="00313C70">
                              <w:rPr>
                                <w:rFonts w:ascii="Arial" w:hAnsi="Arial" w:cs="Arial"/>
                                <w:sz w:val="56"/>
                                <w:szCs w:val="56"/>
                              </w:rPr>
                              <w:t>of Separations of Powers theory</w:t>
                            </w:r>
                          </w:p>
                          <w:p w14:paraId="3C81DA8C" w14:textId="77777777" w:rsidR="00A50297" w:rsidRDefault="00A50297">
                            <w:pPr>
                              <w:rPr>
                                <w:rFonts w:ascii="Arial" w:hAnsi="Arial" w:cs="Arial"/>
                                <w:sz w:val="60"/>
                                <w:szCs w:val="60"/>
                              </w:rPr>
                            </w:pPr>
                          </w:p>
                          <w:p w14:paraId="7FAACB66" w14:textId="65F95CAE" w:rsidR="00A50297" w:rsidRPr="001E5D99" w:rsidRDefault="00C254C1">
                            <w:pPr>
                              <w:rPr>
                                <w:rFonts w:ascii="Arial" w:hAnsi="Arial" w:cs="Arial"/>
                                <w:sz w:val="44"/>
                                <w:szCs w:val="44"/>
                              </w:rPr>
                            </w:pPr>
                            <w:r w:rsidRPr="001E5D99">
                              <w:rPr>
                                <w:rFonts w:ascii="Arial" w:hAnsi="Arial" w:cs="Arial"/>
                                <w:sz w:val="44"/>
                                <w:szCs w:val="44"/>
                              </w:rPr>
                              <w:t>Name - Hollie-Marie Barfoot</w:t>
                            </w:r>
                          </w:p>
                          <w:p w14:paraId="445C513E" w14:textId="4B49CF41" w:rsidR="00E43F29" w:rsidRPr="001E5D99" w:rsidRDefault="00E43F29">
                            <w:pPr>
                              <w:rPr>
                                <w:rFonts w:ascii="Arial" w:hAnsi="Arial" w:cs="Arial"/>
                                <w:sz w:val="44"/>
                                <w:szCs w:val="44"/>
                              </w:rPr>
                            </w:pPr>
                            <w:r w:rsidRPr="001E5D99">
                              <w:rPr>
                                <w:rFonts w:ascii="Arial" w:hAnsi="Arial" w:cs="Arial"/>
                                <w:sz w:val="44"/>
                                <w:szCs w:val="44"/>
                              </w:rPr>
                              <w:t xml:space="preserve">Student Code - </w:t>
                            </w:r>
                            <w:r w:rsidR="00DD1BEE" w:rsidRPr="001E5D99">
                              <w:rPr>
                                <w:rFonts w:ascii="Arial" w:hAnsi="Arial" w:cs="Arial"/>
                                <w:sz w:val="44"/>
                                <w:szCs w:val="44"/>
                              </w:rPr>
                              <w:t>2405227</w:t>
                            </w:r>
                          </w:p>
                          <w:p w14:paraId="0ED8A034" w14:textId="15A4D3A6" w:rsidR="00C254C1" w:rsidRPr="001E5D99" w:rsidRDefault="00C254C1">
                            <w:pPr>
                              <w:rPr>
                                <w:rFonts w:ascii="Arial" w:hAnsi="Arial" w:cs="Arial"/>
                                <w:sz w:val="44"/>
                                <w:szCs w:val="44"/>
                              </w:rPr>
                            </w:pPr>
                            <w:r w:rsidRPr="001E5D99">
                              <w:rPr>
                                <w:rFonts w:ascii="Arial" w:hAnsi="Arial" w:cs="Arial"/>
                                <w:sz w:val="44"/>
                                <w:szCs w:val="44"/>
                              </w:rPr>
                              <w:t>Module Name - Legal Process</w:t>
                            </w:r>
                          </w:p>
                          <w:p w14:paraId="53DAE682" w14:textId="3B62D94B" w:rsidR="00C254C1" w:rsidRDefault="00C254C1">
                            <w:pPr>
                              <w:rPr>
                                <w:rFonts w:ascii="Arial" w:hAnsi="Arial" w:cs="Arial"/>
                                <w:sz w:val="52"/>
                                <w:szCs w:val="52"/>
                              </w:rPr>
                            </w:pPr>
                            <w:r w:rsidRPr="001E5D99">
                              <w:rPr>
                                <w:rFonts w:ascii="Arial" w:hAnsi="Arial" w:cs="Arial"/>
                                <w:sz w:val="44"/>
                                <w:szCs w:val="44"/>
                              </w:rPr>
                              <w:t>Module Code</w:t>
                            </w:r>
                            <w:r w:rsidR="00AA7F9E" w:rsidRPr="001E5D99">
                              <w:rPr>
                                <w:rFonts w:ascii="Arial" w:hAnsi="Arial" w:cs="Arial"/>
                                <w:sz w:val="44"/>
                                <w:szCs w:val="44"/>
                              </w:rPr>
                              <w:t xml:space="preserve"> – BMLW4012</w:t>
                            </w:r>
                            <w:r>
                              <w:rPr>
                                <w:rFonts w:ascii="Arial" w:hAnsi="Arial" w:cs="Arial"/>
                                <w:sz w:val="52"/>
                                <w:szCs w:val="52"/>
                              </w:rPr>
                              <w:t xml:space="preserve"> </w:t>
                            </w:r>
                          </w:p>
                          <w:p w14:paraId="104FD229" w14:textId="0A85182D" w:rsidR="00E43F29" w:rsidRPr="00C254C1" w:rsidRDefault="00E43F29">
                            <w:pPr>
                              <w:rPr>
                                <w:rFonts w:ascii="Arial" w:hAnsi="Arial" w:cs="Arial"/>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45B5D9" id="_x0000_t202" coordsize="21600,21600" o:spt="202" path="m,l,21600r21600,l21600,xe">
                <v:stroke joinstyle="miter"/>
                <v:path gradientshapeok="t" o:connecttype="rect"/>
              </v:shapetype>
              <v:shape id="Text Box 3" o:spid="_x0000_s1026" type="#_x0000_t202" style="position:absolute;margin-left:-27.45pt;margin-top:0;width:498.25pt;height:365.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" strokeweight=".5pt">
                <v:textbox>
                  <w:txbxContent>
                    <w:p w14:paraId="66C723CE" w14:textId="77777777" w:rsidR="005767BD" w:rsidRDefault="005767BD" w:rsidP="001E5D99">
                      <w:pPr>
                        <w:jc w:val="center"/>
                        <w:rPr>
                          <w:rFonts w:ascii="Arial" w:hAnsi="Arial" w:cs="Arial"/>
                          <w:sz w:val="56"/>
                          <w:szCs w:val="56"/>
                        </w:rPr>
                      </w:pPr>
                    </w:p>
                    <w:p w14:paraId="200DAF76" w14:textId="0A89E29C" w:rsidR="001421D0" w:rsidRPr="00313C70" w:rsidRDefault="00C67B39" w:rsidP="001E5D99">
                      <w:pPr>
                        <w:jc w:val="center"/>
                        <w:rPr>
                          <w:rFonts w:ascii="Arial" w:hAnsi="Arial" w:cs="Arial"/>
                          <w:sz w:val="56"/>
                          <w:szCs w:val="56"/>
                        </w:rPr>
                      </w:pPr>
                      <w:r w:rsidRPr="00313C70">
                        <w:rPr>
                          <w:rFonts w:ascii="Arial" w:hAnsi="Arial" w:cs="Arial"/>
                          <w:sz w:val="56"/>
                          <w:szCs w:val="56"/>
                        </w:rPr>
                        <w:t xml:space="preserve">Discuss the advantages and disadvantages </w:t>
                      </w:r>
                      <w:r w:rsidR="00A50297" w:rsidRPr="00313C70">
                        <w:rPr>
                          <w:rFonts w:ascii="Arial" w:hAnsi="Arial" w:cs="Arial"/>
                          <w:sz w:val="56"/>
                          <w:szCs w:val="56"/>
                        </w:rPr>
                        <w:t>of Separations of Powers theory</w:t>
                      </w:r>
                    </w:p>
                    <w:p w14:paraId="3C81DA8C" w14:textId="77777777" w:rsidR="00A50297" w:rsidRDefault="00A50297">
                      <w:pPr>
                        <w:rPr>
                          <w:rFonts w:ascii="Arial" w:hAnsi="Arial" w:cs="Arial"/>
                          <w:sz w:val="60"/>
                          <w:szCs w:val="60"/>
                        </w:rPr>
                      </w:pPr>
                    </w:p>
                    <w:p w14:paraId="7FAACB66" w14:textId="65F95CAE" w:rsidR="00A50297" w:rsidRPr="001E5D99" w:rsidRDefault="00C254C1">
                      <w:pPr>
                        <w:rPr>
                          <w:rFonts w:ascii="Arial" w:hAnsi="Arial" w:cs="Arial"/>
                          <w:sz w:val="44"/>
                          <w:szCs w:val="44"/>
                        </w:rPr>
                      </w:pPr>
                      <w:r w:rsidRPr="001E5D99">
                        <w:rPr>
                          <w:rFonts w:ascii="Arial" w:hAnsi="Arial" w:cs="Arial"/>
                          <w:sz w:val="44"/>
                          <w:szCs w:val="44"/>
                        </w:rPr>
                        <w:t>Name - Hollie-Marie Barfoot</w:t>
                      </w:r>
                    </w:p>
                    <w:p w14:paraId="445C513E" w14:textId="4B49CF41" w:rsidR="00E43F29" w:rsidRPr="001E5D99" w:rsidRDefault="00E43F29">
                      <w:pPr>
                        <w:rPr>
                          <w:rFonts w:ascii="Arial" w:hAnsi="Arial" w:cs="Arial"/>
                          <w:sz w:val="44"/>
                          <w:szCs w:val="44"/>
                        </w:rPr>
                      </w:pPr>
                      <w:r w:rsidRPr="001E5D99">
                        <w:rPr>
                          <w:rFonts w:ascii="Arial" w:hAnsi="Arial" w:cs="Arial"/>
                          <w:sz w:val="44"/>
                          <w:szCs w:val="44"/>
                        </w:rPr>
                        <w:t xml:space="preserve">Student Code - </w:t>
                      </w:r>
                      <w:r w:rsidR="00DD1BEE" w:rsidRPr="001E5D99">
                        <w:rPr>
                          <w:rFonts w:ascii="Arial" w:hAnsi="Arial" w:cs="Arial"/>
                          <w:sz w:val="44"/>
                          <w:szCs w:val="44"/>
                        </w:rPr>
                        <w:t>2405227</w:t>
                      </w:r>
                    </w:p>
                    <w:p w14:paraId="0ED8A034" w14:textId="15A4D3A6" w:rsidR="00C254C1" w:rsidRPr="001E5D99" w:rsidRDefault="00C254C1">
                      <w:pPr>
                        <w:rPr>
                          <w:rFonts w:ascii="Arial" w:hAnsi="Arial" w:cs="Arial"/>
                          <w:sz w:val="44"/>
                          <w:szCs w:val="44"/>
                        </w:rPr>
                      </w:pPr>
                      <w:r w:rsidRPr="001E5D99">
                        <w:rPr>
                          <w:rFonts w:ascii="Arial" w:hAnsi="Arial" w:cs="Arial"/>
                          <w:sz w:val="44"/>
                          <w:szCs w:val="44"/>
                        </w:rPr>
                        <w:t>Module Name - Legal Process</w:t>
                      </w:r>
                    </w:p>
                    <w:p w14:paraId="53DAE682" w14:textId="3B62D94B" w:rsidR="00C254C1" w:rsidRDefault="00C254C1">
                      <w:pPr>
                        <w:rPr>
                          <w:rFonts w:ascii="Arial" w:hAnsi="Arial" w:cs="Arial"/>
                          <w:sz w:val="52"/>
                          <w:szCs w:val="52"/>
                        </w:rPr>
                      </w:pPr>
                      <w:r w:rsidRPr="001E5D99">
                        <w:rPr>
                          <w:rFonts w:ascii="Arial" w:hAnsi="Arial" w:cs="Arial"/>
                          <w:sz w:val="44"/>
                          <w:szCs w:val="44"/>
                        </w:rPr>
                        <w:t>Module Code</w:t>
                      </w:r>
                      <w:r w:rsidR="00AA7F9E" w:rsidRPr="001E5D99">
                        <w:rPr>
                          <w:rFonts w:ascii="Arial" w:hAnsi="Arial" w:cs="Arial"/>
                          <w:sz w:val="44"/>
                          <w:szCs w:val="44"/>
                        </w:rPr>
                        <w:t xml:space="preserve"> – BMLW4012</w:t>
                      </w:r>
                      <w:r>
                        <w:rPr>
                          <w:rFonts w:ascii="Arial" w:hAnsi="Arial" w:cs="Arial"/>
                          <w:sz w:val="52"/>
                          <w:szCs w:val="52"/>
                        </w:rPr>
                        <w:t xml:space="preserve"> </w:t>
                      </w:r>
                    </w:p>
                    <w:p w14:paraId="104FD229" w14:textId="0A85182D" w:rsidR="00E43F29" w:rsidRPr="00C254C1" w:rsidRDefault="00E43F29">
                      <w:pPr>
                        <w:rPr>
                          <w:rFonts w:ascii="Arial" w:hAnsi="Arial" w:cs="Arial"/>
                          <w:sz w:val="52"/>
                          <w:szCs w:val="52"/>
                        </w:rPr>
                      </w:pPr>
                    </w:p>
                  </w:txbxContent>
                </v:textbox>
                <w10:wrap type="square"/>
              </v:shape>
            </w:pict>
          </mc:Fallback>
        </mc:AlternateContent>
      </w:r>
      <w:r w:rsidR="006D4F58">
        <w:rPr>
          <w:noProof/>
        </w:rPr>
        <w:drawing>
          <wp:anchor distT="0" distB="0" distL="114300" distR="114300" simplePos="0" relativeHeight="251659264" behindDoc="1" locked="0" layoutInCell="1" allowOverlap="1" wp14:anchorId="1C7DBC0F" wp14:editId="269FAF42">
            <wp:simplePos x="0" y="0"/>
            <wp:positionH relativeFrom="column">
              <wp:posOffset>-2467429</wp:posOffset>
            </wp:positionH>
            <wp:positionV relativeFrom="paragraph">
              <wp:posOffset>-2148114</wp:posOffset>
            </wp:positionV>
            <wp:extent cx="10116185" cy="11930743"/>
            <wp:effectExtent l="0" t="0" r="5715" b="0"/>
            <wp:wrapNone/>
            <wp:docPr id="752727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27660" name="Picture 752727660"/>
                    <pic:cNvPicPr/>
                  </pic:nvPicPr>
                  <pic:blipFill>
                    <a:blip r:embed="rId5">
                      <a:extLst>
                        <a:ext uri="{28A0092B-C50C-407E-A947-70E740481C1C}">
                          <a14:useLocalDpi xmlns:a14="http://schemas.microsoft.com/office/drawing/2010/main" val="0"/>
                        </a:ext>
                      </a:extLst>
                    </a:blip>
                    <a:stretch>
                      <a:fillRect/>
                    </a:stretch>
                  </pic:blipFill>
                  <pic:spPr>
                    <a:xfrm>
                      <a:off x="0" y="0"/>
                      <a:ext cx="10117017" cy="11931724"/>
                    </a:xfrm>
                    <a:prstGeom prst="rect">
                      <a:avLst/>
                    </a:prstGeom>
                  </pic:spPr>
                </pic:pic>
              </a:graphicData>
            </a:graphic>
            <wp14:sizeRelH relativeFrom="margin">
              <wp14:pctWidth>0</wp14:pctWidth>
            </wp14:sizeRelH>
            <wp14:sizeRelV relativeFrom="margin">
              <wp14:pctHeight>0</wp14:pctHeight>
            </wp14:sizeRelV>
          </wp:anchor>
        </w:drawing>
      </w:r>
    </w:p>
    <w:p w14:paraId="697BC4BB" w14:textId="14F268C9" w:rsidR="00140349" w:rsidRDefault="00140349">
      <w:r>
        <w:br w:type="page"/>
      </w:r>
    </w:p>
    <w:p w14:paraId="07D29E89" w14:textId="2F21CE21" w:rsidR="00140349" w:rsidRDefault="003D7F22">
      <w:pPr>
        <w:rPr>
          <w:rFonts w:ascii="Arial" w:hAnsi="Arial" w:cs="Arial"/>
          <w:sz w:val="40"/>
          <w:szCs w:val="40"/>
        </w:rPr>
      </w:pPr>
      <w:r>
        <w:rPr>
          <w:rFonts w:ascii="Arial" w:hAnsi="Arial" w:cs="Arial"/>
          <w:sz w:val="40"/>
          <w:szCs w:val="40"/>
        </w:rPr>
        <w:lastRenderedPageBreak/>
        <w:t xml:space="preserve">Discuss the advantages and disadvantages of Separation of </w:t>
      </w:r>
      <w:r w:rsidR="00903371">
        <w:rPr>
          <w:rFonts w:ascii="Arial" w:hAnsi="Arial" w:cs="Arial"/>
          <w:sz w:val="40"/>
          <w:szCs w:val="40"/>
        </w:rPr>
        <w:t>P</w:t>
      </w:r>
      <w:r>
        <w:rPr>
          <w:rFonts w:ascii="Arial" w:hAnsi="Arial" w:cs="Arial"/>
          <w:sz w:val="40"/>
          <w:szCs w:val="40"/>
        </w:rPr>
        <w:t xml:space="preserve">owers </w:t>
      </w:r>
      <w:r w:rsidR="00903371">
        <w:rPr>
          <w:rFonts w:ascii="Arial" w:hAnsi="Arial" w:cs="Arial"/>
          <w:sz w:val="40"/>
          <w:szCs w:val="40"/>
        </w:rPr>
        <w:t>T</w:t>
      </w:r>
      <w:r>
        <w:rPr>
          <w:rFonts w:ascii="Arial" w:hAnsi="Arial" w:cs="Arial"/>
          <w:sz w:val="40"/>
          <w:szCs w:val="40"/>
        </w:rPr>
        <w:t>heory</w:t>
      </w:r>
    </w:p>
    <w:p w14:paraId="3B552B7C" w14:textId="77777777" w:rsidR="00903371" w:rsidRPr="00005F7E" w:rsidRDefault="00903371">
      <w:pPr>
        <w:rPr>
          <w:rFonts w:ascii="Arial" w:hAnsi="Arial" w:cs="Arial"/>
          <w:sz w:val="40"/>
          <w:szCs w:val="40"/>
        </w:rPr>
      </w:pPr>
    </w:p>
    <w:p w14:paraId="186EBBFE" w14:textId="4A6504C6" w:rsidR="004D3930" w:rsidRPr="00005F7E" w:rsidRDefault="00023E46">
      <w:pPr>
        <w:rPr>
          <w:rFonts w:ascii="Arial" w:hAnsi="Arial" w:cs="Arial"/>
        </w:rPr>
      </w:pPr>
      <w:r w:rsidRPr="00005F7E">
        <w:rPr>
          <w:rFonts w:ascii="Arial" w:hAnsi="Arial" w:cs="Arial"/>
        </w:rPr>
        <w:t xml:space="preserve">The fundamental idea that is supposed to guarantee </w:t>
      </w:r>
      <w:r w:rsidR="00DA0C3D" w:rsidRPr="00005F7E">
        <w:rPr>
          <w:rFonts w:ascii="Arial" w:hAnsi="Arial" w:cs="Arial"/>
        </w:rPr>
        <w:t xml:space="preserve">government accountability and keeps any one branch from </w:t>
      </w:r>
      <w:r w:rsidR="002C3B51" w:rsidRPr="00005F7E">
        <w:rPr>
          <w:rFonts w:ascii="Arial" w:hAnsi="Arial" w:cs="Arial"/>
        </w:rPr>
        <w:t xml:space="preserve">holding excessive power over the rest, is the separation of powers theory. </w:t>
      </w:r>
      <w:r w:rsidR="00591FB4" w:rsidRPr="00005F7E">
        <w:rPr>
          <w:rFonts w:ascii="Arial" w:hAnsi="Arial" w:cs="Arial"/>
        </w:rPr>
        <w:t xml:space="preserve">The division of power is spread across 3 key institutions being the Government, the Parliament and the Judiciary. </w:t>
      </w:r>
      <w:r w:rsidR="0089613F" w:rsidRPr="00005F7E">
        <w:rPr>
          <w:rFonts w:ascii="Arial" w:hAnsi="Arial" w:cs="Arial"/>
        </w:rPr>
        <w:t xml:space="preserve">The overall </w:t>
      </w:r>
      <w:r w:rsidR="00EF352E" w:rsidRPr="00005F7E">
        <w:rPr>
          <w:rFonts w:ascii="Arial" w:hAnsi="Arial" w:cs="Arial"/>
        </w:rPr>
        <w:t xml:space="preserve">conception of this theory is that </w:t>
      </w:r>
      <w:r w:rsidR="004B60F8" w:rsidRPr="00005F7E">
        <w:rPr>
          <w:rFonts w:ascii="Arial" w:hAnsi="Arial" w:cs="Arial"/>
        </w:rPr>
        <w:t>major institutions should be functionally independent</w:t>
      </w:r>
      <w:r w:rsidR="008D71ED" w:rsidRPr="00005F7E">
        <w:rPr>
          <w:rFonts w:ascii="Arial" w:hAnsi="Arial" w:cs="Arial"/>
        </w:rPr>
        <w:t xml:space="preserve"> (</w:t>
      </w:r>
      <w:r w:rsidR="00B61B16" w:rsidRPr="00005F7E">
        <w:rPr>
          <w:rFonts w:ascii="Arial" w:hAnsi="Arial" w:cs="Arial"/>
        </w:rPr>
        <w:t>Benwell, Gay, and Parliament and Constitution Centre, 2021</w:t>
      </w:r>
      <w:r w:rsidR="00E45657" w:rsidRPr="00005F7E">
        <w:rPr>
          <w:rFonts w:ascii="Arial" w:hAnsi="Arial" w:cs="Arial"/>
        </w:rPr>
        <w:t>a</w:t>
      </w:r>
      <w:r w:rsidR="00B61B16" w:rsidRPr="00005F7E">
        <w:rPr>
          <w:rFonts w:ascii="Arial" w:hAnsi="Arial" w:cs="Arial"/>
        </w:rPr>
        <w:t>).</w:t>
      </w:r>
      <w:r w:rsidR="00E170BF" w:rsidRPr="00005F7E">
        <w:rPr>
          <w:rFonts w:ascii="Arial" w:hAnsi="Arial" w:cs="Arial"/>
        </w:rPr>
        <w:t xml:space="preserve"> </w:t>
      </w:r>
      <w:r w:rsidR="00124BF6" w:rsidRPr="00005F7E">
        <w:rPr>
          <w:rFonts w:ascii="Arial" w:hAnsi="Arial" w:cs="Arial"/>
        </w:rPr>
        <w:t xml:space="preserve">The Separations of Powers will be </w:t>
      </w:r>
      <w:r w:rsidR="00264EEE" w:rsidRPr="00005F7E">
        <w:rPr>
          <w:rFonts w:ascii="Arial" w:hAnsi="Arial" w:cs="Arial"/>
        </w:rPr>
        <w:t xml:space="preserve">explored </w:t>
      </w:r>
      <w:r w:rsidR="00124BF6" w:rsidRPr="00005F7E">
        <w:rPr>
          <w:rFonts w:ascii="Arial" w:hAnsi="Arial" w:cs="Arial"/>
        </w:rPr>
        <w:t xml:space="preserve">in this </w:t>
      </w:r>
      <w:r w:rsidR="00F863FD" w:rsidRPr="00005F7E">
        <w:rPr>
          <w:rFonts w:ascii="Arial" w:hAnsi="Arial" w:cs="Arial"/>
        </w:rPr>
        <w:t xml:space="preserve">essay, evaluating the theory by examining the advantages and the disadvantages throughout. </w:t>
      </w:r>
      <w:r w:rsidR="009D6D3A" w:rsidRPr="00005F7E">
        <w:rPr>
          <w:rFonts w:ascii="Arial" w:hAnsi="Arial" w:cs="Arial"/>
        </w:rPr>
        <w:t xml:space="preserve">Inspecting </w:t>
      </w:r>
      <w:r w:rsidR="007F3283" w:rsidRPr="00005F7E">
        <w:rPr>
          <w:rFonts w:ascii="Arial" w:hAnsi="Arial" w:cs="Arial"/>
        </w:rPr>
        <w:t>the roles of the Parliament, Government and Judiciary</w:t>
      </w:r>
      <w:r w:rsidR="00C044F7" w:rsidRPr="00005F7E">
        <w:rPr>
          <w:rFonts w:ascii="Arial" w:hAnsi="Arial" w:cs="Arial"/>
        </w:rPr>
        <w:t xml:space="preserve">, while discussing the </w:t>
      </w:r>
      <w:r w:rsidR="007966D6" w:rsidRPr="00005F7E">
        <w:rPr>
          <w:rFonts w:ascii="Arial" w:hAnsi="Arial" w:cs="Arial"/>
        </w:rPr>
        <w:t xml:space="preserve">functions and separations of each. </w:t>
      </w:r>
      <w:r w:rsidR="00C749DE" w:rsidRPr="00005F7E">
        <w:rPr>
          <w:rFonts w:ascii="Arial" w:hAnsi="Arial" w:cs="Arial"/>
        </w:rPr>
        <w:t xml:space="preserve">*thesis* </w:t>
      </w:r>
    </w:p>
    <w:p w14:paraId="7D5215F7" w14:textId="77777777" w:rsidR="004D3930" w:rsidRPr="00005F7E" w:rsidRDefault="004D3930">
      <w:pPr>
        <w:rPr>
          <w:rFonts w:ascii="Arial" w:hAnsi="Arial" w:cs="Arial"/>
        </w:rPr>
      </w:pPr>
    </w:p>
    <w:p w14:paraId="6F6DB05F" w14:textId="0FFC683F" w:rsidR="00B1230D" w:rsidRPr="00005F7E" w:rsidRDefault="00B1230D">
      <w:pPr>
        <w:rPr>
          <w:rFonts w:ascii="Arial" w:hAnsi="Arial" w:cs="Arial"/>
        </w:rPr>
      </w:pPr>
      <w:r w:rsidRPr="00005F7E">
        <w:rPr>
          <w:rFonts w:ascii="Arial" w:hAnsi="Arial" w:cs="Arial"/>
        </w:rPr>
        <w:t xml:space="preserve">The first two guiding principles of the Separation of Powers theory is the division of power, which </w:t>
      </w:r>
      <w:r w:rsidR="00F2484C" w:rsidRPr="00005F7E">
        <w:rPr>
          <w:rFonts w:ascii="Arial" w:hAnsi="Arial" w:cs="Arial"/>
        </w:rPr>
        <w:t xml:space="preserve">advises to prevent unequal political power concentrations in the hands of any one individual, organisation or </w:t>
      </w:r>
      <w:r w:rsidR="00DF1A3A" w:rsidRPr="00005F7E">
        <w:rPr>
          <w:rFonts w:ascii="Arial" w:hAnsi="Arial" w:cs="Arial"/>
        </w:rPr>
        <w:t>agency. The second principle is checks and balances, which states that the use of powe</w:t>
      </w:r>
      <w:r w:rsidR="002F440A" w:rsidRPr="00005F7E">
        <w:rPr>
          <w:rFonts w:ascii="Arial" w:hAnsi="Arial" w:cs="Arial"/>
        </w:rPr>
        <w:t xml:space="preserve">r by one position of authority must be counterbalanced and verified by the use of power by other positions of authority </w:t>
      </w:r>
      <w:r w:rsidR="0017402A" w:rsidRPr="00005F7E">
        <w:rPr>
          <w:rFonts w:ascii="Arial" w:hAnsi="Arial" w:cs="Arial"/>
        </w:rPr>
        <w:t>(</w:t>
      </w:r>
      <w:r w:rsidR="00F73B96" w:rsidRPr="00005F7E">
        <w:rPr>
          <w:rFonts w:ascii="Arial" w:hAnsi="Arial" w:cs="Arial"/>
        </w:rPr>
        <w:t>Wal</w:t>
      </w:r>
      <w:r w:rsidR="00FA252B" w:rsidRPr="00005F7E">
        <w:rPr>
          <w:rFonts w:ascii="Arial" w:hAnsi="Arial" w:cs="Arial"/>
        </w:rPr>
        <w:t>dron, 2013).</w:t>
      </w:r>
      <w:r w:rsidR="00B97B2D" w:rsidRPr="00005F7E">
        <w:rPr>
          <w:rFonts w:ascii="Arial" w:hAnsi="Arial" w:cs="Arial"/>
        </w:rPr>
        <w:t xml:space="preserve"> </w:t>
      </w:r>
      <w:r w:rsidR="00D9480D" w:rsidRPr="00005F7E">
        <w:rPr>
          <w:rFonts w:ascii="Arial" w:hAnsi="Arial" w:cs="Arial"/>
        </w:rPr>
        <w:t>Looking into the Constitutional Reform Act 2005 and its impact on the separation of powers, this act modifies the office of Lord Chancellor and changes the way that the functions vested in the office are exercised (King’s Printer of Acts of Parliament, no date). As a result of the Constitutional Reform Act 2005, judicial independence was preserved in law for the first time in nearly 900 years (Courts and Tribunals Judiciary, 2023). To define the 3 main UK powers, a</w:t>
      </w:r>
      <w:r w:rsidR="00584EED" w:rsidRPr="00005F7E">
        <w:rPr>
          <w:rFonts w:ascii="Arial" w:hAnsi="Arial" w:cs="Arial"/>
        </w:rPr>
        <w:t xml:space="preserve">ccording to </w:t>
      </w:r>
      <w:r w:rsidR="00A529FB" w:rsidRPr="00005F7E">
        <w:rPr>
          <w:rFonts w:ascii="Arial" w:hAnsi="Arial" w:cs="Arial"/>
        </w:rPr>
        <w:t xml:space="preserve">UK </w:t>
      </w:r>
      <w:r w:rsidR="00BC4C8F" w:rsidRPr="00005F7E">
        <w:rPr>
          <w:rFonts w:ascii="Arial" w:hAnsi="Arial" w:cs="Arial"/>
        </w:rPr>
        <w:t>Pa</w:t>
      </w:r>
      <w:r w:rsidR="006F115B" w:rsidRPr="00005F7E">
        <w:rPr>
          <w:rFonts w:ascii="Arial" w:hAnsi="Arial" w:cs="Arial"/>
        </w:rPr>
        <w:t>rliament (2025</w:t>
      </w:r>
      <w:r w:rsidR="00A529FB" w:rsidRPr="00005F7E">
        <w:rPr>
          <w:rFonts w:ascii="Arial" w:hAnsi="Arial" w:cs="Arial"/>
        </w:rPr>
        <w:t>a</w:t>
      </w:r>
      <w:r w:rsidR="006F115B" w:rsidRPr="00005F7E">
        <w:rPr>
          <w:rFonts w:ascii="Arial" w:hAnsi="Arial" w:cs="Arial"/>
        </w:rPr>
        <w:t xml:space="preserve">), </w:t>
      </w:r>
      <w:r w:rsidR="00EB3EE8" w:rsidRPr="00005F7E">
        <w:rPr>
          <w:rFonts w:ascii="Arial" w:hAnsi="Arial" w:cs="Arial"/>
        </w:rPr>
        <w:t>the government is in charge of establishing and carrying</w:t>
      </w:r>
      <w:r w:rsidR="00841FD5" w:rsidRPr="00005F7E">
        <w:rPr>
          <w:rFonts w:ascii="Arial" w:hAnsi="Arial" w:cs="Arial"/>
        </w:rPr>
        <w:t xml:space="preserve"> out policies as well as creating laws, an alternative name for the government is the executive. </w:t>
      </w:r>
      <w:r w:rsidR="00B7456D" w:rsidRPr="00005F7E">
        <w:rPr>
          <w:rFonts w:ascii="Arial" w:hAnsi="Arial" w:cs="Arial"/>
        </w:rPr>
        <w:t>At a general election, they arty with the most seats in the House of Commons typically forms the gover</w:t>
      </w:r>
      <w:r w:rsidR="003E7D46" w:rsidRPr="00005F7E">
        <w:rPr>
          <w:rFonts w:ascii="Arial" w:hAnsi="Arial" w:cs="Arial"/>
        </w:rPr>
        <w:t>nment. The prime minister leads it and selects the governments minister. Implementing government policy</w:t>
      </w:r>
      <w:r w:rsidR="007D16BC" w:rsidRPr="00005F7E">
        <w:rPr>
          <w:rFonts w:ascii="Arial" w:hAnsi="Arial" w:cs="Arial"/>
        </w:rPr>
        <w:t xml:space="preserve"> is the responsibility of government departments and their agencies.</w:t>
      </w:r>
      <w:r w:rsidR="00A529FB" w:rsidRPr="00005F7E">
        <w:rPr>
          <w:rFonts w:ascii="Arial" w:hAnsi="Arial" w:cs="Arial"/>
        </w:rPr>
        <w:t xml:space="preserve"> UK</w:t>
      </w:r>
      <w:r w:rsidR="007D16BC" w:rsidRPr="00005F7E">
        <w:rPr>
          <w:rFonts w:ascii="Arial" w:hAnsi="Arial" w:cs="Arial"/>
        </w:rPr>
        <w:t xml:space="preserve"> </w:t>
      </w:r>
      <w:r w:rsidR="00A529FB" w:rsidRPr="00005F7E">
        <w:rPr>
          <w:rFonts w:ascii="Arial" w:hAnsi="Arial" w:cs="Arial"/>
        </w:rPr>
        <w:t xml:space="preserve">Parliament (2025b) states Parliament exists to speak for us and ensure that the government takes our interests into consideration. The consent of Parliament is required before the government can enact new laws or impose new taxes. Members of Parliament are both appointed and elected representatives. Two different Houses are where they sit being the House of Commons and the House of Lords. </w:t>
      </w:r>
      <w:r w:rsidR="0042123C" w:rsidRPr="00005F7E">
        <w:rPr>
          <w:rFonts w:ascii="Arial" w:hAnsi="Arial" w:cs="Arial"/>
        </w:rPr>
        <w:t xml:space="preserve">The Judiciary is another power within the UK and is referred to as the judicial branch of the government. In addition to having the authority to overturn laws that they believe to be unconstitutional, judiciaries are in charge of interpreting and applying a nations laws in specific situations. The judicial branch of government in the UK has comparatively less </w:t>
      </w:r>
      <w:r w:rsidR="0042123C" w:rsidRPr="00005F7E">
        <w:rPr>
          <w:rFonts w:ascii="Arial" w:hAnsi="Arial" w:cs="Arial"/>
        </w:rPr>
        <w:lastRenderedPageBreak/>
        <w:t>authority than the legislative branch because it lacks the authority to declare Acts of Parliament. This is a result of the United Kingdom’s unwritten constitution</w:t>
      </w:r>
      <w:r w:rsidR="003D0941" w:rsidRPr="00005F7E">
        <w:rPr>
          <w:rFonts w:ascii="Arial" w:hAnsi="Arial" w:cs="Arial"/>
        </w:rPr>
        <w:t xml:space="preserve"> (Polyas, n.d). </w:t>
      </w:r>
    </w:p>
    <w:p w14:paraId="102F9D5E" w14:textId="77777777" w:rsidR="00BB390A" w:rsidRPr="00005F7E" w:rsidRDefault="00BB390A">
      <w:pPr>
        <w:rPr>
          <w:rFonts w:ascii="Arial" w:hAnsi="Arial" w:cs="Arial"/>
        </w:rPr>
      </w:pPr>
    </w:p>
    <w:p w14:paraId="6D0D4C98" w14:textId="2542F5CC" w:rsidR="00E50FCF" w:rsidRPr="00005F7E" w:rsidRDefault="00E32860">
      <w:pPr>
        <w:rPr>
          <w:rFonts w:ascii="Arial" w:hAnsi="Arial" w:cs="Arial"/>
        </w:rPr>
      </w:pPr>
      <w:r w:rsidRPr="00005F7E">
        <w:rPr>
          <w:rFonts w:ascii="Arial" w:hAnsi="Arial" w:cs="Arial"/>
        </w:rPr>
        <w:t>A key advantage of the Separation of Powers theory is that no singular branch holds all of most of the power (BIHR, no date).</w:t>
      </w:r>
      <w:r w:rsidR="00E45657" w:rsidRPr="00005F7E">
        <w:rPr>
          <w:rFonts w:ascii="Arial" w:hAnsi="Arial" w:cs="Arial"/>
        </w:rPr>
        <w:t xml:space="preserve"> As stated by Benwell and Gay (2021b)</w:t>
      </w:r>
      <w:r w:rsidRPr="00005F7E">
        <w:rPr>
          <w:rFonts w:ascii="Arial" w:hAnsi="Arial" w:cs="Arial"/>
        </w:rPr>
        <w:t xml:space="preserve"> </w:t>
      </w:r>
      <w:r w:rsidR="00E45657" w:rsidRPr="00005F7E">
        <w:rPr>
          <w:rFonts w:ascii="Arial" w:hAnsi="Arial" w:cs="Arial"/>
        </w:rPr>
        <w:t xml:space="preserve">“Divided in person and in function or order to safeguard liberties and guard against tyranny”, this statement captures the prime idea of the theory itself. Creating a separation ensures that all agencies are equal and level. </w:t>
      </w:r>
      <w:r w:rsidR="00244E49" w:rsidRPr="00005F7E">
        <w:rPr>
          <w:rFonts w:ascii="Arial" w:hAnsi="Arial" w:cs="Arial"/>
        </w:rPr>
        <w:t>The division of governmental authority and duties among the various branches aids in preventing any one party or person from controlling all aspects of the government. It is more difficult to abuse power because of the distribution as any attempt to do so must contend with the checks and balances imposed by other branches (UOLLB, 2024</w:t>
      </w:r>
      <w:r w:rsidR="00672E05" w:rsidRPr="00005F7E">
        <w:rPr>
          <w:rFonts w:ascii="Arial" w:hAnsi="Arial" w:cs="Arial"/>
        </w:rPr>
        <w:t>a</w:t>
      </w:r>
      <w:r w:rsidR="00244E49" w:rsidRPr="00005F7E">
        <w:rPr>
          <w:rFonts w:ascii="Arial" w:hAnsi="Arial" w:cs="Arial"/>
        </w:rPr>
        <w:t xml:space="preserve">). </w:t>
      </w:r>
      <w:r w:rsidR="00E50FCF" w:rsidRPr="00005F7E">
        <w:rPr>
          <w:rFonts w:ascii="Arial" w:hAnsi="Arial" w:cs="Arial"/>
        </w:rPr>
        <w:t>One benefit of laws is that they prevent executive power abuses brought on by special interests in the private sector (</w:t>
      </w:r>
      <w:r w:rsidR="00956404" w:rsidRPr="00005F7E">
        <w:rPr>
          <w:rFonts w:ascii="Arial" w:hAnsi="Arial" w:cs="Arial"/>
        </w:rPr>
        <w:t>Fuch</w:t>
      </w:r>
      <w:r w:rsidR="00E50FCF" w:rsidRPr="00005F7E">
        <w:rPr>
          <w:rFonts w:ascii="Arial" w:hAnsi="Arial" w:cs="Arial"/>
        </w:rPr>
        <w:t>s</w:t>
      </w:r>
      <w:r w:rsidR="00956404" w:rsidRPr="00005F7E">
        <w:rPr>
          <w:rFonts w:ascii="Arial" w:hAnsi="Arial" w:cs="Arial"/>
        </w:rPr>
        <w:t xml:space="preserve"> and Herold</w:t>
      </w:r>
      <w:r w:rsidR="00E50FCF" w:rsidRPr="00005F7E">
        <w:rPr>
          <w:rFonts w:ascii="Arial" w:hAnsi="Arial" w:cs="Arial"/>
        </w:rPr>
        <w:t>, 2011</w:t>
      </w:r>
      <w:r w:rsidR="00956404" w:rsidRPr="00005F7E">
        <w:rPr>
          <w:rFonts w:ascii="Arial" w:hAnsi="Arial" w:cs="Arial"/>
        </w:rPr>
        <w:t>b</w:t>
      </w:r>
      <w:r w:rsidR="00E50FCF" w:rsidRPr="00005F7E">
        <w:rPr>
          <w:rFonts w:ascii="Arial" w:hAnsi="Arial" w:cs="Arial"/>
        </w:rPr>
        <w:t>). Boris Johnsons prorogation of Parliament in 2019 is a prominent instance of a government institution in the UK abusing its power against another</w:t>
      </w:r>
      <w:r w:rsidR="00D14DCA" w:rsidRPr="00005F7E">
        <w:rPr>
          <w:rFonts w:ascii="Arial" w:hAnsi="Arial" w:cs="Arial"/>
        </w:rPr>
        <w:t xml:space="preserve"> (Hale et al., 2019)</w:t>
      </w:r>
      <w:r w:rsidR="00E50FCF" w:rsidRPr="00005F7E">
        <w:rPr>
          <w:rFonts w:ascii="Arial" w:hAnsi="Arial" w:cs="Arial"/>
        </w:rPr>
        <w:t xml:space="preserve">. The Queen was advised to suspend parliament for five weeks, this was perceived as an effort to silence Brexit related parliamentary discussion, specifically to stop members of parliament from obstructing it. It was bough upon in UK Supreme Court in the case of R v The Prime Minister 2019 (4 </w:t>
      </w:r>
      <w:r w:rsidR="00956404" w:rsidRPr="00005F7E">
        <w:rPr>
          <w:rFonts w:ascii="Arial" w:hAnsi="Arial" w:cs="Arial"/>
        </w:rPr>
        <w:t>P</w:t>
      </w:r>
      <w:r w:rsidR="00E50FCF" w:rsidRPr="00005F7E">
        <w:rPr>
          <w:rFonts w:ascii="Arial" w:hAnsi="Arial" w:cs="Arial"/>
        </w:rPr>
        <w:t xml:space="preserve">ump </w:t>
      </w:r>
      <w:r w:rsidR="00956404" w:rsidRPr="00005F7E">
        <w:rPr>
          <w:rFonts w:ascii="Arial" w:hAnsi="Arial" w:cs="Arial"/>
        </w:rPr>
        <w:t>C</w:t>
      </w:r>
      <w:r w:rsidR="00E50FCF" w:rsidRPr="00005F7E">
        <w:rPr>
          <w:rFonts w:ascii="Arial" w:hAnsi="Arial" w:cs="Arial"/>
        </w:rPr>
        <w:t>ourt, 2021). This is evident to why the Separation of Powers i</w:t>
      </w:r>
      <w:r w:rsidR="00956404" w:rsidRPr="00005F7E">
        <w:rPr>
          <w:rFonts w:ascii="Arial" w:hAnsi="Arial" w:cs="Arial"/>
        </w:rPr>
        <w:t>s</w:t>
      </w:r>
      <w:r w:rsidR="00E50FCF" w:rsidRPr="00005F7E">
        <w:rPr>
          <w:rFonts w:ascii="Arial" w:hAnsi="Arial" w:cs="Arial"/>
        </w:rPr>
        <w:t xml:space="preserve"> in place as we stand currently, without this </w:t>
      </w:r>
      <w:r w:rsidR="00956404" w:rsidRPr="00005F7E">
        <w:rPr>
          <w:rFonts w:ascii="Arial" w:hAnsi="Arial" w:cs="Arial"/>
        </w:rPr>
        <w:t xml:space="preserve">being </w:t>
      </w:r>
      <w:r w:rsidR="00E50FCF" w:rsidRPr="00005F7E">
        <w:rPr>
          <w:rFonts w:ascii="Arial" w:hAnsi="Arial" w:cs="Arial"/>
        </w:rPr>
        <w:t xml:space="preserve">in place, branches would consistently overstep their role and overrule the rest, </w:t>
      </w:r>
      <w:r w:rsidR="00956404" w:rsidRPr="00005F7E">
        <w:rPr>
          <w:rFonts w:ascii="Arial" w:hAnsi="Arial" w:cs="Arial"/>
        </w:rPr>
        <w:t xml:space="preserve">just as shown in the example of Boris Johnson, </w:t>
      </w:r>
      <w:r w:rsidR="00E50FCF" w:rsidRPr="00005F7E">
        <w:rPr>
          <w:rFonts w:ascii="Arial" w:hAnsi="Arial" w:cs="Arial"/>
        </w:rPr>
        <w:t xml:space="preserve">making it unfair. </w:t>
      </w:r>
    </w:p>
    <w:p w14:paraId="38EDAE1C" w14:textId="77777777" w:rsidR="00216027" w:rsidRPr="00005F7E" w:rsidRDefault="00216027">
      <w:pPr>
        <w:rPr>
          <w:rFonts w:ascii="Arial" w:hAnsi="Arial" w:cs="Arial"/>
        </w:rPr>
      </w:pPr>
    </w:p>
    <w:p w14:paraId="0355727D" w14:textId="5BB4FFAF" w:rsidR="00E50FCF" w:rsidRPr="00005F7E" w:rsidRDefault="00216027">
      <w:pPr>
        <w:rPr>
          <w:rFonts w:ascii="Arial" w:hAnsi="Arial" w:cs="Arial"/>
        </w:rPr>
      </w:pPr>
      <w:r w:rsidRPr="00005F7E">
        <w:rPr>
          <w:rFonts w:ascii="Arial" w:hAnsi="Arial" w:cs="Arial"/>
        </w:rPr>
        <w:t>The checks and balances of the separation of powers can make it challenging to take swift, decisive action when a crisis arises that needs the control and power of authority. The need for a cross-branch agreement or approval can hinder emergency response and possibly make matters worse (UOLLB, 2024c). The 2010 Hung Parliament and the Formation of a Coalition Government is a prominent illustration of how separation of powers causes problems in decision making in the UK. In the 2010 general election, no party was able to secure an absolute majority in the House of Commons</w:t>
      </w:r>
      <w:r w:rsidR="00BB2C94" w:rsidRPr="00005F7E">
        <w:rPr>
          <w:rFonts w:ascii="Arial" w:hAnsi="Arial" w:cs="Arial"/>
        </w:rPr>
        <w:t xml:space="preserve"> (Electoral Reform Society, 2020)</w:t>
      </w:r>
      <w:r w:rsidRPr="00005F7E">
        <w:rPr>
          <w:rFonts w:ascii="Arial" w:hAnsi="Arial" w:cs="Arial"/>
        </w:rPr>
        <w:t xml:space="preserve">. A hung parliament was the outcome, which meant that no party could form government without the help of other parties. </w:t>
      </w:r>
      <w:r w:rsidR="00BB2C94" w:rsidRPr="00005F7E">
        <w:rPr>
          <w:rFonts w:ascii="Arial" w:hAnsi="Arial" w:cs="Arial"/>
        </w:rPr>
        <w:t xml:space="preserve">Apparent to Maer, Gay and UK Parliament (2015), to enact laws and make decisions the government needs a majority in parliament. It was difficult of govern effectively without a definite majority. This delay in forming a government created uncertainty, particularly in the years after the 2008 financial crisis. According to Johnson and Crawford (2025), during the coalition years, decision making was also slower and more difficult because both parties had to agree on policies. The case of the Hung Parliament in 2010 illustrates how, in situations where no party has complete control, </w:t>
      </w:r>
      <w:r w:rsidR="00BB2C94" w:rsidRPr="00005F7E">
        <w:rPr>
          <w:rFonts w:ascii="Arial" w:hAnsi="Arial" w:cs="Arial"/>
        </w:rPr>
        <w:lastRenderedPageBreak/>
        <w:t>the separation of powers, where the government depends on parliamentary approval, can occasionally result in delays in active decision making</w:t>
      </w:r>
      <w:r w:rsidR="00005F7E" w:rsidRPr="00005F7E">
        <w:rPr>
          <w:rFonts w:ascii="Arial" w:hAnsi="Arial" w:cs="Arial"/>
        </w:rPr>
        <w:t xml:space="preserve"> (Pannell, 2024).</w:t>
      </w:r>
    </w:p>
    <w:p w14:paraId="6D101139" w14:textId="77777777" w:rsidR="00BB2C94" w:rsidRPr="00005F7E" w:rsidRDefault="00BB2C94">
      <w:pPr>
        <w:rPr>
          <w:rFonts w:ascii="Arial" w:hAnsi="Arial" w:cs="Arial"/>
        </w:rPr>
      </w:pPr>
    </w:p>
    <w:p w14:paraId="2E1ECDDA" w14:textId="77777777" w:rsidR="009166C3" w:rsidRPr="00005F7E" w:rsidRDefault="00E50FCF">
      <w:pPr>
        <w:rPr>
          <w:rFonts w:ascii="Arial" w:hAnsi="Arial" w:cs="Arial"/>
        </w:rPr>
      </w:pPr>
      <w:r w:rsidRPr="00005F7E">
        <w:rPr>
          <w:rFonts w:ascii="Arial" w:hAnsi="Arial" w:cs="Arial"/>
        </w:rPr>
        <w:t>Probably the biggest benefit is the check and balances that come with the separation of powers. To ensure that no body can grow too strong, each branch of government has the power to restrict the authority of the other. For example, the judicial branch has the authority to declare laws unconstitutional, the legislative branch can enact laws and manage funding, and the executive branch can veto legislation</w:t>
      </w:r>
      <w:r w:rsidR="00672E05" w:rsidRPr="00005F7E">
        <w:rPr>
          <w:rFonts w:ascii="Arial" w:hAnsi="Arial" w:cs="Arial"/>
        </w:rPr>
        <w:t xml:space="preserve"> (UOLLB, 2024b)</w:t>
      </w:r>
      <w:r w:rsidRPr="00005F7E">
        <w:rPr>
          <w:rFonts w:ascii="Arial" w:hAnsi="Arial" w:cs="Arial"/>
        </w:rPr>
        <w:t xml:space="preserve">. </w:t>
      </w:r>
      <w:r w:rsidR="00956404" w:rsidRPr="00005F7E">
        <w:rPr>
          <w:rFonts w:ascii="Arial" w:hAnsi="Arial" w:cs="Arial"/>
        </w:rPr>
        <w:t xml:space="preserve">According to Fuchs and Herold (2011b), they believe that the institutionalisation of checks and balances are the mechanisms where the legislative and executive branches control one another, which would require the separation of powers. They also found that Laffont (2001) had a main area of interest being how incentive structures are designed in governmental organisations. Laffont (2001) believes that the system of checks and balances increases the efficiency and should be be able to eliminate the incentives for politicians to collude (Fuchs and Herold, 2011c). The judiciary ruling against the government on the Rwanda asylum policy in 2023 is a great illustration of checks and balances in action for the UK’s separation of powers. Prime minister Rishi Sunak suggested a policy to send certain asylum seekers to Rwanda instead of letting them remain in the UK while their claims were being processed. But the policy was challenged in court, claiming it was violating human rights laws and endangered asylum seekers. The judiciary prevented a policy that was considered illegal, serving as a check on the executive. The courts ensured the protection of individual rights by holding the government accountable despite its parliamentary majority (Courts and Tribunals Judiciary, 2023). </w:t>
      </w:r>
      <w:r w:rsidR="00672E05" w:rsidRPr="00005F7E">
        <w:rPr>
          <w:rFonts w:ascii="Arial" w:hAnsi="Arial" w:cs="Arial"/>
        </w:rPr>
        <w:t xml:space="preserve">With acknowledging this, it can be proven that the Separation of Powers theory does contribute benefits itself, in this particular situation, if the Separation of Powers theory did not exist, that policy would have gone through and it would have violated the human rights act. </w:t>
      </w:r>
    </w:p>
    <w:p w14:paraId="1EF51DF3" w14:textId="77777777" w:rsidR="009166C3" w:rsidRPr="00005F7E" w:rsidRDefault="009166C3">
      <w:pPr>
        <w:rPr>
          <w:rFonts w:ascii="Arial" w:hAnsi="Arial" w:cs="Arial"/>
        </w:rPr>
      </w:pPr>
    </w:p>
    <w:p w14:paraId="0929ABA5" w14:textId="00786B0B" w:rsidR="00005F7E" w:rsidRPr="00005F7E" w:rsidRDefault="00005F7E">
      <w:pPr>
        <w:rPr>
          <w:rFonts w:ascii="Arial" w:hAnsi="Arial" w:cs="Arial"/>
        </w:rPr>
      </w:pPr>
      <w:r w:rsidRPr="00005F7E">
        <w:rPr>
          <w:rFonts w:ascii="Arial" w:hAnsi="Arial" w:cs="Arial"/>
        </w:rPr>
        <w:t xml:space="preserve">After evaluated advantages and disadvantages of the separation of powers theory it is evident that some change is needed. A reform suggestion would be codifying the UK constitution. Because the UK’s constitution is not codified or defined properly, the division of powers is established by practise rather than a single written document. The reform suggestion would be to avoid overreach, a written constitution could precisely outline the responsibilities and bounds of the legislative, executive and judicial branches (Editorial, 2024). </w:t>
      </w:r>
    </w:p>
    <w:p w14:paraId="2A3335D9" w14:textId="77777777" w:rsidR="00005F7E" w:rsidRPr="00005F7E" w:rsidRDefault="00005F7E">
      <w:pPr>
        <w:rPr>
          <w:rFonts w:ascii="Arial" w:hAnsi="Arial" w:cs="Arial"/>
        </w:rPr>
      </w:pPr>
    </w:p>
    <w:p w14:paraId="4944DD89" w14:textId="4ABCB166" w:rsidR="00005F7E" w:rsidRPr="00005F7E" w:rsidRDefault="00005F7E">
      <w:pPr>
        <w:rPr>
          <w:rFonts w:ascii="Arial" w:hAnsi="Arial" w:cs="Arial"/>
        </w:rPr>
      </w:pPr>
      <w:r w:rsidRPr="00005F7E">
        <w:rPr>
          <w:rFonts w:ascii="Arial" w:hAnsi="Arial" w:cs="Arial"/>
        </w:rPr>
        <w:t xml:space="preserve">By guaranteeing a balance between the executive, legislature and judiciary, the separation of powers is a fundamental principle that keeps any one branch from acquiring undue power. Despite having a flexible and largely unwritten constitutional system, the UK frequently blurs this line, especially because of the fusion of powers </w:t>
      </w:r>
      <w:r w:rsidRPr="00005F7E">
        <w:rPr>
          <w:rFonts w:ascii="Arial" w:hAnsi="Arial" w:cs="Arial"/>
        </w:rPr>
        <w:lastRenderedPageBreak/>
        <w:t xml:space="preserve">between parliament and the government. The supreme courts decision on the Rwanda asylum plan is one example of how judicial interventions against government policies demonstrates that checks and balances remain vital despite these difficulties (Torture, 2024). Cases such as the 2010 hung parliament (Pannell, 2024), however, demonstrate how the division of powers can occasionally impede decision making. Reform including codifying the constitution, restricting executive power, and reorganising the House of Representatives are necessary to increase democratic accountability. </w:t>
      </w:r>
    </w:p>
    <w:p w14:paraId="2BCB1582" w14:textId="77777777" w:rsidR="00005F7E" w:rsidRPr="00005F7E" w:rsidRDefault="00005F7E">
      <w:pPr>
        <w:rPr>
          <w:rFonts w:ascii="Arial" w:hAnsi="Arial" w:cs="Arial"/>
        </w:rPr>
      </w:pPr>
    </w:p>
    <w:p w14:paraId="41BDC4E7" w14:textId="1C6D9597" w:rsidR="00005F7E" w:rsidRPr="00005F7E" w:rsidRDefault="00005F7E" w:rsidP="00005F7E">
      <w:pPr>
        <w:rPr>
          <w:rFonts w:ascii="Arial" w:hAnsi="Arial" w:cs="Arial"/>
        </w:rPr>
      </w:pPr>
    </w:p>
    <w:p w14:paraId="1CA54AB2" w14:textId="77777777" w:rsidR="00005F7E" w:rsidRPr="00005F7E" w:rsidRDefault="00005F7E" w:rsidP="00005F7E">
      <w:pPr>
        <w:rPr>
          <w:rFonts w:ascii="Arial" w:hAnsi="Arial" w:cs="Arial"/>
        </w:rPr>
      </w:pPr>
    </w:p>
    <w:p w14:paraId="0E2E380D" w14:textId="77777777" w:rsidR="00005F7E" w:rsidRPr="00005F7E" w:rsidRDefault="00005F7E" w:rsidP="00005F7E">
      <w:pPr>
        <w:rPr>
          <w:rFonts w:ascii="Arial" w:hAnsi="Arial" w:cs="Arial"/>
        </w:rPr>
      </w:pPr>
    </w:p>
    <w:p w14:paraId="28617D09" w14:textId="77777777" w:rsidR="00005F7E" w:rsidRPr="00005F7E" w:rsidRDefault="00005F7E" w:rsidP="00005F7E">
      <w:pPr>
        <w:rPr>
          <w:rFonts w:ascii="Arial" w:hAnsi="Arial" w:cs="Arial"/>
        </w:rPr>
      </w:pPr>
    </w:p>
    <w:p w14:paraId="76728B76" w14:textId="77777777" w:rsidR="00005F7E" w:rsidRPr="00005F7E" w:rsidRDefault="00005F7E" w:rsidP="00005F7E">
      <w:pPr>
        <w:rPr>
          <w:rFonts w:ascii="Arial" w:hAnsi="Arial" w:cs="Arial"/>
        </w:rPr>
      </w:pPr>
    </w:p>
    <w:p w14:paraId="45EBBAAC" w14:textId="77777777" w:rsidR="00005F7E" w:rsidRPr="00005F7E" w:rsidRDefault="00005F7E" w:rsidP="00005F7E">
      <w:pPr>
        <w:rPr>
          <w:rFonts w:ascii="Arial" w:hAnsi="Arial" w:cs="Arial"/>
        </w:rPr>
      </w:pPr>
    </w:p>
    <w:p w14:paraId="68008F0E" w14:textId="77777777" w:rsidR="00005F7E" w:rsidRPr="00005F7E" w:rsidRDefault="00005F7E" w:rsidP="00005F7E">
      <w:pPr>
        <w:rPr>
          <w:rFonts w:ascii="Arial" w:hAnsi="Arial" w:cs="Arial"/>
        </w:rPr>
      </w:pPr>
    </w:p>
    <w:p w14:paraId="6E701A05" w14:textId="77777777" w:rsidR="00005F7E" w:rsidRPr="00005F7E" w:rsidRDefault="00005F7E" w:rsidP="00005F7E">
      <w:pPr>
        <w:rPr>
          <w:rFonts w:ascii="Arial" w:hAnsi="Arial" w:cs="Arial"/>
        </w:rPr>
      </w:pPr>
    </w:p>
    <w:p w14:paraId="57BA4776" w14:textId="77777777" w:rsidR="00005F7E" w:rsidRPr="00005F7E" w:rsidRDefault="00005F7E" w:rsidP="00005F7E">
      <w:pPr>
        <w:rPr>
          <w:rFonts w:ascii="Arial" w:hAnsi="Arial" w:cs="Arial"/>
        </w:rPr>
      </w:pPr>
    </w:p>
    <w:p w14:paraId="5E69B4EF" w14:textId="77777777" w:rsidR="00005F7E" w:rsidRPr="00005F7E" w:rsidRDefault="00005F7E" w:rsidP="00005F7E">
      <w:pPr>
        <w:rPr>
          <w:rFonts w:ascii="Arial" w:hAnsi="Arial" w:cs="Arial"/>
        </w:rPr>
      </w:pPr>
    </w:p>
    <w:p w14:paraId="2C73BB9D" w14:textId="77777777" w:rsidR="00005F7E" w:rsidRPr="00005F7E" w:rsidRDefault="00005F7E" w:rsidP="00005F7E">
      <w:pPr>
        <w:rPr>
          <w:rFonts w:ascii="Arial" w:hAnsi="Arial" w:cs="Arial"/>
        </w:rPr>
      </w:pPr>
    </w:p>
    <w:p w14:paraId="35B56E0C" w14:textId="77777777" w:rsidR="00005F7E" w:rsidRPr="00005F7E" w:rsidRDefault="00005F7E" w:rsidP="00005F7E">
      <w:pPr>
        <w:rPr>
          <w:rFonts w:ascii="Arial" w:hAnsi="Arial" w:cs="Arial"/>
        </w:rPr>
      </w:pPr>
    </w:p>
    <w:p w14:paraId="48DA030C" w14:textId="77777777" w:rsidR="00005F7E" w:rsidRPr="00005F7E" w:rsidRDefault="00005F7E" w:rsidP="00005F7E">
      <w:pPr>
        <w:rPr>
          <w:rFonts w:ascii="Arial" w:hAnsi="Arial" w:cs="Arial"/>
        </w:rPr>
      </w:pPr>
    </w:p>
    <w:p w14:paraId="02008D19" w14:textId="77777777" w:rsidR="00005F7E" w:rsidRPr="00005F7E" w:rsidRDefault="00005F7E" w:rsidP="00005F7E">
      <w:pPr>
        <w:rPr>
          <w:rFonts w:ascii="Arial" w:hAnsi="Arial" w:cs="Arial"/>
        </w:rPr>
      </w:pPr>
    </w:p>
    <w:p w14:paraId="0E44A1FD" w14:textId="77777777" w:rsidR="00005F7E" w:rsidRPr="00005F7E" w:rsidRDefault="00005F7E" w:rsidP="00005F7E">
      <w:pPr>
        <w:rPr>
          <w:rFonts w:ascii="Arial" w:hAnsi="Arial" w:cs="Arial"/>
        </w:rPr>
      </w:pPr>
    </w:p>
    <w:p w14:paraId="7FBCA06A" w14:textId="77777777" w:rsidR="00005F7E" w:rsidRPr="00005F7E" w:rsidRDefault="00005F7E" w:rsidP="00005F7E">
      <w:pPr>
        <w:rPr>
          <w:rFonts w:ascii="Arial" w:hAnsi="Arial" w:cs="Arial"/>
        </w:rPr>
      </w:pPr>
    </w:p>
    <w:p w14:paraId="2BAB0F05" w14:textId="77777777" w:rsidR="00005F7E" w:rsidRPr="00005F7E" w:rsidRDefault="00005F7E" w:rsidP="00005F7E">
      <w:pPr>
        <w:rPr>
          <w:rFonts w:ascii="Arial" w:hAnsi="Arial" w:cs="Arial"/>
        </w:rPr>
      </w:pPr>
    </w:p>
    <w:p w14:paraId="3711DE83" w14:textId="77777777" w:rsidR="00005F7E" w:rsidRPr="00005F7E" w:rsidRDefault="00005F7E" w:rsidP="00005F7E">
      <w:pPr>
        <w:rPr>
          <w:rFonts w:ascii="Arial" w:hAnsi="Arial" w:cs="Arial"/>
        </w:rPr>
      </w:pPr>
    </w:p>
    <w:p w14:paraId="5492B33D" w14:textId="77777777" w:rsidR="00005F7E" w:rsidRPr="00005F7E" w:rsidRDefault="00005F7E" w:rsidP="00005F7E">
      <w:pPr>
        <w:rPr>
          <w:rFonts w:ascii="Arial" w:hAnsi="Arial" w:cs="Arial"/>
        </w:rPr>
      </w:pPr>
    </w:p>
    <w:p w14:paraId="7C357314" w14:textId="77777777" w:rsidR="00005F7E" w:rsidRPr="00005F7E" w:rsidRDefault="00005F7E" w:rsidP="00005F7E">
      <w:pPr>
        <w:rPr>
          <w:rFonts w:ascii="Arial" w:hAnsi="Arial" w:cs="Arial"/>
        </w:rPr>
      </w:pPr>
    </w:p>
    <w:p w14:paraId="15879F4C" w14:textId="77777777" w:rsidR="00005F7E" w:rsidRPr="00005F7E" w:rsidRDefault="00005F7E" w:rsidP="00005F7E">
      <w:pPr>
        <w:rPr>
          <w:rFonts w:ascii="Arial" w:hAnsi="Arial" w:cs="Arial"/>
        </w:rPr>
      </w:pPr>
    </w:p>
    <w:p w14:paraId="45BB7C7E" w14:textId="77777777" w:rsidR="00005F7E" w:rsidRPr="00005F7E" w:rsidRDefault="00005F7E" w:rsidP="00005F7E">
      <w:pPr>
        <w:rPr>
          <w:rFonts w:ascii="Arial" w:hAnsi="Arial" w:cs="Arial"/>
        </w:rPr>
      </w:pPr>
    </w:p>
    <w:p w14:paraId="2B78C4C4" w14:textId="1BCF6311" w:rsidR="00005F7E" w:rsidRPr="00005F7E" w:rsidRDefault="00005F7E" w:rsidP="00005F7E">
      <w:pPr>
        <w:rPr>
          <w:rFonts w:ascii="Arial" w:hAnsi="Arial" w:cs="Arial"/>
        </w:rPr>
      </w:pPr>
      <w:r w:rsidRPr="00005F7E">
        <w:rPr>
          <w:rFonts w:ascii="Arial" w:hAnsi="Arial" w:cs="Arial"/>
        </w:rPr>
        <w:lastRenderedPageBreak/>
        <w:t xml:space="preserve">Reference list – </w:t>
      </w:r>
    </w:p>
    <w:p w14:paraId="3FCA241C" w14:textId="137E1423" w:rsidR="00005F7E" w:rsidRPr="00005F7E" w:rsidRDefault="00005F7E" w:rsidP="00005F7E">
      <w:pPr>
        <w:rPr>
          <w:rFonts w:ascii="Arial" w:hAnsi="Arial" w:cs="Arial"/>
        </w:rPr>
      </w:pPr>
    </w:p>
    <w:p w14:paraId="48D81419" w14:textId="28714677" w:rsidR="00005F7E" w:rsidRPr="00005F7E" w:rsidRDefault="00005F7E" w:rsidP="00005F7E">
      <w:pPr>
        <w:rPr>
          <w:rFonts w:ascii="Arial" w:hAnsi="Arial" w:cs="Arial"/>
        </w:rPr>
      </w:pPr>
      <w:r w:rsidRPr="00005F7E">
        <w:rPr>
          <w:rFonts w:ascii="Arial" w:hAnsi="Arial" w:cs="Arial"/>
        </w:rPr>
        <w:t xml:space="preserve">- 4 Pump Court (2021) *R (Miller) v the Prime Minister - 4 Pump Court.* [Online]. Available at: </w:t>
      </w:r>
      <w:hyperlink r:id="rId6" w:history="1">
        <w:r w:rsidRPr="00005F7E">
          <w:rPr>
            <w:rStyle w:val="Hyperlink"/>
            <w:rFonts w:ascii="Arial" w:hAnsi="Arial" w:cs="Arial"/>
          </w:rPr>
          <w:t>https://www.4pumpcourt.com/judgment/r-miller-v-the-prime-minister/</w:t>
        </w:r>
      </w:hyperlink>
      <w:r w:rsidRPr="00005F7E">
        <w:rPr>
          <w:rFonts w:ascii="Arial" w:hAnsi="Arial" w:cs="Arial"/>
        </w:rPr>
        <w:t xml:space="preserve"> . Accessed 6th March 2025.  </w:t>
      </w:r>
    </w:p>
    <w:p w14:paraId="2487D954" w14:textId="135FCCAB" w:rsidR="00005F7E" w:rsidRPr="00005F7E" w:rsidRDefault="00005F7E" w:rsidP="00005F7E">
      <w:pPr>
        <w:rPr>
          <w:rFonts w:ascii="Arial" w:hAnsi="Arial" w:cs="Arial"/>
        </w:rPr>
      </w:pPr>
      <w:r w:rsidRPr="00005F7E">
        <w:rPr>
          <w:rFonts w:ascii="Arial" w:hAnsi="Arial" w:cs="Arial"/>
        </w:rPr>
        <w:t xml:space="preserve">- Benwell, R., Gay, O., and Parliament and Constitution Centre (2021a) *The separation of powers, Standard Note: SN/PC/06053.* [Online]. Available at: </w:t>
      </w:r>
      <w:hyperlink r:id="rId7" w:history="1">
        <w:r w:rsidRPr="00005F7E">
          <w:rPr>
            <w:rStyle w:val="Hyperlink"/>
            <w:rFonts w:ascii="Arial" w:hAnsi="Arial" w:cs="Arial"/>
          </w:rPr>
          <w:t>https://researchbriefings.files.parliament.uk/documents/SN06053/SN06053.pdf</w:t>
        </w:r>
      </w:hyperlink>
      <w:r w:rsidRPr="00005F7E">
        <w:rPr>
          <w:rFonts w:ascii="Arial" w:hAnsi="Arial" w:cs="Arial"/>
        </w:rPr>
        <w:t xml:space="preserve"> . Accessed 23rd February 2025.  </w:t>
      </w:r>
    </w:p>
    <w:p w14:paraId="0AA9219E" w14:textId="18FF4B1D" w:rsidR="00005F7E" w:rsidRPr="00005F7E" w:rsidRDefault="00005F7E" w:rsidP="00005F7E">
      <w:pPr>
        <w:rPr>
          <w:rFonts w:ascii="Arial" w:hAnsi="Arial" w:cs="Arial"/>
        </w:rPr>
      </w:pPr>
      <w:r w:rsidRPr="00005F7E">
        <w:rPr>
          <w:rFonts w:ascii="Arial" w:hAnsi="Arial" w:cs="Arial"/>
        </w:rPr>
        <w:t xml:space="preserve">- Benwell, R., Gay, O., and Parliament and Constitution Centre (2021b) *The separation of powers, Standard Note: SN/PC/06053.* [Online]. Available at: </w:t>
      </w:r>
      <w:hyperlink r:id="rId8" w:history="1">
        <w:r w:rsidRPr="00005F7E">
          <w:rPr>
            <w:rStyle w:val="Hyperlink"/>
            <w:rFonts w:ascii="Arial" w:hAnsi="Arial" w:cs="Arial"/>
          </w:rPr>
          <w:t>https://researchbriefings.files.parliament.uk/documents/SN06053/SN06053.pdf</w:t>
        </w:r>
      </w:hyperlink>
      <w:r w:rsidRPr="00005F7E">
        <w:rPr>
          <w:rFonts w:ascii="Arial" w:hAnsi="Arial" w:cs="Arial"/>
        </w:rPr>
        <w:t xml:space="preserve">.  Accessed 6th March 2025.  </w:t>
      </w:r>
    </w:p>
    <w:p w14:paraId="157B636C" w14:textId="74D9FBC2" w:rsidR="00005F7E" w:rsidRPr="00005F7E" w:rsidRDefault="00005F7E" w:rsidP="00005F7E">
      <w:pPr>
        <w:rPr>
          <w:rFonts w:ascii="Arial" w:hAnsi="Arial" w:cs="Arial"/>
        </w:rPr>
      </w:pPr>
      <w:r w:rsidRPr="00005F7E">
        <w:rPr>
          <w:rFonts w:ascii="Arial" w:hAnsi="Arial" w:cs="Arial"/>
        </w:rPr>
        <w:t xml:space="preserve">- Courts and Tribunals Judiciary (2023) *AAA and others v. The Secretary of State for the Home Department.* [Online]. Available at: </w:t>
      </w:r>
      <w:hyperlink r:id="rId9" w:history="1">
        <w:r w:rsidRPr="00005F7E">
          <w:rPr>
            <w:rStyle w:val="Hyperlink"/>
            <w:rFonts w:ascii="Arial" w:hAnsi="Arial" w:cs="Arial"/>
          </w:rPr>
          <w:t>https://www.judiciary.uk/wp-content/uploads/2023/06/AAA-v-SSHD-summary-290623.pdf</w:t>
        </w:r>
      </w:hyperlink>
      <w:r w:rsidRPr="00005F7E">
        <w:rPr>
          <w:rFonts w:ascii="Arial" w:hAnsi="Arial" w:cs="Arial"/>
        </w:rPr>
        <w:t xml:space="preserve"> . Accessed 6th March 2025.  </w:t>
      </w:r>
    </w:p>
    <w:p w14:paraId="39A1E27A" w14:textId="6EA7560D" w:rsidR="00005F7E" w:rsidRPr="00005F7E" w:rsidRDefault="00005F7E" w:rsidP="00005F7E">
      <w:pPr>
        <w:rPr>
          <w:rFonts w:ascii="Arial" w:hAnsi="Arial" w:cs="Arial"/>
        </w:rPr>
      </w:pPr>
      <w:r w:rsidRPr="00005F7E">
        <w:rPr>
          <w:rFonts w:ascii="Arial" w:hAnsi="Arial" w:cs="Arial"/>
        </w:rPr>
        <w:t xml:space="preserve">- Courts and Tribunals Judiciary (2023) *Constitutional reform - Courts and Tribunals Judiciary.* [Online]. Available at: </w:t>
      </w:r>
      <w:hyperlink r:id="rId10" w:history="1">
        <w:r w:rsidRPr="00005F7E">
          <w:rPr>
            <w:rStyle w:val="Hyperlink"/>
            <w:rFonts w:ascii="Arial" w:hAnsi="Arial" w:cs="Arial"/>
          </w:rPr>
          <w:t>https://www.judiciary.uk/about-the-judiciary/our-justice-system/constitutional-reform/</w:t>
        </w:r>
      </w:hyperlink>
      <w:r w:rsidRPr="00005F7E">
        <w:rPr>
          <w:rFonts w:ascii="Arial" w:hAnsi="Arial" w:cs="Arial"/>
        </w:rPr>
        <w:t xml:space="preserve"> . Accessed 23rd February 2025.  </w:t>
      </w:r>
    </w:p>
    <w:p w14:paraId="127A3DA9" w14:textId="6AAF70D5" w:rsidR="00005F7E" w:rsidRPr="00005F7E" w:rsidRDefault="00005F7E" w:rsidP="00005F7E">
      <w:pPr>
        <w:rPr>
          <w:rFonts w:ascii="Arial" w:hAnsi="Arial" w:cs="Arial"/>
        </w:rPr>
      </w:pPr>
      <w:r w:rsidRPr="00005F7E">
        <w:rPr>
          <w:rFonts w:ascii="Arial" w:hAnsi="Arial" w:cs="Arial"/>
        </w:rPr>
        <w:t xml:space="preserve">- Editorial (2024) *'The Guardian view on Britain and its constitution: a country we should know better,'* *The Guardian*, 19 December. [Online]. Available at: </w:t>
      </w:r>
      <w:hyperlink r:id="rId11" w:history="1">
        <w:r w:rsidRPr="00005F7E">
          <w:rPr>
            <w:rStyle w:val="Hyperlink"/>
            <w:rFonts w:ascii="Arial" w:hAnsi="Arial" w:cs="Arial"/>
          </w:rPr>
          <w:t>https://www.theguardian.com/commentisfree/2024/dec/19/the-guardian-view-on-britain-and-its-constitution-a-country-we-should-know-better</w:t>
        </w:r>
      </w:hyperlink>
      <w:r w:rsidRPr="00005F7E">
        <w:rPr>
          <w:rFonts w:ascii="Arial" w:hAnsi="Arial" w:cs="Arial"/>
        </w:rPr>
        <w:t xml:space="preserve">.  Accessed 7th March 2025.  </w:t>
      </w:r>
    </w:p>
    <w:p w14:paraId="769C3FFA" w14:textId="436F4E08" w:rsidR="00005F7E" w:rsidRPr="00005F7E" w:rsidRDefault="00005F7E" w:rsidP="00005F7E">
      <w:pPr>
        <w:rPr>
          <w:rFonts w:ascii="Arial" w:hAnsi="Arial" w:cs="Arial"/>
        </w:rPr>
      </w:pPr>
      <w:r w:rsidRPr="00005F7E">
        <w:rPr>
          <w:rFonts w:ascii="Arial" w:hAnsi="Arial" w:cs="Arial"/>
        </w:rPr>
        <w:t xml:space="preserve">- Electoral Reform Society (2020) *10 years on: What the 2010 General Election says about Britain’s political system.* [Online]. Available at: </w:t>
      </w:r>
      <w:hyperlink r:id="rId12" w:history="1">
        <w:r w:rsidRPr="00005F7E">
          <w:rPr>
            <w:rStyle w:val="Hyperlink"/>
            <w:rFonts w:ascii="Arial" w:hAnsi="Arial" w:cs="Arial"/>
          </w:rPr>
          <w:t>https://www.electoral-reform.org.uk/10-years-on-what-the-2010-general-election-says-about-britains-political-system/</w:t>
        </w:r>
      </w:hyperlink>
      <w:r w:rsidRPr="00005F7E">
        <w:rPr>
          <w:rFonts w:ascii="Arial" w:hAnsi="Arial" w:cs="Arial"/>
        </w:rPr>
        <w:t xml:space="preserve">.  Accessed 7th March 2025.  </w:t>
      </w:r>
    </w:p>
    <w:p w14:paraId="634F53E0" w14:textId="0B45B4A2" w:rsidR="00005F7E" w:rsidRPr="00005F7E" w:rsidRDefault="00005F7E" w:rsidP="00005F7E">
      <w:pPr>
        <w:rPr>
          <w:rFonts w:ascii="Arial" w:hAnsi="Arial" w:cs="Arial"/>
        </w:rPr>
      </w:pPr>
      <w:r w:rsidRPr="00005F7E">
        <w:rPr>
          <w:rFonts w:ascii="Arial" w:hAnsi="Arial" w:cs="Arial"/>
        </w:rPr>
        <w:t xml:space="preserve">- Fuchs, K. and Herold, F. (2011a) *The Costs and Benefits of a Separation of Powers—An Incomplete Contracts Approach.* *American Law and Economics Review*, 13(1), pp. 131–167. [Online]. Available at: </w:t>
      </w:r>
      <w:hyperlink r:id="rId13" w:history="1">
        <w:r w:rsidRPr="00005F7E">
          <w:rPr>
            <w:rStyle w:val="Hyperlink"/>
            <w:rFonts w:ascii="Arial" w:hAnsi="Arial" w:cs="Arial"/>
          </w:rPr>
          <w:t>https://doi.org/10.1093/aler/ahq016</w:t>
        </w:r>
      </w:hyperlink>
      <w:r w:rsidRPr="00005F7E">
        <w:rPr>
          <w:rFonts w:ascii="Arial" w:hAnsi="Arial" w:cs="Arial"/>
        </w:rPr>
        <w:t xml:space="preserve">.   </w:t>
      </w:r>
    </w:p>
    <w:p w14:paraId="7551B487" w14:textId="167274DF" w:rsidR="00005F7E" w:rsidRPr="00005F7E" w:rsidRDefault="00005F7E" w:rsidP="00005F7E">
      <w:pPr>
        <w:rPr>
          <w:rFonts w:ascii="Arial" w:hAnsi="Arial" w:cs="Arial"/>
        </w:rPr>
      </w:pPr>
      <w:r w:rsidRPr="00005F7E">
        <w:rPr>
          <w:rFonts w:ascii="Arial" w:hAnsi="Arial" w:cs="Arial"/>
        </w:rPr>
        <w:t xml:space="preserve">- Fuchs, K. and Herold, F. (2011b) *The Costs and Benefits of a Separation of Powers—An Incomplete Contracts Approach.* *American Law and Economics Review*, 13(1), pp. 131–167. [Online]. Available at: </w:t>
      </w:r>
      <w:hyperlink r:id="rId14" w:history="1">
        <w:r w:rsidRPr="00005F7E">
          <w:rPr>
            <w:rStyle w:val="Hyperlink"/>
            <w:rFonts w:ascii="Arial" w:hAnsi="Arial" w:cs="Arial"/>
          </w:rPr>
          <w:t>https://doi.org/10.1093/aler/ahq016</w:t>
        </w:r>
      </w:hyperlink>
      <w:r w:rsidRPr="00005F7E">
        <w:rPr>
          <w:rFonts w:ascii="Arial" w:hAnsi="Arial" w:cs="Arial"/>
        </w:rPr>
        <w:t xml:space="preserve">. </w:t>
      </w:r>
    </w:p>
    <w:p w14:paraId="5A879E6B" w14:textId="693EC209" w:rsidR="00005F7E" w:rsidRPr="00005F7E" w:rsidRDefault="00005F7E" w:rsidP="00005F7E">
      <w:pPr>
        <w:rPr>
          <w:rFonts w:ascii="Arial" w:hAnsi="Arial" w:cs="Arial"/>
        </w:rPr>
      </w:pPr>
      <w:r w:rsidRPr="00005F7E">
        <w:rPr>
          <w:rFonts w:ascii="Arial" w:hAnsi="Arial" w:cs="Arial"/>
        </w:rPr>
        <w:lastRenderedPageBreak/>
        <w:t xml:space="preserve">- Fuchs, K. and Herold, F. (2011c) *The Costs and Benefits of a Separation of Powers—An Incomplete Contracts Approach.* *American Law and Economics Review*, 13(1), pp. 131–167. [Online]. Available at: </w:t>
      </w:r>
      <w:hyperlink r:id="rId15" w:history="1">
        <w:r w:rsidRPr="00005F7E">
          <w:rPr>
            <w:rStyle w:val="Hyperlink"/>
            <w:rFonts w:ascii="Arial" w:hAnsi="Arial" w:cs="Arial"/>
          </w:rPr>
          <w:t>https://doi.org/10.1093/aler/ahq016</w:t>
        </w:r>
      </w:hyperlink>
      <w:r w:rsidRPr="00005F7E">
        <w:rPr>
          <w:rFonts w:ascii="Arial" w:hAnsi="Arial" w:cs="Arial"/>
        </w:rPr>
        <w:t xml:space="preserve">.  </w:t>
      </w:r>
    </w:p>
    <w:p w14:paraId="1FD566FC" w14:textId="7FB5F8E2" w:rsidR="00005F7E" w:rsidRPr="00005F7E" w:rsidRDefault="00005F7E" w:rsidP="00005F7E">
      <w:pPr>
        <w:rPr>
          <w:rFonts w:ascii="Arial" w:hAnsi="Arial" w:cs="Arial"/>
        </w:rPr>
      </w:pPr>
      <w:r w:rsidRPr="00005F7E">
        <w:rPr>
          <w:rFonts w:ascii="Arial" w:hAnsi="Arial" w:cs="Arial"/>
        </w:rPr>
        <w:t xml:space="preserve">- Hale, Lady et al. (2019) *'R (on the application of Miller) (Appellant) v the Prime Minister (Respondent) Cherry and others (Respondents) v Advocate General for Scotland (Appellant) (Scotland),'* *R v Prime Minister [Preprint].* [Online]. Available at: </w:t>
      </w:r>
      <w:hyperlink r:id="rId16" w:history="1">
        <w:r w:rsidRPr="00005F7E">
          <w:rPr>
            <w:rStyle w:val="Hyperlink"/>
            <w:rFonts w:ascii="Arial" w:hAnsi="Arial" w:cs="Arial"/>
          </w:rPr>
          <w:t>https://www.supremecourt.uk/cases/docs/uksc-2019-0192-judgment.pdf</w:t>
        </w:r>
      </w:hyperlink>
      <w:r w:rsidRPr="00005F7E">
        <w:rPr>
          <w:rFonts w:ascii="Arial" w:hAnsi="Arial" w:cs="Arial"/>
        </w:rPr>
        <w:t xml:space="preserve">.  Accessed 6th March 2025.  </w:t>
      </w:r>
    </w:p>
    <w:p w14:paraId="58DC8B8A" w14:textId="47FCCE53" w:rsidR="00005F7E" w:rsidRPr="00005F7E" w:rsidRDefault="00005F7E" w:rsidP="00005F7E">
      <w:pPr>
        <w:rPr>
          <w:rFonts w:ascii="Arial" w:hAnsi="Arial" w:cs="Arial"/>
        </w:rPr>
      </w:pPr>
      <w:r w:rsidRPr="00005F7E">
        <w:rPr>
          <w:rFonts w:ascii="Arial" w:hAnsi="Arial" w:cs="Arial"/>
        </w:rPr>
        <w:t xml:space="preserve">- Johnson, P. and Crawford, R. (2025) *The UK coalition government’s record, and challenges for the future.* [Online]. Available at: </w:t>
      </w:r>
      <w:hyperlink r:id="rId17" w:history="1">
        <w:r w:rsidRPr="00005F7E">
          <w:rPr>
            <w:rStyle w:val="Hyperlink"/>
            <w:rFonts w:ascii="Arial" w:hAnsi="Arial" w:cs="Arial"/>
          </w:rPr>
          <w:t>https://ifs.org.uk/articles/uk-coalition-governments-record-and-challenges-future</w:t>
        </w:r>
      </w:hyperlink>
      <w:r w:rsidRPr="00005F7E">
        <w:rPr>
          <w:rFonts w:ascii="Arial" w:hAnsi="Arial" w:cs="Arial"/>
        </w:rPr>
        <w:t xml:space="preserve">. Accessed 7th March 2025.  </w:t>
      </w:r>
    </w:p>
    <w:p w14:paraId="1FE21D9A" w14:textId="09863184" w:rsidR="00005F7E" w:rsidRPr="00005F7E" w:rsidRDefault="00005F7E" w:rsidP="00005F7E">
      <w:pPr>
        <w:rPr>
          <w:rFonts w:ascii="Arial" w:hAnsi="Arial" w:cs="Arial"/>
        </w:rPr>
      </w:pPr>
      <w:r w:rsidRPr="00005F7E">
        <w:rPr>
          <w:rFonts w:ascii="Arial" w:hAnsi="Arial" w:cs="Arial"/>
        </w:rPr>
        <w:t xml:space="preserve">- King’s Printer of Acts of Parliament (no date) *Constitutional Reform Act 2005 - Explanatory notes.* [Online]. Available at: </w:t>
      </w:r>
      <w:hyperlink r:id="rId18" w:history="1">
        <w:r w:rsidRPr="00005F7E">
          <w:rPr>
            <w:rStyle w:val="Hyperlink"/>
            <w:rFonts w:ascii="Arial" w:hAnsi="Arial" w:cs="Arial"/>
          </w:rPr>
          <w:t>https://www.legislation.gov.uk/ukpga/2005/4/notes/division/2</w:t>
        </w:r>
      </w:hyperlink>
      <w:r w:rsidRPr="00005F7E">
        <w:rPr>
          <w:rFonts w:ascii="Arial" w:hAnsi="Arial" w:cs="Arial"/>
        </w:rPr>
        <w:t xml:space="preserve"> . Accessed 23rd February 2025.  </w:t>
      </w:r>
    </w:p>
    <w:p w14:paraId="40966913" w14:textId="614E69AA" w:rsidR="00005F7E" w:rsidRPr="00005F7E" w:rsidRDefault="00005F7E" w:rsidP="00005F7E">
      <w:pPr>
        <w:rPr>
          <w:rFonts w:ascii="Arial" w:hAnsi="Arial" w:cs="Arial"/>
        </w:rPr>
      </w:pPr>
      <w:r w:rsidRPr="00005F7E">
        <w:rPr>
          <w:rFonts w:ascii="Arial" w:hAnsi="Arial" w:cs="Arial"/>
        </w:rPr>
        <w:t xml:space="preserve">- Laffont, J-J. (2001) *'An Incentive Theory of the Separation of Powers',* *Incentives and Political Economy* (Oxford; online </w:t>
      </w:r>
      <w:proofErr w:type="spellStart"/>
      <w:r w:rsidRPr="00005F7E">
        <w:rPr>
          <w:rFonts w:ascii="Arial" w:hAnsi="Arial" w:cs="Arial"/>
        </w:rPr>
        <w:t>edn</w:t>
      </w:r>
      <w:proofErr w:type="spellEnd"/>
      <w:r w:rsidRPr="00005F7E">
        <w:rPr>
          <w:rFonts w:ascii="Arial" w:hAnsi="Arial" w:cs="Arial"/>
        </w:rPr>
        <w:t xml:space="preserve">, Oxford Academic, 1 Nov. 2003). [Online]. Available at: </w:t>
      </w:r>
      <w:hyperlink r:id="rId19" w:history="1">
        <w:r w:rsidRPr="00005F7E">
          <w:rPr>
            <w:rStyle w:val="Hyperlink"/>
            <w:rFonts w:ascii="Arial" w:hAnsi="Arial" w:cs="Arial"/>
          </w:rPr>
          <w:t>https://doi.org/10.1093/0199248680.003.0003</w:t>
        </w:r>
      </w:hyperlink>
      <w:r w:rsidRPr="00005F7E">
        <w:rPr>
          <w:rFonts w:ascii="Arial" w:hAnsi="Arial" w:cs="Arial"/>
        </w:rPr>
        <w:t xml:space="preserve"> . Accessed 6th March 2025.  </w:t>
      </w:r>
    </w:p>
    <w:p w14:paraId="6549C65B" w14:textId="5DCAE712" w:rsidR="00005F7E" w:rsidRPr="00005F7E" w:rsidRDefault="00005F7E" w:rsidP="00005F7E">
      <w:pPr>
        <w:rPr>
          <w:rFonts w:ascii="Arial" w:hAnsi="Arial" w:cs="Arial"/>
        </w:rPr>
      </w:pPr>
      <w:r w:rsidRPr="00005F7E">
        <w:rPr>
          <w:rFonts w:ascii="Arial" w:hAnsi="Arial" w:cs="Arial"/>
        </w:rPr>
        <w:t xml:space="preserve">- Maer, L., Gay, O., and UK Parliament (2015) *The 2010 coalition government at Westminster.* [Online]. Available at: </w:t>
      </w:r>
      <w:hyperlink r:id="rId20" w:history="1">
        <w:r w:rsidRPr="00005F7E">
          <w:rPr>
            <w:rStyle w:val="Hyperlink"/>
            <w:rFonts w:ascii="Arial" w:hAnsi="Arial" w:cs="Arial"/>
          </w:rPr>
          <w:t>https://researchbriefings.files.parliament.uk/documents/SN06404/SN06404.pdf</w:t>
        </w:r>
      </w:hyperlink>
      <w:r w:rsidRPr="00005F7E">
        <w:rPr>
          <w:rFonts w:ascii="Arial" w:hAnsi="Arial" w:cs="Arial"/>
        </w:rPr>
        <w:t xml:space="preserve">.  Accessed 7th March 2025.  </w:t>
      </w:r>
    </w:p>
    <w:p w14:paraId="5A4B83B3" w14:textId="79FB2593" w:rsidR="00005F7E" w:rsidRPr="00005F7E" w:rsidRDefault="00005F7E" w:rsidP="00005F7E">
      <w:pPr>
        <w:rPr>
          <w:rFonts w:ascii="Arial" w:hAnsi="Arial" w:cs="Arial"/>
        </w:rPr>
      </w:pPr>
      <w:r w:rsidRPr="00005F7E">
        <w:rPr>
          <w:rFonts w:ascii="Arial" w:hAnsi="Arial" w:cs="Arial"/>
        </w:rPr>
        <w:t xml:space="preserve">- Pannell, J. (2024) *Hung parliaments: What are parties’ options if a general election returns no clear winner?* IfG ANALYSIS | GENERAL ELECTION. [Online]. Available at: </w:t>
      </w:r>
      <w:hyperlink r:id="rId21" w:history="1">
        <w:r w:rsidRPr="00005F7E">
          <w:rPr>
            <w:rStyle w:val="Hyperlink"/>
            <w:rFonts w:ascii="Arial" w:hAnsi="Arial" w:cs="Arial"/>
          </w:rPr>
          <w:t>https://www.instituteforgovernment.org.uk/sites/default/files/2024-03/hung-parliaments.pdf</w:t>
        </w:r>
      </w:hyperlink>
      <w:r w:rsidRPr="00005F7E">
        <w:rPr>
          <w:rFonts w:ascii="Arial" w:hAnsi="Arial" w:cs="Arial"/>
        </w:rPr>
        <w:t xml:space="preserve">. Accessed 7th March 2025.  </w:t>
      </w:r>
    </w:p>
    <w:p w14:paraId="1E08406C" w14:textId="7E35338C" w:rsidR="00005F7E" w:rsidRPr="00005F7E" w:rsidRDefault="00005F7E" w:rsidP="00005F7E">
      <w:pPr>
        <w:rPr>
          <w:rFonts w:ascii="Arial" w:hAnsi="Arial" w:cs="Arial"/>
        </w:rPr>
      </w:pPr>
      <w:r w:rsidRPr="00005F7E">
        <w:rPr>
          <w:rFonts w:ascii="Arial" w:hAnsi="Arial" w:cs="Arial"/>
        </w:rPr>
        <w:t xml:space="preserve">- Polyas (no date) *Judiciary - Election Glossary.* [Online]. Available at: </w:t>
      </w:r>
      <w:hyperlink r:id="rId22" w:history="1">
        <w:r w:rsidRPr="00005F7E">
          <w:rPr>
            <w:rStyle w:val="Hyperlink"/>
            <w:rFonts w:ascii="Arial" w:hAnsi="Arial" w:cs="Arial"/>
          </w:rPr>
          <w:t>https://www.polyas.com/election-glossary/judiciary</w:t>
        </w:r>
      </w:hyperlink>
      <w:r w:rsidRPr="00005F7E">
        <w:rPr>
          <w:rFonts w:ascii="Arial" w:hAnsi="Arial" w:cs="Arial"/>
        </w:rPr>
        <w:t xml:space="preserve"> . Accessed 6th March 2025.  </w:t>
      </w:r>
    </w:p>
    <w:p w14:paraId="3D9C3345" w14:textId="0DD1A5AD" w:rsidR="00005F7E" w:rsidRPr="00005F7E" w:rsidRDefault="00005F7E" w:rsidP="00005F7E">
      <w:pPr>
        <w:rPr>
          <w:rFonts w:ascii="Arial" w:hAnsi="Arial" w:cs="Arial"/>
        </w:rPr>
      </w:pPr>
      <w:r w:rsidRPr="00005F7E">
        <w:rPr>
          <w:rFonts w:ascii="Arial" w:hAnsi="Arial" w:cs="Arial"/>
        </w:rPr>
        <w:t xml:space="preserve">- Separation of powers, parliamentary sovereignty &amp; the rule of law | BIHR (no date). [Online]. Available at: </w:t>
      </w:r>
      <w:hyperlink r:id="rId23" w:history="1">
        <w:r w:rsidRPr="00005F7E">
          <w:rPr>
            <w:rStyle w:val="Hyperlink"/>
            <w:rFonts w:ascii="Arial" w:hAnsi="Arial" w:cs="Arial"/>
          </w:rPr>
          <w:t>https://www.bihr.org.uk/get-informed/legislation-explainers/separation-of-powers-parliamentary-sovereignty-the-rule-of-law#:~:text=Why%20is%20the%20idea%20of,to%20play%20by%20the%20rules</w:t>
        </w:r>
      </w:hyperlink>
      <w:r w:rsidRPr="00005F7E">
        <w:rPr>
          <w:rFonts w:ascii="Arial" w:hAnsi="Arial" w:cs="Arial"/>
        </w:rPr>
        <w:t xml:space="preserve">.  Accessed 6th March 2025.  </w:t>
      </w:r>
    </w:p>
    <w:p w14:paraId="2C67B536" w14:textId="5F03C8D3" w:rsidR="00005F7E" w:rsidRPr="00005F7E" w:rsidRDefault="00005F7E" w:rsidP="00005F7E">
      <w:pPr>
        <w:rPr>
          <w:rFonts w:ascii="Arial" w:hAnsi="Arial" w:cs="Arial"/>
        </w:rPr>
      </w:pPr>
      <w:r w:rsidRPr="00005F7E">
        <w:rPr>
          <w:rFonts w:ascii="Arial" w:hAnsi="Arial" w:cs="Arial"/>
        </w:rPr>
        <w:t xml:space="preserve">- Torture, F.F. (2024) *What is the Rwanda asylum plan?* [Online]. Available at: </w:t>
      </w:r>
      <w:hyperlink r:id="rId24" w:history="1">
        <w:r w:rsidRPr="00005F7E">
          <w:rPr>
            <w:rStyle w:val="Hyperlink"/>
            <w:rFonts w:ascii="Arial" w:hAnsi="Arial" w:cs="Arial"/>
          </w:rPr>
          <w:t>https://www.freedomfromtorture.org/news-and-stories/what-is-the-rwanda-asylum-plan?gad_source=1&amp;gbraid=0AAAAADOX7Osn6-_TBdw4PDSQK9xOT7_z_&amp;gclid=Cj0KCQiAz6q-</w:t>
        </w:r>
        <w:r w:rsidRPr="00005F7E">
          <w:rPr>
            <w:rStyle w:val="Hyperlink"/>
            <w:rFonts w:ascii="Arial" w:hAnsi="Arial" w:cs="Arial"/>
          </w:rPr>
          <w:lastRenderedPageBreak/>
          <w:t>BhCfARIsAOezPxlmkpat4CozpMaQkY3aO0GufWCeVtKvD4RVn8iZ5IYBvkcHmMpmmvYaAt--EALw_wcB</w:t>
        </w:r>
      </w:hyperlink>
      <w:r w:rsidRPr="00005F7E">
        <w:rPr>
          <w:rFonts w:ascii="Arial" w:hAnsi="Arial" w:cs="Arial"/>
        </w:rPr>
        <w:t xml:space="preserve">. Accessed 7th March 2025.  </w:t>
      </w:r>
    </w:p>
    <w:p w14:paraId="219F959C" w14:textId="18FFD16D" w:rsidR="00005F7E" w:rsidRPr="00005F7E" w:rsidRDefault="00005F7E" w:rsidP="00005F7E">
      <w:pPr>
        <w:rPr>
          <w:rFonts w:ascii="Arial" w:hAnsi="Arial" w:cs="Arial"/>
        </w:rPr>
      </w:pPr>
      <w:r w:rsidRPr="00005F7E">
        <w:rPr>
          <w:rFonts w:ascii="Arial" w:hAnsi="Arial" w:cs="Arial"/>
        </w:rPr>
        <w:t xml:space="preserve">- UK Parliament (2025a) *Glossary - Government.* [Online]. Available at: </w:t>
      </w:r>
      <w:hyperlink r:id="rId25" w:history="1">
        <w:r w:rsidRPr="00005F7E">
          <w:rPr>
            <w:rStyle w:val="Hyperlink"/>
            <w:rFonts w:ascii="Arial" w:hAnsi="Arial" w:cs="Arial"/>
          </w:rPr>
          <w:t>https://www.parliament.uk/site-information/glossary/government/#:~:text=The</w:t>
        </w:r>
      </w:hyperlink>
      <w:r w:rsidRPr="00005F7E">
        <w:rPr>
          <w:rFonts w:ascii="Arial" w:hAnsi="Arial" w:cs="Arial"/>
        </w:rPr>
        <w:t xml:space="preserve">.  Accessed 6th March 2025.  </w:t>
      </w:r>
    </w:p>
    <w:p w14:paraId="023B55F8" w14:textId="5087CECB" w:rsidR="00005F7E" w:rsidRPr="00005F7E" w:rsidRDefault="00005F7E" w:rsidP="00005F7E">
      <w:pPr>
        <w:rPr>
          <w:rFonts w:ascii="Arial" w:hAnsi="Arial" w:cs="Arial"/>
        </w:rPr>
      </w:pPr>
      <w:r w:rsidRPr="00005F7E">
        <w:rPr>
          <w:rFonts w:ascii="Arial" w:hAnsi="Arial" w:cs="Arial"/>
        </w:rPr>
        <w:t xml:space="preserve">- UK Parliament (2025b) *Parliament and Government Relations.* [Online]. Available at: </w:t>
      </w:r>
      <w:hyperlink r:id="rId26" w:history="1">
        <w:r w:rsidRPr="00005F7E">
          <w:rPr>
            <w:rStyle w:val="Hyperlink"/>
            <w:rFonts w:ascii="Arial" w:hAnsi="Arial" w:cs="Arial"/>
          </w:rPr>
          <w:t>https://www.parliament.uk/about/how/role/relations-with-other-institutions/parliament-government/#:~:text=What</w:t>
        </w:r>
      </w:hyperlink>
      <w:r w:rsidRPr="00005F7E">
        <w:rPr>
          <w:rFonts w:ascii="Arial" w:hAnsi="Arial" w:cs="Arial"/>
        </w:rPr>
        <w:t xml:space="preserve"> . Accessed 6th March 2025.  </w:t>
      </w:r>
    </w:p>
    <w:p w14:paraId="395DCBD5" w14:textId="25A06DFB" w:rsidR="00005F7E" w:rsidRPr="00005F7E" w:rsidRDefault="00005F7E" w:rsidP="00005F7E">
      <w:pPr>
        <w:rPr>
          <w:rFonts w:ascii="Arial" w:hAnsi="Arial" w:cs="Arial"/>
        </w:rPr>
      </w:pPr>
      <w:r w:rsidRPr="00005F7E">
        <w:rPr>
          <w:rFonts w:ascii="Arial" w:hAnsi="Arial" w:cs="Arial"/>
        </w:rPr>
        <w:t xml:space="preserve">- UOLLB, U.F.C.L. (2024a) *Pros and cons of separation of powers.* [Online]. Available at: </w:t>
      </w:r>
      <w:hyperlink r:id="rId27" w:history="1">
        <w:r w:rsidRPr="00005F7E">
          <w:rPr>
            <w:rStyle w:val="Hyperlink"/>
            <w:rFonts w:ascii="Arial" w:hAnsi="Arial" w:cs="Arial"/>
          </w:rPr>
          <w:t>https://uollb.com/blogs/uol/pros-and-cons-of-separation-of-powers?srsltid=AfmBOoqsaRzIJ5MrYKIPdLYJUa1Rc_BTkqBKkHwD_XW_43x-feZ3Kdu_</w:t>
        </w:r>
      </w:hyperlink>
      <w:r w:rsidRPr="00005F7E">
        <w:rPr>
          <w:rFonts w:ascii="Arial" w:hAnsi="Arial" w:cs="Arial"/>
        </w:rPr>
        <w:t xml:space="preserve">.  Accessed 6th March 2025.  </w:t>
      </w:r>
    </w:p>
    <w:p w14:paraId="5E6181D2" w14:textId="73019956" w:rsidR="00005F7E" w:rsidRPr="00005F7E" w:rsidRDefault="00005F7E" w:rsidP="00005F7E">
      <w:pPr>
        <w:rPr>
          <w:rFonts w:ascii="Arial" w:hAnsi="Arial" w:cs="Arial"/>
        </w:rPr>
      </w:pPr>
      <w:r w:rsidRPr="00005F7E">
        <w:rPr>
          <w:rFonts w:ascii="Arial" w:hAnsi="Arial" w:cs="Arial"/>
        </w:rPr>
        <w:t xml:space="preserve">- UOLLB, U.F.C.L. (2024b) *Pros and cons of separation of powers.* [Online]. Available at: </w:t>
      </w:r>
      <w:hyperlink r:id="rId28" w:history="1">
        <w:r w:rsidRPr="00005F7E">
          <w:rPr>
            <w:rStyle w:val="Hyperlink"/>
            <w:rFonts w:ascii="Arial" w:hAnsi="Arial" w:cs="Arial"/>
          </w:rPr>
          <w:t>https://uollb.com/blogs/uol/pros-and-cons-of-separation-of-powers?srsltid=AfmBOoqsaRzIJ5MrYKIPdLYJUa1Rc_BTkqBKkHwD_XW_43x-feZ3Kdu_</w:t>
        </w:r>
      </w:hyperlink>
      <w:r w:rsidRPr="00005F7E">
        <w:rPr>
          <w:rFonts w:ascii="Arial" w:hAnsi="Arial" w:cs="Arial"/>
        </w:rPr>
        <w:t xml:space="preserve">.  Accessed 6th March 2025.  </w:t>
      </w:r>
    </w:p>
    <w:p w14:paraId="5DBE4528" w14:textId="4FA95CAC" w:rsidR="00005F7E" w:rsidRPr="00005F7E" w:rsidRDefault="00005F7E" w:rsidP="00005F7E">
      <w:pPr>
        <w:rPr>
          <w:rFonts w:ascii="Arial" w:hAnsi="Arial" w:cs="Arial"/>
        </w:rPr>
      </w:pPr>
      <w:r w:rsidRPr="00005F7E">
        <w:rPr>
          <w:rFonts w:ascii="Arial" w:hAnsi="Arial" w:cs="Arial"/>
        </w:rPr>
        <w:t xml:space="preserve">- UOLLB, U.F.C.L. (2024c) *Pros and cons of separation of powers.* [Online]. Available at: </w:t>
      </w:r>
      <w:hyperlink r:id="rId29" w:history="1">
        <w:r w:rsidRPr="00005F7E">
          <w:rPr>
            <w:rStyle w:val="Hyperlink"/>
            <w:rFonts w:ascii="Arial" w:hAnsi="Arial" w:cs="Arial"/>
          </w:rPr>
          <w:t>https://uollb.com/blogs/uol/pros-and-cons-of-separation-of-powers?srsltid=AfmBOoqsaRzIJ5MrYKIPdLYJUa1Rc_BTkqBKkHwD_XW_43x-feZ3Kdu_</w:t>
        </w:r>
      </w:hyperlink>
      <w:r w:rsidRPr="00005F7E">
        <w:rPr>
          <w:rFonts w:ascii="Arial" w:hAnsi="Arial" w:cs="Arial"/>
        </w:rPr>
        <w:t xml:space="preserve">. Accessed 6th March 2025.  </w:t>
      </w:r>
    </w:p>
    <w:p w14:paraId="2DB7D042" w14:textId="7B4CC26C" w:rsidR="00005F7E" w:rsidRPr="00005F7E" w:rsidRDefault="00005F7E" w:rsidP="00005F7E">
      <w:pPr>
        <w:rPr>
          <w:rFonts w:ascii="Arial" w:hAnsi="Arial" w:cs="Arial"/>
        </w:rPr>
      </w:pPr>
      <w:r w:rsidRPr="00005F7E">
        <w:rPr>
          <w:rFonts w:ascii="Arial" w:hAnsi="Arial" w:cs="Arial"/>
        </w:rPr>
        <w:t xml:space="preserve">- Waldron, J. (2013) *Separation of powers in thought and practice.* *Boston College Law Review*, p. 433. [Online]. Available at: </w:t>
      </w:r>
      <w:hyperlink r:id="rId30" w:history="1">
        <w:r w:rsidRPr="00005F7E">
          <w:rPr>
            <w:rStyle w:val="Hyperlink"/>
            <w:rFonts w:ascii="Arial" w:hAnsi="Arial" w:cs="Arial"/>
          </w:rPr>
          <w:t>https://www.law.ox.ac.uk/sites/files/oxlaw/waldron_separation_of_powers_in_thought_and_practice.pdf</w:t>
        </w:r>
      </w:hyperlink>
      <w:r w:rsidRPr="00005F7E">
        <w:rPr>
          <w:rFonts w:ascii="Arial" w:hAnsi="Arial" w:cs="Arial"/>
        </w:rPr>
        <w:t xml:space="preserve">.  Accessed 6th March 2025.  </w:t>
      </w:r>
    </w:p>
    <w:p w14:paraId="3E217EB1" w14:textId="77777777" w:rsidR="00005F7E" w:rsidRPr="00BB2C94" w:rsidRDefault="00005F7E" w:rsidP="00005F7E">
      <w:pPr>
        <w:pStyle w:val="NormalWeb"/>
        <w:spacing w:before="0" w:beforeAutospacing="0" w:after="0" w:afterAutospacing="0" w:line="480" w:lineRule="atLeast"/>
        <w:divId w:val="1084305943"/>
        <w:rPr>
          <w:color w:val="000000"/>
        </w:rPr>
      </w:pPr>
    </w:p>
    <w:sectPr w:rsidR="00005F7E" w:rsidRPr="00BB2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4092"/>
    <w:multiLevelType w:val="hybridMultilevel"/>
    <w:tmpl w:val="127A5622"/>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986159"/>
    <w:multiLevelType w:val="hybridMultilevel"/>
    <w:tmpl w:val="F176BC84"/>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3728663">
    <w:abstractNumId w:val="1"/>
  </w:num>
  <w:num w:numId="2" w16cid:durableId="1697390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349"/>
    <w:rsid w:val="00004826"/>
    <w:rsid w:val="00005F7E"/>
    <w:rsid w:val="00023E46"/>
    <w:rsid w:val="0002581D"/>
    <w:rsid w:val="00105971"/>
    <w:rsid w:val="00105B68"/>
    <w:rsid w:val="001068D9"/>
    <w:rsid w:val="00124BF6"/>
    <w:rsid w:val="00140349"/>
    <w:rsid w:val="001421D0"/>
    <w:rsid w:val="0017402A"/>
    <w:rsid w:val="001929F5"/>
    <w:rsid w:val="001E5D99"/>
    <w:rsid w:val="001F0217"/>
    <w:rsid w:val="002014E2"/>
    <w:rsid w:val="00216027"/>
    <w:rsid w:val="00244E49"/>
    <w:rsid w:val="0024602F"/>
    <w:rsid w:val="00264EEE"/>
    <w:rsid w:val="002650E4"/>
    <w:rsid w:val="002967DD"/>
    <w:rsid w:val="002B6235"/>
    <w:rsid w:val="002C3B51"/>
    <w:rsid w:val="002F440A"/>
    <w:rsid w:val="00304F96"/>
    <w:rsid w:val="00313C70"/>
    <w:rsid w:val="00370BC6"/>
    <w:rsid w:val="003C2DC3"/>
    <w:rsid w:val="003D0941"/>
    <w:rsid w:val="003D7F22"/>
    <w:rsid w:val="003E7D46"/>
    <w:rsid w:val="0042123C"/>
    <w:rsid w:val="004447F0"/>
    <w:rsid w:val="0044705A"/>
    <w:rsid w:val="004653EC"/>
    <w:rsid w:val="00484C3F"/>
    <w:rsid w:val="004B60F8"/>
    <w:rsid w:val="004D3930"/>
    <w:rsid w:val="004D54F2"/>
    <w:rsid w:val="00517180"/>
    <w:rsid w:val="00553EBF"/>
    <w:rsid w:val="00561225"/>
    <w:rsid w:val="005767BD"/>
    <w:rsid w:val="005824CA"/>
    <w:rsid w:val="00584EED"/>
    <w:rsid w:val="00591FB4"/>
    <w:rsid w:val="006640EE"/>
    <w:rsid w:val="0066745D"/>
    <w:rsid w:val="00672E05"/>
    <w:rsid w:val="006A7F5C"/>
    <w:rsid w:val="006D4F58"/>
    <w:rsid w:val="006F115B"/>
    <w:rsid w:val="00731E41"/>
    <w:rsid w:val="00784233"/>
    <w:rsid w:val="007966D6"/>
    <w:rsid w:val="007D16BC"/>
    <w:rsid w:val="007F2780"/>
    <w:rsid w:val="007F3283"/>
    <w:rsid w:val="00815DC2"/>
    <w:rsid w:val="008314C8"/>
    <w:rsid w:val="00841FD5"/>
    <w:rsid w:val="0089613F"/>
    <w:rsid w:val="008D71ED"/>
    <w:rsid w:val="00903371"/>
    <w:rsid w:val="009166C3"/>
    <w:rsid w:val="009209F6"/>
    <w:rsid w:val="00956404"/>
    <w:rsid w:val="009829F7"/>
    <w:rsid w:val="00993921"/>
    <w:rsid w:val="009D6D3A"/>
    <w:rsid w:val="00A2632F"/>
    <w:rsid w:val="00A50297"/>
    <w:rsid w:val="00A529FB"/>
    <w:rsid w:val="00A62341"/>
    <w:rsid w:val="00A72450"/>
    <w:rsid w:val="00A75E50"/>
    <w:rsid w:val="00AA7F9E"/>
    <w:rsid w:val="00AC1492"/>
    <w:rsid w:val="00AD6F8A"/>
    <w:rsid w:val="00B1230D"/>
    <w:rsid w:val="00B61B16"/>
    <w:rsid w:val="00B7456D"/>
    <w:rsid w:val="00B97B2D"/>
    <w:rsid w:val="00BA7F05"/>
    <w:rsid w:val="00BB2C94"/>
    <w:rsid w:val="00BB390A"/>
    <w:rsid w:val="00BC4C8F"/>
    <w:rsid w:val="00BD4E0A"/>
    <w:rsid w:val="00C044F7"/>
    <w:rsid w:val="00C254C1"/>
    <w:rsid w:val="00C4086C"/>
    <w:rsid w:val="00C67B39"/>
    <w:rsid w:val="00C749DE"/>
    <w:rsid w:val="00CB67C4"/>
    <w:rsid w:val="00D1471F"/>
    <w:rsid w:val="00D14DCA"/>
    <w:rsid w:val="00D9480D"/>
    <w:rsid w:val="00DA0C3D"/>
    <w:rsid w:val="00DD1BEE"/>
    <w:rsid w:val="00DF1A3A"/>
    <w:rsid w:val="00E03E65"/>
    <w:rsid w:val="00E170BF"/>
    <w:rsid w:val="00E32860"/>
    <w:rsid w:val="00E43F29"/>
    <w:rsid w:val="00E45657"/>
    <w:rsid w:val="00E50FCF"/>
    <w:rsid w:val="00E85484"/>
    <w:rsid w:val="00EB3EE8"/>
    <w:rsid w:val="00EF352E"/>
    <w:rsid w:val="00EF4BEE"/>
    <w:rsid w:val="00F2484C"/>
    <w:rsid w:val="00F24885"/>
    <w:rsid w:val="00F73B96"/>
    <w:rsid w:val="00F863FD"/>
    <w:rsid w:val="00FA252B"/>
    <w:rsid w:val="00FB48B4"/>
    <w:rsid w:val="00FC4F05"/>
    <w:rsid w:val="00FD6CA4"/>
    <w:rsid w:val="00FF0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B8AE90"/>
  <w15:chartTrackingRefBased/>
  <w15:docId w15:val="{C16D5BCA-DAB4-5045-A241-CD99BAADA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3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3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3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3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3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3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3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3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3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3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3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3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3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3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3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349"/>
    <w:rPr>
      <w:rFonts w:eastAsiaTheme="majorEastAsia" w:cstheme="majorBidi"/>
      <w:color w:val="272727" w:themeColor="text1" w:themeTint="D8"/>
    </w:rPr>
  </w:style>
  <w:style w:type="paragraph" w:styleId="Title">
    <w:name w:val="Title"/>
    <w:basedOn w:val="Normal"/>
    <w:next w:val="Normal"/>
    <w:link w:val="TitleChar"/>
    <w:uiPriority w:val="10"/>
    <w:qFormat/>
    <w:rsid w:val="00140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3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3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3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349"/>
    <w:pPr>
      <w:spacing w:before="160"/>
      <w:jc w:val="center"/>
    </w:pPr>
    <w:rPr>
      <w:i/>
      <w:iCs/>
      <w:color w:val="404040" w:themeColor="text1" w:themeTint="BF"/>
    </w:rPr>
  </w:style>
  <w:style w:type="character" w:customStyle="1" w:styleId="QuoteChar">
    <w:name w:val="Quote Char"/>
    <w:basedOn w:val="DefaultParagraphFont"/>
    <w:link w:val="Quote"/>
    <w:uiPriority w:val="29"/>
    <w:rsid w:val="00140349"/>
    <w:rPr>
      <w:i/>
      <w:iCs/>
      <w:color w:val="404040" w:themeColor="text1" w:themeTint="BF"/>
    </w:rPr>
  </w:style>
  <w:style w:type="paragraph" w:styleId="ListParagraph">
    <w:name w:val="List Paragraph"/>
    <w:basedOn w:val="Normal"/>
    <w:uiPriority w:val="34"/>
    <w:qFormat/>
    <w:rsid w:val="00140349"/>
    <w:pPr>
      <w:ind w:left="720"/>
      <w:contextualSpacing/>
    </w:pPr>
  </w:style>
  <w:style w:type="character" w:styleId="IntenseEmphasis">
    <w:name w:val="Intense Emphasis"/>
    <w:basedOn w:val="DefaultParagraphFont"/>
    <w:uiPriority w:val="21"/>
    <w:qFormat/>
    <w:rsid w:val="00140349"/>
    <w:rPr>
      <w:i/>
      <w:iCs/>
      <w:color w:val="0F4761" w:themeColor="accent1" w:themeShade="BF"/>
    </w:rPr>
  </w:style>
  <w:style w:type="paragraph" w:styleId="IntenseQuote">
    <w:name w:val="Intense Quote"/>
    <w:basedOn w:val="Normal"/>
    <w:next w:val="Normal"/>
    <w:link w:val="IntenseQuoteChar"/>
    <w:uiPriority w:val="30"/>
    <w:qFormat/>
    <w:rsid w:val="00140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349"/>
    <w:rPr>
      <w:i/>
      <w:iCs/>
      <w:color w:val="0F4761" w:themeColor="accent1" w:themeShade="BF"/>
    </w:rPr>
  </w:style>
  <w:style w:type="character" w:styleId="IntenseReference">
    <w:name w:val="Intense Reference"/>
    <w:basedOn w:val="DefaultParagraphFont"/>
    <w:uiPriority w:val="32"/>
    <w:qFormat/>
    <w:rsid w:val="00140349"/>
    <w:rPr>
      <w:b/>
      <w:bCs/>
      <w:smallCaps/>
      <w:color w:val="0F4761" w:themeColor="accent1" w:themeShade="BF"/>
      <w:spacing w:val="5"/>
    </w:rPr>
  </w:style>
  <w:style w:type="paragraph" w:styleId="NormalWeb">
    <w:name w:val="Normal (Web)"/>
    <w:basedOn w:val="Normal"/>
    <w:uiPriority w:val="99"/>
    <w:unhideWhenUsed/>
    <w:rsid w:val="007F278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2780"/>
  </w:style>
  <w:style w:type="character" w:customStyle="1" w:styleId="url">
    <w:name w:val="url"/>
    <w:basedOn w:val="DefaultParagraphFont"/>
    <w:rsid w:val="007F2780"/>
  </w:style>
  <w:style w:type="character" w:styleId="Hyperlink">
    <w:name w:val="Hyperlink"/>
    <w:basedOn w:val="DefaultParagraphFont"/>
    <w:uiPriority w:val="99"/>
    <w:unhideWhenUsed/>
    <w:rsid w:val="007F2780"/>
    <w:rPr>
      <w:color w:val="467886" w:themeColor="hyperlink"/>
      <w:u w:val="single"/>
    </w:rPr>
  </w:style>
  <w:style w:type="character" w:styleId="UnresolvedMention">
    <w:name w:val="Unresolved Mention"/>
    <w:basedOn w:val="DefaultParagraphFont"/>
    <w:uiPriority w:val="99"/>
    <w:semiHidden/>
    <w:unhideWhenUsed/>
    <w:rsid w:val="007F2780"/>
    <w:rPr>
      <w:color w:val="605E5C"/>
      <w:shd w:val="clear" w:color="auto" w:fill="E1DFDD"/>
    </w:rPr>
  </w:style>
  <w:style w:type="character" w:customStyle="1" w:styleId="notion-enable-hover">
    <w:name w:val="notion-enable-hover"/>
    <w:basedOn w:val="DefaultParagraphFont"/>
    <w:rsid w:val="00E03E65"/>
  </w:style>
  <w:style w:type="paragraph" w:customStyle="1" w:styleId="p1">
    <w:name w:val="p1"/>
    <w:basedOn w:val="Normal"/>
    <w:rsid w:val="003D0941"/>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D0941"/>
    <w:rPr>
      <w:rFonts w:ascii="Helvetica" w:hAnsi="Helvetica" w:hint="default"/>
      <w:b w:val="0"/>
      <w:bCs w:val="0"/>
      <w:i w:val="0"/>
      <w:iCs w:val="0"/>
      <w:sz w:val="18"/>
      <w:szCs w:val="18"/>
    </w:rPr>
  </w:style>
  <w:style w:type="character" w:styleId="Emphasis">
    <w:name w:val="Emphasis"/>
    <w:basedOn w:val="DefaultParagraphFont"/>
    <w:uiPriority w:val="20"/>
    <w:qFormat/>
    <w:rsid w:val="00E50FCF"/>
    <w:rPr>
      <w:i/>
      <w:iCs/>
    </w:rPr>
  </w:style>
  <w:style w:type="character" w:customStyle="1" w:styleId="contributors">
    <w:name w:val="contributors"/>
    <w:basedOn w:val="DefaultParagraphFont"/>
    <w:rsid w:val="00956404"/>
  </w:style>
  <w:style w:type="character" w:customStyle="1" w:styleId="maintitle">
    <w:name w:val="maintitle"/>
    <w:basedOn w:val="DefaultParagraphFont"/>
    <w:rsid w:val="00956404"/>
  </w:style>
  <w:style w:type="character" w:customStyle="1" w:styleId="publisher-location">
    <w:name w:val="publisher-location"/>
    <w:basedOn w:val="DefaultParagraphFont"/>
    <w:rsid w:val="00956404"/>
  </w:style>
  <w:style w:type="character" w:customStyle="1" w:styleId="print-publication-date">
    <w:name w:val="print-publication-date"/>
    <w:basedOn w:val="DefaultParagraphFont"/>
    <w:rsid w:val="00956404"/>
  </w:style>
  <w:style w:type="character" w:customStyle="1" w:styleId="online-edition">
    <w:name w:val="online-edition"/>
    <w:basedOn w:val="DefaultParagraphFont"/>
    <w:rsid w:val="00956404"/>
  </w:style>
  <w:style w:type="character" w:customStyle="1" w:styleId="containing-site">
    <w:name w:val="containing-site"/>
    <w:basedOn w:val="DefaultParagraphFont"/>
    <w:rsid w:val="00956404"/>
  </w:style>
  <w:style w:type="character" w:customStyle="1" w:styleId="online-publication-date">
    <w:name w:val="online-publication-date"/>
    <w:basedOn w:val="DefaultParagraphFont"/>
    <w:rsid w:val="00956404"/>
  </w:style>
  <w:style w:type="character" w:customStyle="1" w:styleId="accessed-date">
    <w:name w:val="accessed-date"/>
    <w:basedOn w:val="DefaultParagraphFont"/>
    <w:rsid w:val="00956404"/>
  </w:style>
  <w:style w:type="paragraph" w:styleId="z-BottomofForm">
    <w:name w:val="HTML Bottom of Form"/>
    <w:basedOn w:val="Normal"/>
    <w:next w:val="Normal"/>
    <w:link w:val="z-BottomofFormChar"/>
    <w:hidden/>
    <w:uiPriority w:val="99"/>
    <w:semiHidden/>
    <w:unhideWhenUsed/>
    <w:rsid w:val="00956404"/>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56404"/>
    <w:rPr>
      <w:rFonts w:ascii="Arial"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905040">
      <w:bodyDiv w:val="1"/>
      <w:marLeft w:val="0"/>
      <w:marRight w:val="0"/>
      <w:marTop w:val="0"/>
      <w:marBottom w:val="0"/>
      <w:divBdr>
        <w:top w:val="none" w:sz="0" w:space="0" w:color="auto"/>
        <w:left w:val="none" w:sz="0" w:space="0" w:color="auto"/>
        <w:bottom w:val="none" w:sz="0" w:space="0" w:color="auto"/>
        <w:right w:val="none" w:sz="0" w:space="0" w:color="auto"/>
      </w:divBdr>
      <w:divsChild>
        <w:div w:id="1084305943">
          <w:marLeft w:val="-720"/>
          <w:marRight w:val="0"/>
          <w:marTop w:val="0"/>
          <w:marBottom w:val="0"/>
          <w:divBdr>
            <w:top w:val="none" w:sz="0" w:space="0" w:color="auto"/>
            <w:left w:val="none" w:sz="0" w:space="0" w:color="auto"/>
            <w:bottom w:val="none" w:sz="0" w:space="0" w:color="auto"/>
            <w:right w:val="none" w:sz="0" w:space="0" w:color="auto"/>
          </w:divBdr>
          <w:divsChild>
            <w:div w:id="713231755">
              <w:marLeft w:val="0"/>
              <w:marRight w:val="0"/>
              <w:marTop w:val="0"/>
              <w:marBottom w:val="0"/>
              <w:divBdr>
                <w:top w:val="none" w:sz="0" w:space="0" w:color="auto"/>
                <w:left w:val="none" w:sz="0" w:space="0" w:color="auto"/>
                <w:bottom w:val="none" w:sz="0" w:space="0" w:color="auto"/>
                <w:right w:val="none" w:sz="0" w:space="0" w:color="auto"/>
              </w:divBdr>
              <w:divsChild>
                <w:div w:id="284190832">
                  <w:marLeft w:val="-720"/>
                  <w:marRight w:val="0"/>
                  <w:marTop w:val="0"/>
                  <w:marBottom w:val="0"/>
                  <w:divBdr>
                    <w:top w:val="none" w:sz="0" w:space="0" w:color="auto"/>
                    <w:left w:val="none" w:sz="0" w:space="0" w:color="auto"/>
                    <w:bottom w:val="none" w:sz="0" w:space="0" w:color="auto"/>
                    <w:right w:val="none" w:sz="0" w:space="0" w:color="auto"/>
                  </w:divBdr>
                </w:div>
              </w:divsChild>
            </w:div>
            <w:div w:id="699552243">
              <w:marLeft w:val="0"/>
              <w:marRight w:val="0"/>
              <w:marTop w:val="0"/>
              <w:marBottom w:val="0"/>
              <w:divBdr>
                <w:top w:val="none" w:sz="0" w:space="0" w:color="auto"/>
                <w:left w:val="none" w:sz="0" w:space="0" w:color="auto"/>
                <w:bottom w:val="none" w:sz="0" w:space="0" w:color="auto"/>
                <w:right w:val="none" w:sz="0" w:space="0" w:color="auto"/>
              </w:divBdr>
              <w:divsChild>
                <w:div w:id="1147893122">
                  <w:marLeft w:val="-720"/>
                  <w:marRight w:val="0"/>
                  <w:marTop w:val="0"/>
                  <w:marBottom w:val="0"/>
                  <w:divBdr>
                    <w:top w:val="none" w:sz="0" w:space="0" w:color="auto"/>
                    <w:left w:val="none" w:sz="0" w:space="0" w:color="auto"/>
                    <w:bottom w:val="none" w:sz="0" w:space="0" w:color="auto"/>
                    <w:right w:val="none" w:sz="0" w:space="0" w:color="auto"/>
                  </w:divBdr>
                  <w:divsChild>
                    <w:div w:id="57705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752556">
              <w:marLeft w:val="0"/>
              <w:marRight w:val="0"/>
              <w:marTop w:val="0"/>
              <w:marBottom w:val="0"/>
              <w:divBdr>
                <w:top w:val="none" w:sz="0" w:space="0" w:color="auto"/>
                <w:left w:val="none" w:sz="0" w:space="0" w:color="auto"/>
                <w:bottom w:val="none" w:sz="0" w:space="0" w:color="auto"/>
                <w:right w:val="none" w:sz="0" w:space="0" w:color="auto"/>
              </w:divBdr>
              <w:divsChild>
                <w:div w:id="637884151">
                  <w:marLeft w:val="-720"/>
                  <w:marRight w:val="0"/>
                  <w:marTop w:val="0"/>
                  <w:marBottom w:val="0"/>
                  <w:divBdr>
                    <w:top w:val="none" w:sz="0" w:space="0" w:color="auto"/>
                    <w:left w:val="none" w:sz="0" w:space="0" w:color="auto"/>
                    <w:bottom w:val="none" w:sz="0" w:space="0" w:color="auto"/>
                    <w:right w:val="none" w:sz="0" w:space="0" w:color="auto"/>
                  </w:divBdr>
                </w:div>
              </w:divsChild>
            </w:div>
            <w:div w:id="97070207">
              <w:marLeft w:val="0"/>
              <w:marRight w:val="0"/>
              <w:marTop w:val="0"/>
              <w:marBottom w:val="0"/>
              <w:divBdr>
                <w:top w:val="none" w:sz="0" w:space="0" w:color="auto"/>
                <w:left w:val="none" w:sz="0" w:space="0" w:color="auto"/>
                <w:bottom w:val="none" w:sz="0" w:space="0" w:color="auto"/>
                <w:right w:val="none" w:sz="0" w:space="0" w:color="auto"/>
              </w:divBdr>
              <w:divsChild>
                <w:div w:id="1368989928">
                  <w:marLeft w:val="-720"/>
                  <w:marRight w:val="0"/>
                  <w:marTop w:val="0"/>
                  <w:marBottom w:val="0"/>
                  <w:divBdr>
                    <w:top w:val="none" w:sz="0" w:space="0" w:color="auto"/>
                    <w:left w:val="none" w:sz="0" w:space="0" w:color="auto"/>
                    <w:bottom w:val="none" w:sz="0" w:space="0" w:color="auto"/>
                    <w:right w:val="none" w:sz="0" w:space="0" w:color="auto"/>
                  </w:divBdr>
                </w:div>
              </w:divsChild>
            </w:div>
            <w:div w:id="1514413958">
              <w:marLeft w:val="0"/>
              <w:marRight w:val="0"/>
              <w:marTop w:val="0"/>
              <w:marBottom w:val="0"/>
              <w:divBdr>
                <w:top w:val="none" w:sz="0" w:space="0" w:color="auto"/>
                <w:left w:val="none" w:sz="0" w:space="0" w:color="auto"/>
                <w:bottom w:val="none" w:sz="0" w:space="0" w:color="auto"/>
                <w:right w:val="none" w:sz="0" w:space="0" w:color="auto"/>
              </w:divBdr>
              <w:divsChild>
                <w:div w:id="113961781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26882">
      <w:bodyDiv w:val="1"/>
      <w:marLeft w:val="0"/>
      <w:marRight w:val="0"/>
      <w:marTop w:val="0"/>
      <w:marBottom w:val="0"/>
      <w:divBdr>
        <w:top w:val="none" w:sz="0" w:space="0" w:color="auto"/>
        <w:left w:val="none" w:sz="0" w:space="0" w:color="auto"/>
        <w:bottom w:val="none" w:sz="0" w:space="0" w:color="auto"/>
        <w:right w:val="none" w:sz="0" w:space="0" w:color="auto"/>
      </w:divBdr>
      <w:divsChild>
        <w:div w:id="1599871009">
          <w:marLeft w:val="-720"/>
          <w:marRight w:val="0"/>
          <w:marTop w:val="0"/>
          <w:marBottom w:val="0"/>
          <w:divBdr>
            <w:top w:val="none" w:sz="0" w:space="0" w:color="auto"/>
            <w:left w:val="none" w:sz="0" w:space="0" w:color="auto"/>
            <w:bottom w:val="none" w:sz="0" w:space="0" w:color="auto"/>
            <w:right w:val="none" w:sz="0" w:space="0" w:color="auto"/>
          </w:divBdr>
          <w:divsChild>
            <w:div w:id="582420250">
              <w:marLeft w:val="0"/>
              <w:marRight w:val="0"/>
              <w:marTop w:val="0"/>
              <w:marBottom w:val="0"/>
              <w:divBdr>
                <w:top w:val="none" w:sz="0" w:space="0" w:color="auto"/>
                <w:left w:val="none" w:sz="0" w:space="0" w:color="auto"/>
                <w:bottom w:val="none" w:sz="0" w:space="0" w:color="auto"/>
                <w:right w:val="none" w:sz="0" w:space="0" w:color="auto"/>
              </w:divBdr>
              <w:divsChild>
                <w:div w:id="813639367">
                  <w:marLeft w:val="-720"/>
                  <w:marRight w:val="0"/>
                  <w:marTop w:val="0"/>
                  <w:marBottom w:val="0"/>
                  <w:divBdr>
                    <w:top w:val="none" w:sz="0" w:space="0" w:color="auto"/>
                    <w:left w:val="none" w:sz="0" w:space="0" w:color="auto"/>
                    <w:bottom w:val="none" w:sz="0" w:space="0" w:color="auto"/>
                    <w:right w:val="none" w:sz="0" w:space="0" w:color="auto"/>
                  </w:divBdr>
                </w:div>
              </w:divsChild>
            </w:div>
            <w:div w:id="1147672785">
              <w:marLeft w:val="0"/>
              <w:marRight w:val="0"/>
              <w:marTop w:val="0"/>
              <w:marBottom w:val="0"/>
              <w:divBdr>
                <w:top w:val="none" w:sz="0" w:space="0" w:color="auto"/>
                <w:left w:val="none" w:sz="0" w:space="0" w:color="auto"/>
                <w:bottom w:val="none" w:sz="0" w:space="0" w:color="auto"/>
                <w:right w:val="none" w:sz="0" w:space="0" w:color="auto"/>
              </w:divBdr>
              <w:divsChild>
                <w:div w:id="1885949722">
                  <w:marLeft w:val="-720"/>
                  <w:marRight w:val="0"/>
                  <w:marTop w:val="0"/>
                  <w:marBottom w:val="0"/>
                  <w:divBdr>
                    <w:top w:val="none" w:sz="0" w:space="0" w:color="auto"/>
                    <w:left w:val="none" w:sz="0" w:space="0" w:color="auto"/>
                    <w:bottom w:val="none" w:sz="0" w:space="0" w:color="auto"/>
                    <w:right w:val="none" w:sz="0" w:space="0" w:color="auto"/>
                  </w:divBdr>
                </w:div>
              </w:divsChild>
            </w:div>
            <w:div w:id="1224414887">
              <w:marLeft w:val="0"/>
              <w:marRight w:val="0"/>
              <w:marTop w:val="0"/>
              <w:marBottom w:val="0"/>
              <w:divBdr>
                <w:top w:val="none" w:sz="0" w:space="0" w:color="auto"/>
                <w:left w:val="none" w:sz="0" w:space="0" w:color="auto"/>
                <w:bottom w:val="none" w:sz="0" w:space="0" w:color="auto"/>
                <w:right w:val="none" w:sz="0" w:space="0" w:color="auto"/>
              </w:divBdr>
              <w:divsChild>
                <w:div w:id="792330389">
                  <w:marLeft w:val="0"/>
                  <w:marRight w:val="0"/>
                  <w:marTop w:val="0"/>
                  <w:marBottom w:val="0"/>
                  <w:divBdr>
                    <w:top w:val="none" w:sz="0" w:space="0" w:color="auto"/>
                    <w:left w:val="none" w:sz="0" w:space="0" w:color="auto"/>
                    <w:bottom w:val="none" w:sz="0" w:space="0" w:color="auto"/>
                    <w:right w:val="none" w:sz="0" w:space="0" w:color="auto"/>
                  </w:divBdr>
                </w:div>
              </w:divsChild>
            </w:div>
            <w:div w:id="1305426988">
              <w:marLeft w:val="0"/>
              <w:marRight w:val="0"/>
              <w:marTop w:val="0"/>
              <w:marBottom w:val="0"/>
              <w:divBdr>
                <w:top w:val="none" w:sz="0" w:space="0" w:color="auto"/>
                <w:left w:val="none" w:sz="0" w:space="0" w:color="auto"/>
                <w:bottom w:val="none" w:sz="0" w:space="0" w:color="auto"/>
                <w:right w:val="none" w:sz="0" w:space="0" w:color="auto"/>
              </w:divBdr>
            </w:div>
            <w:div w:id="1380865111">
              <w:marLeft w:val="0"/>
              <w:marRight w:val="0"/>
              <w:marTop w:val="0"/>
              <w:marBottom w:val="0"/>
              <w:divBdr>
                <w:top w:val="none" w:sz="0" w:space="0" w:color="auto"/>
                <w:left w:val="none" w:sz="0" w:space="0" w:color="auto"/>
                <w:bottom w:val="none" w:sz="0" w:space="0" w:color="auto"/>
                <w:right w:val="none" w:sz="0" w:space="0" w:color="auto"/>
              </w:divBdr>
            </w:div>
            <w:div w:id="496268160">
              <w:marLeft w:val="0"/>
              <w:marRight w:val="0"/>
              <w:marTop w:val="0"/>
              <w:marBottom w:val="0"/>
              <w:divBdr>
                <w:top w:val="none" w:sz="0" w:space="0" w:color="auto"/>
                <w:left w:val="none" w:sz="0" w:space="0" w:color="auto"/>
                <w:bottom w:val="none" w:sz="0" w:space="0" w:color="auto"/>
                <w:right w:val="none" w:sz="0" w:space="0" w:color="auto"/>
              </w:divBdr>
              <w:divsChild>
                <w:div w:id="1494683610">
                  <w:marLeft w:val="-720"/>
                  <w:marRight w:val="0"/>
                  <w:marTop w:val="0"/>
                  <w:marBottom w:val="0"/>
                  <w:divBdr>
                    <w:top w:val="none" w:sz="0" w:space="0" w:color="auto"/>
                    <w:left w:val="none" w:sz="0" w:space="0" w:color="auto"/>
                    <w:bottom w:val="none" w:sz="0" w:space="0" w:color="auto"/>
                    <w:right w:val="none" w:sz="0" w:space="0" w:color="auto"/>
                  </w:divBdr>
                </w:div>
              </w:divsChild>
            </w:div>
            <w:div w:id="1184133382">
              <w:marLeft w:val="0"/>
              <w:marRight w:val="0"/>
              <w:marTop w:val="0"/>
              <w:marBottom w:val="0"/>
              <w:divBdr>
                <w:top w:val="none" w:sz="0" w:space="0" w:color="auto"/>
                <w:left w:val="none" w:sz="0" w:space="0" w:color="auto"/>
                <w:bottom w:val="none" w:sz="0" w:space="0" w:color="auto"/>
                <w:right w:val="none" w:sz="0" w:space="0" w:color="auto"/>
              </w:divBdr>
              <w:divsChild>
                <w:div w:id="1828469786">
                  <w:marLeft w:val="-720"/>
                  <w:marRight w:val="0"/>
                  <w:marTop w:val="0"/>
                  <w:marBottom w:val="0"/>
                  <w:divBdr>
                    <w:top w:val="none" w:sz="0" w:space="0" w:color="auto"/>
                    <w:left w:val="none" w:sz="0" w:space="0" w:color="auto"/>
                    <w:bottom w:val="none" w:sz="0" w:space="0" w:color="auto"/>
                    <w:right w:val="none" w:sz="0" w:space="0" w:color="auto"/>
                  </w:divBdr>
                  <w:divsChild>
                    <w:div w:id="304087399">
                      <w:marLeft w:val="0"/>
                      <w:marRight w:val="0"/>
                      <w:marTop w:val="0"/>
                      <w:marBottom w:val="0"/>
                      <w:divBdr>
                        <w:top w:val="none" w:sz="0" w:space="0" w:color="auto"/>
                        <w:left w:val="none" w:sz="0" w:space="0" w:color="auto"/>
                        <w:bottom w:val="none" w:sz="0" w:space="0" w:color="auto"/>
                        <w:right w:val="none" w:sz="0" w:space="0" w:color="auto"/>
                      </w:divBdr>
                      <w:divsChild>
                        <w:div w:id="131860588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039471">
              <w:marLeft w:val="0"/>
              <w:marRight w:val="0"/>
              <w:marTop w:val="0"/>
              <w:marBottom w:val="0"/>
              <w:divBdr>
                <w:top w:val="none" w:sz="0" w:space="0" w:color="auto"/>
                <w:left w:val="none" w:sz="0" w:space="0" w:color="auto"/>
                <w:bottom w:val="none" w:sz="0" w:space="0" w:color="auto"/>
                <w:right w:val="none" w:sz="0" w:space="0" w:color="auto"/>
              </w:divBdr>
              <w:divsChild>
                <w:div w:id="1751921824">
                  <w:marLeft w:val="0"/>
                  <w:marRight w:val="0"/>
                  <w:marTop w:val="0"/>
                  <w:marBottom w:val="0"/>
                  <w:divBdr>
                    <w:top w:val="none" w:sz="0" w:space="0" w:color="auto"/>
                    <w:left w:val="none" w:sz="0" w:space="0" w:color="auto"/>
                    <w:bottom w:val="none" w:sz="0" w:space="0" w:color="auto"/>
                    <w:right w:val="none" w:sz="0" w:space="0" w:color="auto"/>
                  </w:divBdr>
                </w:div>
                <w:div w:id="1837378917">
                  <w:marLeft w:val="0"/>
                  <w:marRight w:val="0"/>
                  <w:marTop w:val="0"/>
                  <w:marBottom w:val="0"/>
                  <w:divBdr>
                    <w:top w:val="none" w:sz="0" w:space="0" w:color="auto"/>
                    <w:left w:val="none" w:sz="0" w:space="0" w:color="auto"/>
                    <w:bottom w:val="none" w:sz="0" w:space="0" w:color="auto"/>
                    <w:right w:val="none" w:sz="0" w:space="0" w:color="auto"/>
                  </w:divBdr>
                </w:div>
              </w:divsChild>
            </w:div>
            <w:div w:id="1066565420">
              <w:marLeft w:val="0"/>
              <w:marRight w:val="0"/>
              <w:marTop w:val="0"/>
              <w:marBottom w:val="0"/>
              <w:divBdr>
                <w:top w:val="none" w:sz="0" w:space="0" w:color="auto"/>
                <w:left w:val="none" w:sz="0" w:space="0" w:color="auto"/>
                <w:bottom w:val="none" w:sz="0" w:space="0" w:color="auto"/>
                <w:right w:val="none" w:sz="0" w:space="0" w:color="auto"/>
              </w:divBdr>
              <w:divsChild>
                <w:div w:id="26353704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053/SN06053.pdf" TargetMode="External"/><Relationship Id="rId13" Type="http://schemas.openxmlformats.org/officeDocument/2006/relationships/hyperlink" Target="https://doi.org/10.1093/aler/ahq016" TargetMode="External"/><Relationship Id="rId18" Type="http://schemas.openxmlformats.org/officeDocument/2006/relationships/hyperlink" Target="https://www.legislation.gov.uk/ukpga/2005/4/notes/division/2" TargetMode="External"/><Relationship Id="rId26" Type="http://schemas.openxmlformats.org/officeDocument/2006/relationships/hyperlink" Target="https://www.parliament.uk/about/how/role/relations-with-other-institutions/parliament-government/#:~:text=What" TargetMode="External"/><Relationship Id="rId3" Type="http://schemas.openxmlformats.org/officeDocument/2006/relationships/settings" Target="settings.xml"/><Relationship Id="rId21" Type="http://schemas.openxmlformats.org/officeDocument/2006/relationships/hyperlink" Target="https://www.instituteforgovernment.org.uk/sites/default/files/2024-03/hung-parliaments.pdf" TargetMode="External"/><Relationship Id="rId7" Type="http://schemas.openxmlformats.org/officeDocument/2006/relationships/hyperlink" Target="https://researchbriefings.files.parliament.uk/documents/SN06053/SN06053.pdf" TargetMode="External"/><Relationship Id="rId12" Type="http://schemas.openxmlformats.org/officeDocument/2006/relationships/hyperlink" Target="https://www.electoral-reform.org.uk/10-years-on-what-the-2010-general-election-says-about-britains-political-system/" TargetMode="External"/><Relationship Id="rId17" Type="http://schemas.openxmlformats.org/officeDocument/2006/relationships/hyperlink" Target="https://ifs.org.uk/articles/uk-coalition-governments-record-and-challenges-future" TargetMode="External"/><Relationship Id="rId25" Type="http://schemas.openxmlformats.org/officeDocument/2006/relationships/hyperlink" Target="https://www.parliament.uk/site-information/glossary/government/#:~:text=The" TargetMode="External"/><Relationship Id="rId2" Type="http://schemas.openxmlformats.org/officeDocument/2006/relationships/styles" Target="styles.xml"/><Relationship Id="rId16" Type="http://schemas.openxmlformats.org/officeDocument/2006/relationships/hyperlink" Target="https://www.supremecourt.uk/cases/docs/uksc-2019-0192-judgment.pdf" TargetMode="External"/><Relationship Id="rId20" Type="http://schemas.openxmlformats.org/officeDocument/2006/relationships/hyperlink" Target="https://researchbriefings.files.parliament.uk/documents/SN06404/SN06404.pdf" TargetMode="External"/><Relationship Id="rId29" Type="http://schemas.openxmlformats.org/officeDocument/2006/relationships/hyperlink" Target="https://uollb.com/blogs/uol/pros-and-cons-of-separation-of-powers?srsltid=AfmBOoqsaRzIJ5MrYKIPdLYJUa1Rc_BTkqBKkHwD_XW_43x-feZ3Kdu_" TargetMode="External"/><Relationship Id="rId1" Type="http://schemas.openxmlformats.org/officeDocument/2006/relationships/numbering" Target="numbering.xml"/><Relationship Id="rId6" Type="http://schemas.openxmlformats.org/officeDocument/2006/relationships/hyperlink" Target="https://www.4pumpcourt.com/judgment/r-miller-v-the-prime-minister/" TargetMode="External"/><Relationship Id="rId11" Type="http://schemas.openxmlformats.org/officeDocument/2006/relationships/hyperlink" Target="https://www.theguardian.com/commentisfree/2024/dec/19/the-guardian-view-on-britain-and-its-constitution-a-country-we-should-know-better" TargetMode="External"/><Relationship Id="rId24" Type="http://schemas.openxmlformats.org/officeDocument/2006/relationships/hyperlink" Target="https://www.freedomfromtorture.org/news-and-stories/what-is-the-rwanda-asylum-plan?gad_source=1&amp;gbraid=0AAAAADOX7Osn6-_TBdw4PDSQK9xOT7_z_&amp;gclid=Cj0KCQiAz6q-BhCfARIsAOezPxlmkpat4CozpMaQkY3aO0GufWCeVtKvD4RVn8iZ5IYBvkcHmMpmmvYaAt--EALw_wcB"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93/aler/ahq016" TargetMode="External"/><Relationship Id="rId23" Type="http://schemas.openxmlformats.org/officeDocument/2006/relationships/hyperlink" Target="https://www.bihr.org.uk/get-informed/legislation-explainers/separation-of-powers-parliamentary-sovereignty-the-rule-of-law#:~:text=Why%20is%20the%20idea%20of,to%20play%20by%20the%20rules" TargetMode="External"/><Relationship Id="rId28" Type="http://schemas.openxmlformats.org/officeDocument/2006/relationships/hyperlink" Target="https://uollb.com/blogs/uol/pros-and-cons-of-separation-of-powers?srsltid=AfmBOoqsaRzIJ5MrYKIPdLYJUa1Rc_BTkqBKkHwD_XW_43x-feZ3Kdu_" TargetMode="External"/><Relationship Id="rId10" Type="http://schemas.openxmlformats.org/officeDocument/2006/relationships/hyperlink" Target="https://www.judiciary.uk/about-the-judiciary/our-justice-system/constitutional-reform/" TargetMode="External"/><Relationship Id="rId19" Type="http://schemas.openxmlformats.org/officeDocument/2006/relationships/hyperlink" Target="https://doi.org/10.1093/0199248680.003.000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diciary.uk/wp-content/uploads/2023/06/AAA-v-SSHD-summary-290623.pdf" TargetMode="External"/><Relationship Id="rId14" Type="http://schemas.openxmlformats.org/officeDocument/2006/relationships/hyperlink" Target="https://doi.org/10.1093/aler/ahq016" TargetMode="External"/><Relationship Id="rId22" Type="http://schemas.openxmlformats.org/officeDocument/2006/relationships/hyperlink" Target="https://www.polyas.com/election-glossary/judiciary" TargetMode="External"/><Relationship Id="rId27" Type="http://schemas.openxmlformats.org/officeDocument/2006/relationships/hyperlink" Target="https://uollb.com/blogs/uol/pros-and-cons-of-separation-of-powers?srsltid=AfmBOoqsaRzIJ5MrYKIPdLYJUa1Rc_BTkqBKkHwD_XW_43x-feZ3Kdu_" TargetMode="External"/><Relationship Id="rId30" Type="http://schemas.openxmlformats.org/officeDocument/2006/relationships/hyperlink" Target="https://www.law.ox.ac.uk/sites/files/oxlaw/waldron_separation_of_powers_in_thought_and_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1930</TotalTime>
  <Pages>8</Pages>
  <Words>2792</Words>
  <Characters>15921</Characters>
  <Application>Microsoft Office Word</Application>
  <DocSecurity>0</DocSecurity>
  <Lines>132</Lines>
  <Paragraphs>37</Paragraphs>
  <ScaleCrop>false</ScaleCrop>
  <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Hollie-Marie Barfoot (2405227)</dc:creator>
  <cp:keywords/>
  <dc:description/>
  <cp:lastModifiedBy>Hollie-Marie Barfoot (2405227)</cp:lastModifiedBy>
  <cp:revision>102</cp:revision>
  <dcterms:created xsi:type="dcterms:W3CDTF">2025-02-10T19:01:00Z</dcterms:created>
  <dcterms:modified xsi:type="dcterms:W3CDTF">2025-03-07T19:11:00Z</dcterms:modified>
</cp:coreProperties>
</file>