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microsoft.com/office/2011/relationships/webextensiontaskpanes" Target="word/webextensions/taskpanes.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67EAF6" w14:textId="5F4D4EAB" w:rsidR="000B4E6D" w:rsidRDefault="000B4E6D" w:rsidP="000B4E6D">
      <w:pPr>
        <w:jc w:val="center"/>
        <w:rPr>
          <w:b/>
          <w:bCs/>
          <w:color w:val="2E74B5" w:themeColor="accent5" w:themeShade="BF"/>
          <w:sz w:val="32"/>
          <w:szCs w:val="28"/>
        </w:rPr>
      </w:pPr>
    </w:p>
    <w:p w14:paraId="25733A41" w14:textId="35639903" w:rsidR="000B4E6D" w:rsidRDefault="000B4E6D" w:rsidP="000B4E6D">
      <w:pPr>
        <w:jc w:val="center"/>
        <w:rPr>
          <w:b/>
          <w:bCs/>
          <w:color w:val="2E74B5" w:themeColor="accent5" w:themeShade="BF"/>
          <w:sz w:val="32"/>
          <w:szCs w:val="28"/>
        </w:rPr>
      </w:pPr>
      <w:bookmarkStart w:id="0" w:name="_GoBack"/>
    </w:p>
    <w:bookmarkEnd w:id="0"/>
    <w:p w14:paraId="0B949DFD" w14:textId="692E34DF" w:rsidR="000B4E6D" w:rsidRDefault="000B4E6D" w:rsidP="000B4E6D">
      <w:pPr>
        <w:jc w:val="center"/>
        <w:rPr>
          <w:b/>
          <w:bCs/>
          <w:color w:val="2E74B5" w:themeColor="accent5" w:themeShade="BF"/>
          <w:sz w:val="32"/>
          <w:szCs w:val="28"/>
        </w:rPr>
      </w:pPr>
      <w:r w:rsidRPr="000B4E6D">
        <w:rPr>
          <w:b/>
          <w:bCs/>
          <w:color w:val="2E74B5" w:themeColor="accent5" w:themeShade="BF"/>
          <w:sz w:val="32"/>
          <w:szCs w:val="28"/>
        </w:rPr>
        <mc:AlternateContent>
          <mc:Choice Requires="wps">
            <w:drawing>
              <wp:anchor distT="45720" distB="45720" distL="114300" distR="114300" simplePos="0" relativeHeight="251659264" behindDoc="0" locked="0" layoutInCell="1" allowOverlap="1" wp14:anchorId="3B09D95E" wp14:editId="0EC6E9E3">
                <wp:simplePos x="0" y="0"/>
                <wp:positionH relativeFrom="margin">
                  <wp:posOffset>114300</wp:posOffset>
                </wp:positionH>
                <wp:positionV relativeFrom="paragraph">
                  <wp:posOffset>353060</wp:posOffset>
                </wp:positionV>
                <wp:extent cx="5638800" cy="1751330"/>
                <wp:effectExtent l="25400" t="0" r="508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1751330"/>
                        </a:xfrm>
                        <a:prstGeom prst="hexagon">
                          <a:avLst/>
                        </a:prstGeom>
                        <a:solidFill>
                          <a:srgbClr val="FFFFFF"/>
                        </a:solidFill>
                        <a:ln w="9525">
                          <a:solidFill>
                            <a:srgbClr val="000000"/>
                          </a:solidFill>
                          <a:miter lim="800000"/>
                          <a:headEnd/>
                          <a:tailEnd/>
                        </a:ln>
                      </wps:spPr>
                      <wps:txbx>
                        <w:txbxContent>
                          <w:p w14:paraId="596D7CF5" w14:textId="77777777" w:rsidR="000B4E6D" w:rsidRDefault="000B4E6D" w:rsidP="000B4E6D">
                            <w:pPr>
                              <w:jc w:val="center"/>
                              <w:rPr>
                                <w:b/>
                                <w:bCs/>
                                <w:color w:val="2E74B5" w:themeColor="accent5" w:themeShade="BF"/>
                                <w:sz w:val="32"/>
                                <w:szCs w:val="28"/>
                              </w:rPr>
                            </w:pPr>
                            <w:r w:rsidRPr="000B4E6D">
                              <w:rPr>
                                <w:b/>
                                <w:bCs/>
                                <w:color w:val="2E74B5" w:themeColor="accent5" w:themeShade="BF"/>
                                <w:sz w:val="32"/>
                                <w:szCs w:val="28"/>
                              </w:rPr>
                              <w:t>Assignment : Marriott International, INC</w:t>
                            </w:r>
                          </w:p>
                          <w:p w14:paraId="585F97E6" w14:textId="77777777" w:rsidR="000B4E6D" w:rsidRPr="000B4E6D" w:rsidRDefault="000B4E6D" w:rsidP="000B4E6D">
                            <w:pPr>
                              <w:jc w:val="center"/>
                              <w:rPr>
                                <w:b/>
                                <w:bCs/>
                                <w:color w:val="2E74B5" w:themeColor="accent5" w:themeShade="BF"/>
                                <w:sz w:val="32"/>
                                <w:szCs w:val="28"/>
                              </w:rPr>
                            </w:pPr>
                            <w:r>
                              <w:rPr>
                                <w:b/>
                                <w:bCs/>
                                <w:color w:val="2E74B5" w:themeColor="accent5" w:themeShade="BF"/>
                                <w:sz w:val="32"/>
                                <w:szCs w:val="28"/>
                              </w:rPr>
                              <w:t>Ratio Analysis</w:t>
                            </w:r>
                          </w:p>
                          <w:p w14:paraId="326E034D" w14:textId="64C65ADC" w:rsidR="000B4E6D" w:rsidRDefault="000B4E6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9" coordsize="21600,21600" o:spt="9" adj="5400" path="m@0,0l0,10800@0,21600@1,21600,21600,10800@1,0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Text Box 2" o:spid="_x0000_s1026" type="#_x0000_t9" style="position:absolute;left:0;text-align:left;margin-left:9pt;margin-top:27.8pt;width:444pt;height:137.9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" adj="1677">
                <v:textbox style="mso-fit-shape-to-text:t">
                  <w:txbxContent>
                    <w:p w14:paraId="596D7CF5" w14:textId="77777777" w:rsidR="000B4E6D" w:rsidRDefault="000B4E6D" w:rsidP="000B4E6D">
                      <w:pPr>
                        <w:jc w:val="center"/>
                        <w:rPr>
                          <w:b/>
                          <w:bCs/>
                          <w:color w:val="2E74B5" w:themeColor="accent5" w:themeShade="BF"/>
                          <w:sz w:val="32"/>
                          <w:szCs w:val="28"/>
                        </w:rPr>
                      </w:pPr>
                      <w:r w:rsidRPr="000B4E6D">
                        <w:rPr>
                          <w:b/>
                          <w:bCs/>
                          <w:color w:val="2E74B5" w:themeColor="accent5" w:themeShade="BF"/>
                          <w:sz w:val="32"/>
                          <w:szCs w:val="28"/>
                        </w:rPr>
                        <w:t>Assignment : Marriott International, INC</w:t>
                      </w:r>
                    </w:p>
                    <w:p w14:paraId="585F97E6" w14:textId="77777777" w:rsidR="000B4E6D" w:rsidRPr="000B4E6D" w:rsidRDefault="000B4E6D" w:rsidP="000B4E6D">
                      <w:pPr>
                        <w:jc w:val="center"/>
                        <w:rPr>
                          <w:b/>
                          <w:bCs/>
                          <w:color w:val="2E74B5" w:themeColor="accent5" w:themeShade="BF"/>
                          <w:sz w:val="32"/>
                          <w:szCs w:val="28"/>
                        </w:rPr>
                      </w:pPr>
                      <w:r>
                        <w:rPr>
                          <w:b/>
                          <w:bCs/>
                          <w:color w:val="2E74B5" w:themeColor="accent5" w:themeShade="BF"/>
                          <w:sz w:val="32"/>
                          <w:szCs w:val="28"/>
                        </w:rPr>
                        <w:t>Ratio Analysis</w:t>
                      </w:r>
                    </w:p>
                    <w:p w14:paraId="326E034D" w14:textId="64C65ADC" w:rsidR="000B4E6D" w:rsidRDefault="000B4E6D"/>
                  </w:txbxContent>
                </v:textbox>
                <w10:wrap type="square" anchorx="margin"/>
              </v:shape>
            </w:pict>
          </mc:Fallback>
        </mc:AlternateContent>
      </w:r>
    </w:p>
    <w:p w14:paraId="2F61F648" w14:textId="5C79641A" w:rsidR="000B4E6D" w:rsidRDefault="000B4E6D" w:rsidP="00D6605E">
      <w:pPr>
        <w:rPr>
          <w:b/>
          <w:bCs/>
          <w:sz w:val="28"/>
          <w:szCs w:val="24"/>
        </w:rPr>
      </w:pPr>
    </w:p>
    <w:p w14:paraId="04F3ABC7" w14:textId="0D2BF785" w:rsidR="000B4E6D" w:rsidRPr="001D55BC" w:rsidRDefault="001D55BC" w:rsidP="001D55BC">
      <w:pPr>
        <w:rPr>
          <w:sz w:val="32"/>
          <w:szCs w:val="32"/>
        </w:rPr>
      </w:pPr>
      <w:r w:rsidRPr="001D55BC">
        <w:rPr>
          <w:sz w:val="32"/>
          <w:szCs w:val="32"/>
        </w:rPr>
        <w:t>Students Name: Md Forhad Hossain</w:t>
      </w:r>
    </w:p>
    <w:p w14:paraId="09804AE7" w14:textId="72B4624C" w:rsidR="001D55BC" w:rsidRPr="001D55BC" w:rsidRDefault="001D55BC" w:rsidP="001D55BC">
      <w:pPr>
        <w:rPr>
          <w:rFonts w:eastAsia="Times New Roman" w:cs="Arial"/>
          <w:sz w:val="32"/>
          <w:szCs w:val="32"/>
          <w:lang w:val="en-GB"/>
        </w:rPr>
      </w:pPr>
      <w:r w:rsidRPr="001D55BC">
        <w:rPr>
          <w:rFonts w:eastAsia="Times New Roman" w:cs="Arial"/>
          <w:sz w:val="32"/>
          <w:szCs w:val="32"/>
          <w:lang w:val="en-GB"/>
        </w:rPr>
        <w:t>Student No:1706033</w:t>
      </w:r>
    </w:p>
    <w:p w14:paraId="1710B389" w14:textId="77777777" w:rsidR="001D55BC" w:rsidRPr="001D55BC" w:rsidRDefault="001D55BC" w:rsidP="001D55BC">
      <w:pPr>
        <w:rPr>
          <w:rFonts w:cs="Arial"/>
          <w:sz w:val="32"/>
          <w:szCs w:val="32"/>
        </w:rPr>
      </w:pPr>
      <w:r w:rsidRPr="001D55BC">
        <w:rPr>
          <w:rFonts w:eastAsia="Times New Roman" w:cs="Arial"/>
          <w:sz w:val="32"/>
          <w:szCs w:val="32"/>
          <w:lang w:val="en-GB"/>
        </w:rPr>
        <w:t xml:space="preserve">Lecturers Name: </w:t>
      </w:r>
      <w:r w:rsidRPr="001D55BC">
        <w:rPr>
          <w:rFonts w:cs="Arial"/>
          <w:sz w:val="32"/>
          <w:szCs w:val="32"/>
        </w:rPr>
        <w:t>Christopher Wilkin</w:t>
      </w:r>
    </w:p>
    <w:p w14:paraId="68540281" w14:textId="4663E093" w:rsidR="000B4E6D" w:rsidRPr="001D55BC" w:rsidRDefault="000B4E6D" w:rsidP="00D6605E">
      <w:pPr>
        <w:rPr>
          <w:bCs/>
          <w:sz w:val="32"/>
          <w:szCs w:val="32"/>
        </w:rPr>
      </w:pPr>
      <w:r w:rsidRPr="001D55BC">
        <w:rPr>
          <w:bCs/>
          <w:sz w:val="32"/>
          <w:szCs w:val="32"/>
        </w:rPr>
        <w:t>Module Code: BMIH5007</w:t>
      </w:r>
    </w:p>
    <w:p w14:paraId="6A4F6DC9" w14:textId="2C2D7E53" w:rsidR="00D6605E" w:rsidRPr="001D55BC" w:rsidRDefault="00D6605E" w:rsidP="00D6605E">
      <w:pPr>
        <w:rPr>
          <w:bCs/>
          <w:sz w:val="32"/>
          <w:szCs w:val="32"/>
        </w:rPr>
      </w:pPr>
      <w:r w:rsidRPr="001D55BC">
        <w:rPr>
          <w:bCs/>
          <w:sz w:val="32"/>
          <w:szCs w:val="32"/>
        </w:rPr>
        <w:t>Module: Financial Management for The Hotel Industry.</w:t>
      </w:r>
    </w:p>
    <w:p w14:paraId="0CE2DAB9" w14:textId="77777777" w:rsidR="001D55BC" w:rsidRPr="001D55BC" w:rsidRDefault="001D55BC" w:rsidP="001D55BC">
      <w:pPr>
        <w:rPr>
          <w:rFonts w:eastAsia="Times New Roman" w:cs="Arial"/>
          <w:sz w:val="32"/>
          <w:szCs w:val="32"/>
          <w:lang w:val="en-GB"/>
        </w:rPr>
      </w:pPr>
      <w:r w:rsidRPr="001D55BC">
        <w:rPr>
          <w:rFonts w:eastAsia="Times New Roman" w:cs="Arial"/>
          <w:bCs/>
          <w:sz w:val="32"/>
          <w:szCs w:val="32"/>
          <w:lang w:val="en-GB"/>
        </w:rPr>
        <w:t>Dated</w:t>
      </w:r>
      <w:r w:rsidRPr="001D55BC">
        <w:rPr>
          <w:rFonts w:eastAsia="Times New Roman" w:cs="Arial"/>
          <w:sz w:val="32"/>
          <w:szCs w:val="32"/>
          <w:lang w:val="en-GB"/>
        </w:rPr>
        <w:t>:  05/12/2022</w:t>
      </w:r>
    </w:p>
    <w:p w14:paraId="41FFC985" w14:textId="77777777" w:rsidR="001D55BC" w:rsidRPr="001D55BC" w:rsidRDefault="001D55BC" w:rsidP="00D6605E">
      <w:pPr>
        <w:rPr>
          <w:bCs/>
          <w:sz w:val="32"/>
          <w:szCs w:val="32"/>
        </w:rPr>
        <w:sectPr w:rsidR="001D55BC" w:rsidRPr="001D55BC">
          <w:footerReference w:type="default" r:id="rId9"/>
          <w:pgSz w:w="12240" w:h="15840"/>
          <w:pgMar w:top="1440" w:right="1440" w:bottom="1440" w:left="1440" w:header="720" w:footer="720" w:gutter="0"/>
          <w:cols w:space="720"/>
          <w:docGrid w:linePitch="360"/>
        </w:sectPr>
      </w:pPr>
    </w:p>
    <w:p w14:paraId="0433A80B" w14:textId="77777777" w:rsidR="00D6605E" w:rsidRPr="00C40434" w:rsidRDefault="00D6605E" w:rsidP="00C40434">
      <w:pPr>
        <w:pStyle w:val="Heading1"/>
      </w:pPr>
      <w:bookmarkStart w:id="1" w:name="_Toc118535069"/>
      <w:bookmarkStart w:id="2" w:name="_Toc118541786"/>
      <w:r w:rsidRPr="00C40434">
        <w:lastRenderedPageBreak/>
        <w:t>Executive Summary</w:t>
      </w:r>
      <w:bookmarkEnd w:id="1"/>
      <w:bookmarkEnd w:id="2"/>
    </w:p>
    <w:p w14:paraId="4CC25050" w14:textId="5143971A" w:rsidR="00D6605E" w:rsidRPr="00D6605E" w:rsidRDefault="00C40434" w:rsidP="00D6605E">
      <w:r w:rsidRPr="00C40434">
        <w:t xml:space="preserve">Ratio analysis is a statistical technique used to assess profitability, liquidity, and efficiency by comparing key figures from a company's income statement and balance sheet. The hotel chain Marriott International, Inc. (which was founded in 1927) is the subject of this report's financial analysis. The business has seen rising profitability as of late. As shown by the ratios, profitability </w:t>
      </w:r>
      <w:r w:rsidR="00FD2467">
        <w:t xml:space="preserve">has </w:t>
      </w:r>
      <w:r w:rsidRPr="00C40434">
        <w:t>increase</w:t>
      </w:r>
      <w:r w:rsidR="00FD2467">
        <w:t>d</w:t>
      </w:r>
      <w:r w:rsidRPr="00C40434">
        <w:t xml:space="preserve"> in 2021. In 2021, Marriott International's liquidity has strengthened as seen by an increased current ratio and a stable quick ratio. The effectiveness of asset utilization, receivables management, and payables control at Marriott International has been enhanced. The debt level has been lowered, and the firm is meeting its </w:t>
      </w:r>
      <w:r w:rsidR="00960356">
        <w:t>present-day</w:t>
      </w:r>
      <w:r w:rsidRPr="00C40434">
        <w:t xml:space="preserve"> capital needs via a combination of internal and external stock financing. A higher interest coverage ratio also indicates more money is available to pay interest. Despite its limitations, ratio analysis is a very useful tool in many contexts. Ratio analysis is useful for gauging efficiency and gaining insight into business practices.</w:t>
      </w:r>
      <w:r w:rsidR="00D6605E" w:rsidRPr="00D6605E">
        <w:br w:type="page"/>
      </w:r>
    </w:p>
    <w:sdt>
      <w:sdtPr>
        <w:rPr>
          <w:rFonts w:ascii="Arial" w:eastAsiaTheme="minorHAnsi" w:hAnsi="Arial" w:cstheme="minorBidi"/>
          <w:noProof/>
          <w:color w:val="auto"/>
          <w:sz w:val="24"/>
          <w:szCs w:val="22"/>
        </w:rPr>
        <w:id w:val="202914096"/>
        <w:docPartObj>
          <w:docPartGallery w:val="Table of Contents"/>
          <w:docPartUnique/>
        </w:docPartObj>
      </w:sdtPr>
      <w:sdtEndPr>
        <w:rPr>
          <w:b/>
          <w:bCs/>
        </w:rPr>
      </w:sdtEndPr>
      <w:sdtContent>
        <w:p w14:paraId="5791B243" w14:textId="5A4AE3A6" w:rsidR="00AE5D64" w:rsidRPr="00AE5D64" w:rsidRDefault="00AE5D64">
          <w:pPr>
            <w:pStyle w:val="TOCHeading"/>
            <w:rPr>
              <w:b/>
              <w:bCs/>
            </w:rPr>
          </w:pPr>
          <w:r w:rsidRPr="00AE5D64">
            <w:rPr>
              <w:b/>
              <w:bCs/>
            </w:rPr>
            <w:t>Table of Contents</w:t>
          </w:r>
        </w:p>
        <w:p w14:paraId="01FF1B61" w14:textId="0D748520" w:rsidR="00AE5D64" w:rsidRDefault="00AE5D64">
          <w:pPr>
            <w:pStyle w:val="TOC1"/>
            <w:tabs>
              <w:tab w:val="right" w:leader="dot" w:pos="9350"/>
            </w:tabs>
            <w:rPr>
              <w:rFonts w:asciiTheme="minorHAnsi" w:eastAsiaTheme="minorEastAsia" w:hAnsiTheme="minorHAnsi"/>
              <w:sz w:val="22"/>
            </w:rPr>
          </w:pPr>
          <w:r>
            <w:fldChar w:fldCharType="begin"/>
          </w:r>
          <w:r>
            <w:instrText xml:space="preserve"> TOC \o "1-3" \h \z \u </w:instrText>
          </w:r>
          <w:r>
            <w:fldChar w:fldCharType="separate"/>
          </w:r>
          <w:hyperlink w:anchor="_Toc118541786" w:history="1">
            <w:r w:rsidRPr="000853F5">
              <w:rPr>
                <w:rStyle w:val="Hyperlink"/>
              </w:rPr>
              <w:t>Executive Summary</w:t>
            </w:r>
            <w:r>
              <w:rPr>
                <w:webHidden/>
              </w:rPr>
              <w:tab/>
            </w:r>
            <w:r>
              <w:rPr>
                <w:webHidden/>
              </w:rPr>
              <w:fldChar w:fldCharType="begin"/>
            </w:r>
            <w:r>
              <w:rPr>
                <w:webHidden/>
              </w:rPr>
              <w:instrText xml:space="preserve"> PAGEREF _Toc118541786 \h </w:instrText>
            </w:r>
            <w:r>
              <w:rPr>
                <w:webHidden/>
              </w:rPr>
            </w:r>
            <w:r>
              <w:rPr>
                <w:webHidden/>
              </w:rPr>
              <w:fldChar w:fldCharType="separate"/>
            </w:r>
            <w:r>
              <w:rPr>
                <w:webHidden/>
              </w:rPr>
              <w:t>1</w:t>
            </w:r>
            <w:r>
              <w:rPr>
                <w:webHidden/>
              </w:rPr>
              <w:fldChar w:fldCharType="end"/>
            </w:r>
          </w:hyperlink>
        </w:p>
        <w:p w14:paraId="32CA1036" w14:textId="2AACFE18" w:rsidR="00AE5D64" w:rsidRDefault="00D364A4">
          <w:pPr>
            <w:pStyle w:val="TOC1"/>
            <w:tabs>
              <w:tab w:val="right" w:leader="dot" w:pos="9350"/>
            </w:tabs>
            <w:rPr>
              <w:rFonts w:asciiTheme="minorHAnsi" w:eastAsiaTheme="minorEastAsia" w:hAnsiTheme="minorHAnsi"/>
              <w:sz w:val="22"/>
            </w:rPr>
          </w:pPr>
          <w:hyperlink w:anchor="_Toc118541787" w:history="1">
            <w:r w:rsidR="00AE5D64" w:rsidRPr="000853F5">
              <w:rPr>
                <w:rStyle w:val="Hyperlink"/>
              </w:rPr>
              <w:t>1.0 Introduction</w:t>
            </w:r>
            <w:r w:rsidR="00AE5D64">
              <w:rPr>
                <w:webHidden/>
              </w:rPr>
              <w:tab/>
            </w:r>
            <w:r w:rsidR="00AE5D64">
              <w:rPr>
                <w:webHidden/>
              </w:rPr>
              <w:fldChar w:fldCharType="begin"/>
            </w:r>
            <w:r w:rsidR="00AE5D64">
              <w:rPr>
                <w:webHidden/>
              </w:rPr>
              <w:instrText xml:space="preserve"> PAGEREF _Toc118541787 \h </w:instrText>
            </w:r>
            <w:r w:rsidR="00AE5D64">
              <w:rPr>
                <w:webHidden/>
              </w:rPr>
            </w:r>
            <w:r w:rsidR="00AE5D64">
              <w:rPr>
                <w:webHidden/>
              </w:rPr>
              <w:fldChar w:fldCharType="separate"/>
            </w:r>
            <w:r w:rsidR="00AE5D64">
              <w:rPr>
                <w:webHidden/>
              </w:rPr>
              <w:t>3</w:t>
            </w:r>
            <w:r w:rsidR="00AE5D64">
              <w:rPr>
                <w:webHidden/>
              </w:rPr>
              <w:fldChar w:fldCharType="end"/>
            </w:r>
          </w:hyperlink>
        </w:p>
        <w:p w14:paraId="0CDCB566" w14:textId="344DC12B" w:rsidR="00AE5D64" w:rsidRDefault="00D364A4">
          <w:pPr>
            <w:pStyle w:val="TOC1"/>
            <w:tabs>
              <w:tab w:val="right" w:leader="dot" w:pos="9350"/>
            </w:tabs>
            <w:rPr>
              <w:rFonts w:asciiTheme="minorHAnsi" w:eastAsiaTheme="minorEastAsia" w:hAnsiTheme="minorHAnsi"/>
              <w:sz w:val="22"/>
            </w:rPr>
          </w:pPr>
          <w:hyperlink w:anchor="_Toc118541788" w:history="1">
            <w:r w:rsidR="00AE5D64" w:rsidRPr="000853F5">
              <w:rPr>
                <w:rStyle w:val="Hyperlink"/>
              </w:rPr>
              <w:t>2.0 Financial Ratio Analysis</w:t>
            </w:r>
            <w:r w:rsidR="00AE5D64">
              <w:rPr>
                <w:webHidden/>
              </w:rPr>
              <w:tab/>
            </w:r>
            <w:r w:rsidR="00AE5D64">
              <w:rPr>
                <w:webHidden/>
              </w:rPr>
              <w:fldChar w:fldCharType="begin"/>
            </w:r>
            <w:r w:rsidR="00AE5D64">
              <w:rPr>
                <w:webHidden/>
              </w:rPr>
              <w:instrText xml:space="preserve"> PAGEREF _Toc118541788 \h </w:instrText>
            </w:r>
            <w:r w:rsidR="00AE5D64">
              <w:rPr>
                <w:webHidden/>
              </w:rPr>
            </w:r>
            <w:r w:rsidR="00AE5D64">
              <w:rPr>
                <w:webHidden/>
              </w:rPr>
              <w:fldChar w:fldCharType="separate"/>
            </w:r>
            <w:r w:rsidR="00AE5D64">
              <w:rPr>
                <w:webHidden/>
              </w:rPr>
              <w:t>3</w:t>
            </w:r>
            <w:r w:rsidR="00AE5D64">
              <w:rPr>
                <w:webHidden/>
              </w:rPr>
              <w:fldChar w:fldCharType="end"/>
            </w:r>
          </w:hyperlink>
        </w:p>
        <w:p w14:paraId="0A27C301" w14:textId="66C62F8C" w:rsidR="00AE5D64" w:rsidRDefault="00D364A4">
          <w:pPr>
            <w:pStyle w:val="TOC1"/>
            <w:tabs>
              <w:tab w:val="right" w:leader="dot" w:pos="9350"/>
            </w:tabs>
            <w:rPr>
              <w:rFonts w:asciiTheme="minorHAnsi" w:eastAsiaTheme="minorEastAsia" w:hAnsiTheme="minorHAnsi"/>
              <w:sz w:val="22"/>
            </w:rPr>
          </w:pPr>
          <w:hyperlink w:anchor="_Toc118541789" w:history="1">
            <w:r w:rsidR="00AE5D64" w:rsidRPr="000853F5">
              <w:rPr>
                <w:rStyle w:val="Hyperlink"/>
              </w:rPr>
              <w:t>3.0 Financial Analysis Trend</w:t>
            </w:r>
            <w:r w:rsidR="00AE5D64">
              <w:rPr>
                <w:webHidden/>
              </w:rPr>
              <w:tab/>
            </w:r>
            <w:r w:rsidR="00AE5D64">
              <w:rPr>
                <w:webHidden/>
              </w:rPr>
              <w:fldChar w:fldCharType="begin"/>
            </w:r>
            <w:r w:rsidR="00AE5D64">
              <w:rPr>
                <w:webHidden/>
              </w:rPr>
              <w:instrText xml:space="preserve"> PAGEREF _Toc118541789 \h </w:instrText>
            </w:r>
            <w:r w:rsidR="00AE5D64">
              <w:rPr>
                <w:webHidden/>
              </w:rPr>
            </w:r>
            <w:r w:rsidR="00AE5D64">
              <w:rPr>
                <w:webHidden/>
              </w:rPr>
              <w:fldChar w:fldCharType="separate"/>
            </w:r>
            <w:r w:rsidR="00AE5D64">
              <w:rPr>
                <w:webHidden/>
              </w:rPr>
              <w:t>11</w:t>
            </w:r>
            <w:r w:rsidR="00AE5D64">
              <w:rPr>
                <w:webHidden/>
              </w:rPr>
              <w:fldChar w:fldCharType="end"/>
            </w:r>
          </w:hyperlink>
        </w:p>
        <w:p w14:paraId="3270B2A3" w14:textId="4B4E928A" w:rsidR="00AE5D64" w:rsidRDefault="00D364A4">
          <w:pPr>
            <w:pStyle w:val="TOC1"/>
            <w:tabs>
              <w:tab w:val="right" w:leader="dot" w:pos="9350"/>
            </w:tabs>
            <w:rPr>
              <w:rFonts w:asciiTheme="minorHAnsi" w:eastAsiaTheme="minorEastAsia" w:hAnsiTheme="minorHAnsi"/>
              <w:sz w:val="22"/>
            </w:rPr>
          </w:pPr>
          <w:hyperlink w:anchor="_Toc118541790" w:history="1">
            <w:r w:rsidR="00AE5D64" w:rsidRPr="000853F5">
              <w:rPr>
                <w:rStyle w:val="Hyperlink"/>
              </w:rPr>
              <w:t>4.0 Importance of Ratio Analysis</w:t>
            </w:r>
            <w:r w:rsidR="00AE5D64">
              <w:rPr>
                <w:webHidden/>
              </w:rPr>
              <w:tab/>
            </w:r>
            <w:r w:rsidR="00AE5D64">
              <w:rPr>
                <w:webHidden/>
              </w:rPr>
              <w:fldChar w:fldCharType="begin"/>
            </w:r>
            <w:r w:rsidR="00AE5D64">
              <w:rPr>
                <w:webHidden/>
              </w:rPr>
              <w:instrText xml:space="preserve"> PAGEREF _Toc118541790 \h </w:instrText>
            </w:r>
            <w:r w:rsidR="00AE5D64">
              <w:rPr>
                <w:webHidden/>
              </w:rPr>
            </w:r>
            <w:r w:rsidR="00AE5D64">
              <w:rPr>
                <w:webHidden/>
              </w:rPr>
              <w:fldChar w:fldCharType="separate"/>
            </w:r>
            <w:r w:rsidR="00AE5D64">
              <w:rPr>
                <w:webHidden/>
              </w:rPr>
              <w:t>13</w:t>
            </w:r>
            <w:r w:rsidR="00AE5D64">
              <w:rPr>
                <w:webHidden/>
              </w:rPr>
              <w:fldChar w:fldCharType="end"/>
            </w:r>
          </w:hyperlink>
        </w:p>
        <w:p w14:paraId="2881F6AD" w14:textId="0A8348E1" w:rsidR="00AE5D64" w:rsidRDefault="00D364A4">
          <w:pPr>
            <w:pStyle w:val="TOC1"/>
            <w:tabs>
              <w:tab w:val="right" w:leader="dot" w:pos="9350"/>
            </w:tabs>
            <w:rPr>
              <w:rFonts w:asciiTheme="minorHAnsi" w:eastAsiaTheme="minorEastAsia" w:hAnsiTheme="minorHAnsi"/>
              <w:sz w:val="22"/>
            </w:rPr>
          </w:pPr>
          <w:hyperlink w:anchor="_Toc118541791" w:history="1">
            <w:r w:rsidR="00AE5D64" w:rsidRPr="000853F5">
              <w:rPr>
                <w:rStyle w:val="Hyperlink"/>
              </w:rPr>
              <w:t>5.0 Limitations of Ratio Analysis</w:t>
            </w:r>
            <w:r w:rsidR="00AE5D64">
              <w:rPr>
                <w:webHidden/>
              </w:rPr>
              <w:tab/>
            </w:r>
            <w:r w:rsidR="00AE5D64">
              <w:rPr>
                <w:webHidden/>
              </w:rPr>
              <w:fldChar w:fldCharType="begin"/>
            </w:r>
            <w:r w:rsidR="00AE5D64">
              <w:rPr>
                <w:webHidden/>
              </w:rPr>
              <w:instrText xml:space="preserve"> PAGEREF _Toc118541791 \h </w:instrText>
            </w:r>
            <w:r w:rsidR="00AE5D64">
              <w:rPr>
                <w:webHidden/>
              </w:rPr>
            </w:r>
            <w:r w:rsidR="00AE5D64">
              <w:rPr>
                <w:webHidden/>
              </w:rPr>
              <w:fldChar w:fldCharType="separate"/>
            </w:r>
            <w:r w:rsidR="00AE5D64">
              <w:rPr>
                <w:webHidden/>
              </w:rPr>
              <w:t>14</w:t>
            </w:r>
            <w:r w:rsidR="00AE5D64">
              <w:rPr>
                <w:webHidden/>
              </w:rPr>
              <w:fldChar w:fldCharType="end"/>
            </w:r>
          </w:hyperlink>
        </w:p>
        <w:p w14:paraId="1CE10E10" w14:textId="12B94766" w:rsidR="00AE5D64" w:rsidRDefault="00D364A4">
          <w:pPr>
            <w:pStyle w:val="TOC1"/>
            <w:tabs>
              <w:tab w:val="right" w:leader="dot" w:pos="9350"/>
            </w:tabs>
            <w:rPr>
              <w:rFonts w:asciiTheme="minorHAnsi" w:eastAsiaTheme="minorEastAsia" w:hAnsiTheme="minorHAnsi"/>
              <w:sz w:val="22"/>
            </w:rPr>
          </w:pPr>
          <w:hyperlink w:anchor="_Toc118541792" w:history="1">
            <w:r w:rsidR="00AE5D64" w:rsidRPr="000853F5">
              <w:rPr>
                <w:rStyle w:val="Hyperlink"/>
              </w:rPr>
              <w:t>6.0 The Necessity of Understanding Ratio Analysis</w:t>
            </w:r>
            <w:r w:rsidR="00AE5D64">
              <w:rPr>
                <w:webHidden/>
              </w:rPr>
              <w:tab/>
            </w:r>
            <w:r w:rsidR="00AE5D64">
              <w:rPr>
                <w:webHidden/>
              </w:rPr>
              <w:fldChar w:fldCharType="begin"/>
            </w:r>
            <w:r w:rsidR="00AE5D64">
              <w:rPr>
                <w:webHidden/>
              </w:rPr>
              <w:instrText xml:space="preserve"> PAGEREF _Toc118541792 \h </w:instrText>
            </w:r>
            <w:r w:rsidR="00AE5D64">
              <w:rPr>
                <w:webHidden/>
              </w:rPr>
            </w:r>
            <w:r w:rsidR="00AE5D64">
              <w:rPr>
                <w:webHidden/>
              </w:rPr>
              <w:fldChar w:fldCharType="separate"/>
            </w:r>
            <w:r w:rsidR="00AE5D64">
              <w:rPr>
                <w:webHidden/>
              </w:rPr>
              <w:t>14</w:t>
            </w:r>
            <w:r w:rsidR="00AE5D64">
              <w:rPr>
                <w:webHidden/>
              </w:rPr>
              <w:fldChar w:fldCharType="end"/>
            </w:r>
          </w:hyperlink>
        </w:p>
        <w:p w14:paraId="00E52CAC" w14:textId="0D09C057" w:rsidR="00AE5D64" w:rsidRDefault="00D364A4">
          <w:pPr>
            <w:pStyle w:val="TOC1"/>
            <w:tabs>
              <w:tab w:val="right" w:leader="dot" w:pos="9350"/>
            </w:tabs>
            <w:rPr>
              <w:rFonts w:asciiTheme="minorHAnsi" w:eastAsiaTheme="minorEastAsia" w:hAnsiTheme="minorHAnsi"/>
              <w:sz w:val="22"/>
            </w:rPr>
          </w:pPr>
          <w:hyperlink w:anchor="_Toc118541793" w:history="1">
            <w:r w:rsidR="00AE5D64" w:rsidRPr="000853F5">
              <w:rPr>
                <w:rStyle w:val="Hyperlink"/>
              </w:rPr>
              <w:t>07. Conclusion</w:t>
            </w:r>
            <w:r w:rsidR="00AE5D64">
              <w:rPr>
                <w:webHidden/>
              </w:rPr>
              <w:tab/>
            </w:r>
            <w:r w:rsidR="00AE5D64">
              <w:rPr>
                <w:webHidden/>
              </w:rPr>
              <w:fldChar w:fldCharType="begin"/>
            </w:r>
            <w:r w:rsidR="00AE5D64">
              <w:rPr>
                <w:webHidden/>
              </w:rPr>
              <w:instrText xml:space="preserve"> PAGEREF _Toc118541793 \h </w:instrText>
            </w:r>
            <w:r w:rsidR="00AE5D64">
              <w:rPr>
                <w:webHidden/>
              </w:rPr>
            </w:r>
            <w:r w:rsidR="00AE5D64">
              <w:rPr>
                <w:webHidden/>
              </w:rPr>
              <w:fldChar w:fldCharType="separate"/>
            </w:r>
            <w:r w:rsidR="00AE5D64">
              <w:rPr>
                <w:webHidden/>
              </w:rPr>
              <w:t>15</w:t>
            </w:r>
            <w:r w:rsidR="00AE5D64">
              <w:rPr>
                <w:webHidden/>
              </w:rPr>
              <w:fldChar w:fldCharType="end"/>
            </w:r>
          </w:hyperlink>
        </w:p>
        <w:p w14:paraId="72EF6014" w14:textId="30663EAE" w:rsidR="00AE5D64" w:rsidRDefault="00D364A4">
          <w:pPr>
            <w:pStyle w:val="TOC1"/>
            <w:tabs>
              <w:tab w:val="right" w:leader="dot" w:pos="9350"/>
            </w:tabs>
            <w:rPr>
              <w:rFonts w:asciiTheme="minorHAnsi" w:eastAsiaTheme="minorEastAsia" w:hAnsiTheme="minorHAnsi"/>
              <w:sz w:val="22"/>
            </w:rPr>
          </w:pPr>
          <w:hyperlink w:anchor="_Toc118541794" w:history="1">
            <w:r w:rsidR="00AE5D64" w:rsidRPr="000853F5">
              <w:rPr>
                <w:rStyle w:val="Hyperlink"/>
              </w:rPr>
              <w:t>Reference</w:t>
            </w:r>
            <w:r w:rsidR="00AE5D64">
              <w:rPr>
                <w:webHidden/>
              </w:rPr>
              <w:tab/>
            </w:r>
            <w:r w:rsidR="00AE5D64">
              <w:rPr>
                <w:webHidden/>
              </w:rPr>
              <w:fldChar w:fldCharType="begin"/>
            </w:r>
            <w:r w:rsidR="00AE5D64">
              <w:rPr>
                <w:webHidden/>
              </w:rPr>
              <w:instrText xml:space="preserve"> PAGEREF _Toc118541794 \h </w:instrText>
            </w:r>
            <w:r w:rsidR="00AE5D64">
              <w:rPr>
                <w:webHidden/>
              </w:rPr>
            </w:r>
            <w:r w:rsidR="00AE5D64">
              <w:rPr>
                <w:webHidden/>
              </w:rPr>
              <w:fldChar w:fldCharType="separate"/>
            </w:r>
            <w:r w:rsidR="00AE5D64">
              <w:rPr>
                <w:webHidden/>
              </w:rPr>
              <w:t>16</w:t>
            </w:r>
            <w:r w:rsidR="00AE5D64">
              <w:rPr>
                <w:webHidden/>
              </w:rPr>
              <w:fldChar w:fldCharType="end"/>
            </w:r>
          </w:hyperlink>
        </w:p>
        <w:p w14:paraId="0B70AB41" w14:textId="6445D5CD" w:rsidR="00AE5D64" w:rsidRDefault="00AE5D64">
          <w:r>
            <w:rPr>
              <w:b/>
              <w:bCs/>
            </w:rPr>
            <w:fldChar w:fldCharType="end"/>
          </w:r>
        </w:p>
      </w:sdtContent>
    </w:sdt>
    <w:p w14:paraId="48A9370E" w14:textId="110A7879" w:rsidR="00D6605E" w:rsidRPr="00D6605E" w:rsidRDefault="00D6605E" w:rsidP="00D6605E"/>
    <w:p w14:paraId="1EB1F2B9" w14:textId="77777777" w:rsidR="00D6605E" w:rsidRPr="00D6605E" w:rsidRDefault="00D6605E" w:rsidP="00D6605E">
      <w:pPr>
        <w:keepNext/>
        <w:keepLines/>
        <w:spacing w:before="240" w:after="0"/>
        <w:outlineLvl w:val="0"/>
        <w:rPr>
          <w:rFonts w:eastAsiaTheme="majorEastAsia" w:cstheme="majorBidi"/>
          <w:b/>
          <w:color w:val="2F5496" w:themeColor="accent1" w:themeShade="BF"/>
          <w:sz w:val="28"/>
          <w:szCs w:val="32"/>
        </w:rPr>
      </w:pPr>
      <w:r w:rsidRPr="00D6605E">
        <w:rPr>
          <w:rFonts w:eastAsiaTheme="majorEastAsia" w:cstheme="majorBidi"/>
          <w:b/>
          <w:color w:val="2F5496" w:themeColor="accent1" w:themeShade="BF"/>
          <w:sz w:val="28"/>
          <w:szCs w:val="32"/>
        </w:rPr>
        <w:br w:type="page"/>
      </w:r>
    </w:p>
    <w:p w14:paraId="2BB9667F" w14:textId="77777777" w:rsidR="00D6605E" w:rsidRPr="00D6605E" w:rsidRDefault="00D6605E" w:rsidP="00AE5D64">
      <w:pPr>
        <w:pStyle w:val="Heading1"/>
      </w:pPr>
      <w:bookmarkStart w:id="3" w:name="_Toc118535070"/>
      <w:bookmarkStart w:id="4" w:name="_Toc118541787"/>
      <w:r w:rsidRPr="00D6605E">
        <w:lastRenderedPageBreak/>
        <w:t>1.0 Introduction</w:t>
      </w:r>
      <w:bookmarkEnd w:id="3"/>
      <w:bookmarkEnd w:id="4"/>
    </w:p>
    <w:p w14:paraId="49168913" w14:textId="5A718D39" w:rsidR="00960356" w:rsidRDefault="00960356" w:rsidP="00960356">
      <w:bookmarkStart w:id="5" w:name="_Toc118535071"/>
      <w:r w:rsidRPr="00960356">
        <w:t>Profitability, liquidity, and efficacy may all be gleaned from a company's income statement and balance sheet with the use of ratio analysis, a statistical method (Vaidya, 2019). Although financial ratios are often used, it is crucial to have a solid understanding of their benefits and drawbacks for optimal use. Therefore, it is essential to have an in-depth knowledge of the significance and use of financial ratios (Robinson, 2020). Marriott International, Inc., a hotel firm established in 1927, is the subject of this report's financial analysis. The corporation operates in 139 different countries with 30 different brands and approximately 8,000 different properties (Marriott, 2019). To aid management in assessing financial performance</w:t>
      </w:r>
      <w:r w:rsidR="00FD2467">
        <w:t xml:space="preserve">, </w:t>
      </w:r>
      <w:r w:rsidRPr="00960356">
        <w:t xml:space="preserve">this report provides an analytical comparison of performance between 2020 and 2021. Ratio analysis is discussed </w:t>
      </w:r>
      <w:r>
        <w:t>in-depth</w:t>
      </w:r>
      <w:r w:rsidRPr="00960356">
        <w:t>, along with its benefits and the caveats that management and financial analysts should keep in mind.</w:t>
      </w:r>
    </w:p>
    <w:p w14:paraId="7AF31634" w14:textId="17DD1BB8" w:rsidR="00D6605E" w:rsidRPr="00D6605E" w:rsidRDefault="00D6605E" w:rsidP="00960356">
      <w:pPr>
        <w:pStyle w:val="Heading1"/>
      </w:pPr>
      <w:bookmarkStart w:id="6" w:name="_Toc118541788"/>
      <w:r w:rsidRPr="00D6605E">
        <w:t>2.0 Financial</w:t>
      </w:r>
      <w:r w:rsidR="00960356">
        <w:t xml:space="preserve"> Ratio</w:t>
      </w:r>
      <w:r w:rsidRPr="00D6605E">
        <w:t xml:space="preserve"> Analysis</w:t>
      </w:r>
      <w:bookmarkEnd w:id="5"/>
      <w:bookmarkEnd w:id="6"/>
    </w:p>
    <w:p w14:paraId="6F9CAF66" w14:textId="77777777" w:rsidR="00960356" w:rsidRDefault="00960356" w:rsidP="00D6605E">
      <w:r w:rsidRPr="00960356">
        <w:t>The 2020 and 2021 horizontal analysis compares the balance sheet and income statement of Marriott International.</w:t>
      </w:r>
    </w:p>
    <w:p w14:paraId="7076166D" w14:textId="56EF4D59" w:rsidR="00D6605E" w:rsidRPr="00D6605E" w:rsidRDefault="00D6605E" w:rsidP="00D6605E">
      <w:pPr>
        <w:rPr>
          <w:b/>
          <w:bCs/>
        </w:rPr>
      </w:pPr>
      <w:r w:rsidRPr="00D6605E">
        <w:rPr>
          <w:b/>
          <w:bCs/>
        </w:rPr>
        <w:t xml:space="preserve">2.1 </w:t>
      </w:r>
      <w:r w:rsidR="00960356">
        <w:rPr>
          <w:b/>
          <w:bCs/>
        </w:rPr>
        <w:t xml:space="preserve">Income Statement and Balance Sheet </w:t>
      </w:r>
      <w:r w:rsidRPr="00D6605E">
        <w:rPr>
          <w:b/>
          <w:bCs/>
        </w:rPr>
        <w:t>Horizontal Analysis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11"/>
        <w:gridCol w:w="1419"/>
        <w:gridCol w:w="1330"/>
        <w:gridCol w:w="1595"/>
        <w:gridCol w:w="1297"/>
      </w:tblGrid>
      <w:tr w:rsidR="00D6605E" w:rsidRPr="00D6605E" w14:paraId="34D10C5C" w14:textId="77777777" w:rsidTr="00960356">
        <w:trPr>
          <w:trHeight w:val="315"/>
        </w:trPr>
        <w:tc>
          <w:tcPr>
            <w:tcW w:w="9350" w:type="dxa"/>
            <w:gridSpan w:val="5"/>
            <w:shd w:val="clear" w:color="auto" w:fill="2F5496" w:themeFill="accent1" w:themeFillShade="BF"/>
            <w:noWrap/>
            <w:vAlign w:val="bottom"/>
            <w:hideMark/>
          </w:tcPr>
          <w:p w14:paraId="7D475692" w14:textId="77777777" w:rsidR="00D6605E" w:rsidRPr="00D6605E" w:rsidRDefault="00D6605E" w:rsidP="00D6605E">
            <w:pPr>
              <w:spacing w:after="0"/>
              <w:jc w:val="center"/>
              <w:rPr>
                <w:rFonts w:eastAsia="Times New Roman" w:cs="Arial"/>
                <w:b/>
                <w:bCs/>
                <w:color w:val="FFFFFF"/>
                <w:szCs w:val="24"/>
              </w:rPr>
            </w:pPr>
            <w:r w:rsidRPr="00D6605E">
              <w:rPr>
                <w:rFonts w:eastAsia="Times New Roman" w:cs="Arial"/>
                <w:b/>
                <w:bCs/>
                <w:color w:val="FFFFFF"/>
                <w:szCs w:val="24"/>
              </w:rPr>
              <w:t>Marriott International, INC</w:t>
            </w:r>
          </w:p>
        </w:tc>
      </w:tr>
      <w:tr w:rsidR="00D6605E" w:rsidRPr="00D6605E" w14:paraId="2A0B7DFB" w14:textId="77777777" w:rsidTr="00960356">
        <w:trPr>
          <w:trHeight w:val="315"/>
        </w:trPr>
        <w:tc>
          <w:tcPr>
            <w:tcW w:w="9350" w:type="dxa"/>
            <w:gridSpan w:val="5"/>
            <w:shd w:val="clear" w:color="auto" w:fill="D9E2F3" w:themeFill="accent1" w:themeFillTint="33"/>
            <w:noWrap/>
            <w:vAlign w:val="bottom"/>
            <w:hideMark/>
          </w:tcPr>
          <w:p w14:paraId="52D3FFDC" w14:textId="77777777" w:rsidR="00D6605E" w:rsidRPr="00D6605E" w:rsidRDefault="00D6605E" w:rsidP="00D6605E">
            <w:pPr>
              <w:spacing w:after="0"/>
              <w:jc w:val="center"/>
              <w:rPr>
                <w:rFonts w:eastAsia="Times New Roman" w:cs="Arial"/>
                <w:b/>
                <w:bCs/>
                <w:color w:val="000000"/>
                <w:szCs w:val="24"/>
              </w:rPr>
            </w:pPr>
            <w:r w:rsidRPr="00D6605E">
              <w:rPr>
                <w:rFonts w:eastAsia="Times New Roman" w:cs="Arial"/>
                <w:b/>
                <w:bCs/>
                <w:color w:val="000000"/>
                <w:szCs w:val="24"/>
              </w:rPr>
              <w:t>Income Statement</w:t>
            </w:r>
          </w:p>
        </w:tc>
      </w:tr>
      <w:tr w:rsidR="00D6605E" w:rsidRPr="00D6605E" w14:paraId="4617324A" w14:textId="77777777" w:rsidTr="00960356">
        <w:trPr>
          <w:trHeight w:val="315"/>
        </w:trPr>
        <w:tc>
          <w:tcPr>
            <w:tcW w:w="3711" w:type="dxa"/>
            <w:shd w:val="clear" w:color="auto" w:fill="auto"/>
            <w:noWrap/>
            <w:vAlign w:val="bottom"/>
            <w:hideMark/>
          </w:tcPr>
          <w:p w14:paraId="15ECBE9C" w14:textId="2DAD68C5" w:rsidR="00D6605E" w:rsidRPr="00D6605E" w:rsidRDefault="00D6605E" w:rsidP="00D6605E">
            <w:pPr>
              <w:spacing w:after="0"/>
              <w:rPr>
                <w:rFonts w:eastAsia="Times New Roman" w:cs="Arial"/>
                <w:b/>
                <w:bCs/>
                <w:color w:val="000000"/>
                <w:szCs w:val="24"/>
              </w:rPr>
            </w:pPr>
            <w:r w:rsidRPr="00D6605E">
              <w:rPr>
                <w:rFonts w:eastAsia="Times New Roman" w:cs="Arial"/>
                <w:b/>
                <w:bCs/>
                <w:color w:val="000000"/>
                <w:szCs w:val="24"/>
              </w:rPr>
              <w:t> </w:t>
            </w:r>
            <w:r w:rsidR="00960356">
              <w:rPr>
                <w:rFonts w:eastAsia="Times New Roman" w:cs="Arial"/>
                <w:b/>
                <w:bCs/>
                <w:color w:val="000000"/>
                <w:szCs w:val="24"/>
              </w:rPr>
              <w:t>Particulars</w:t>
            </w:r>
          </w:p>
        </w:tc>
        <w:tc>
          <w:tcPr>
            <w:tcW w:w="1419" w:type="dxa"/>
            <w:tcBorders>
              <w:bottom w:val="single" w:sz="4" w:space="0" w:color="auto"/>
            </w:tcBorders>
            <w:shd w:val="clear" w:color="auto" w:fill="auto"/>
            <w:noWrap/>
            <w:vAlign w:val="center"/>
            <w:hideMark/>
          </w:tcPr>
          <w:p w14:paraId="36591188" w14:textId="0529DBCC" w:rsidR="00D6605E" w:rsidRPr="00D6605E" w:rsidRDefault="00D6605E" w:rsidP="00D6605E">
            <w:pPr>
              <w:jc w:val="center"/>
              <w:rPr>
                <w:rFonts w:cs="Arial"/>
                <w:b/>
                <w:bCs/>
                <w:szCs w:val="24"/>
              </w:rPr>
            </w:pPr>
            <w:r w:rsidRPr="00D6605E">
              <w:rPr>
                <w:rFonts w:cs="Arial"/>
                <w:b/>
                <w:bCs/>
                <w:szCs w:val="24"/>
              </w:rPr>
              <w:t>202</w:t>
            </w:r>
            <w:r w:rsidR="00960356">
              <w:rPr>
                <w:rFonts w:cs="Arial"/>
                <w:b/>
                <w:bCs/>
                <w:szCs w:val="24"/>
              </w:rPr>
              <w:t>0</w:t>
            </w:r>
            <w:r w:rsidRPr="00D6605E">
              <w:rPr>
                <w:rFonts w:cs="Arial"/>
                <w:b/>
                <w:bCs/>
                <w:szCs w:val="24"/>
              </w:rPr>
              <w:t xml:space="preserve"> ($Million)</w:t>
            </w:r>
          </w:p>
        </w:tc>
        <w:tc>
          <w:tcPr>
            <w:tcW w:w="1330" w:type="dxa"/>
            <w:tcBorders>
              <w:bottom w:val="single" w:sz="4" w:space="0" w:color="auto"/>
            </w:tcBorders>
            <w:shd w:val="clear" w:color="auto" w:fill="auto"/>
            <w:noWrap/>
            <w:vAlign w:val="center"/>
            <w:hideMark/>
          </w:tcPr>
          <w:p w14:paraId="1202645A" w14:textId="3F51F3EA" w:rsidR="00D6605E" w:rsidRPr="00D6605E" w:rsidRDefault="00D6605E" w:rsidP="00D6605E">
            <w:pPr>
              <w:jc w:val="center"/>
              <w:rPr>
                <w:rFonts w:cs="Arial"/>
                <w:b/>
                <w:bCs/>
                <w:szCs w:val="24"/>
              </w:rPr>
            </w:pPr>
            <w:r w:rsidRPr="00D6605E">
              <w:rPr>
                <w:rFonts w:cs="Arial"/>
                <w:b/>
                <w:bCs/>
                <w:szCs w:val="24"/>
              </w:rPr>
              <w:t>202</w:t>
            </w:r>
            <w:r w:rsidR="00960356">
              <w:rPr>
                <w:rFonts w:cs="Arial"/>
                <w:b/>
                <w:bCs/>
                <w:szCs w:val="24"/>
              </w:rPr>
              <w:t>1</w:t>
            </w:r>
            <w:r w:rsidRPr="00D6605E">
              <w:rPr>
                <w:rFonts w:cs="Arial"/>
                <w:b/>
                <w:bCs/>
                <w:szCs w:val="24"/>
              </w:rPr>
              <w:t xml:space="preserve"> ($Million)</w:t>
            </w:r>
          </w:p>
        </w:tc>
        <w:tc>
          <w:tcPr>
            <w:tcW w:w="1595" w:type="dxa"/>
            <w:tcBorders>
              <w:bottom w:val="single" w:sz="4" w:space="0" w:color="auto"/>
            </w:tcBorders>
            <w:shd w:val="clear" w:color="auto" w:fill="auto"/>
            <w:noWrap/>
            <w:vAlign w:val="center"/>
            <w:hideMark/>
          </w:tcPr>
          <w:p w14:paraId="00D0914A" w14:textId="77777777" w:rsidR="00D6605E" w:rsidRPr="00D6605E" w:rsidRDefault="00D6605E" w:rsidP="00D6605E">
            <w:pPr>
              <w:jc w:val="center"/>
              <w:rPr>
                <w:rFonts w:cs="Arial"/>
                <w:b/>
                <w:bCs/>
                <w:szCs w:val="24"/>
              </w:rPr>
            </w:pPr>
            <w:r w:rsidRPr="00D6605E">
              <w:rPr>
                <w:rFonts w:cs="Arial"/>
                <w:b/>
                <w:bCs/>
                <w:szCs w:val="24"/>
              </w:rPr>
              <w:t>Change ($Million)</w:t>
            </w:r>
          </w:p>
        </w:tc>
        <w:tc>
          <w:tcPr>
            <w:tcW w:w="1295" w:type="dxa"/>
            <w:tcBorders>
              <w:bottom w:val="single" w:sz="4" w:space="0" w:color="auto"/>
            </w:tcBorders>
            <w:shd w:val="clear" w:color="auto" w:fill="auto"/>
            <w:noWrap/>
            <w:vAlign w:val="center"/>
            <w:hideMark/>
          </w:tcPr>
          <w:p w14:paraId="5C626706" w14:textId="77777777" w:rsidR="00D6605E" w:rsidRPr="00D6605E" w:rsidRDefault="00D6605E" w:rsidP="00D6605E">
            <w:pPr>
              <w:jc w:val="center"/>
              <w:rPr>
                <w:rFonts w:cs="Arial"/>
                <w:b/>
                <w:bCs/>
                <w:szCs w:val="24"/>
              </w:rPr>
            </w:pPr>
            <w:r w:rsidRPr="00D6605E">
              <w:rPr>
                <w:rFonts w:cs="Arial"/>
                <w:b/>
                <w:bCs/>
                <w:szCs w:val="24"/>
              </w:rPr>
              <w:t>% Change</w:t>
            </w:r>
          </w:p>
        </w:tc>
      </w:tr>
      <w:tr w:rsidR="00960356" w:rsidRPr="00D6605E" w14:paraId="41557DBA" w14:textId="77777777" w:rsidTr="00960356">
        <w:trPr>
          <w:trHeight w:val="432"/>
        </w:trPr>
        <w:tc>
          <w:tcPr>
            <w:tcW w:w="3711" w:type="dxa"/>
            <w:shd w:val="clear" w:color="auto" w:fill="auto"/>
            <w:noWrap/>
            <w:vAlign w:val="center"/>
            <w:hideMark/>
          </w:tcPr>
          <w:p w14:paraId="02F10F69" w14:textId="77777777" w:rsidR="00960356" w:rsidRPr="00D6605E" w:rsidRDefault="00960356" w:rsidP="00960356">
            <w:pPr>
              <w:spacing w:after="0"/>
              <w:jc w:val="left"/>
              <w:rPr>
                <w:rFonts w:eastAsia="Times New Roman" w:cs="Arial"/>
                <w:b/>
                <w:bCs/>
                <w:color w:val="000000"/>
                <w:szCs w:val="24"/>
              </w:rPr>
            </w:pPr>
            <w:r w:rsidRPr="00D6605E">
              <w:rPr>
                <w:rFonts w:eastAsia="Times New Roman" w:cs="Arial"/>
                <w:b/>
                <w:bCs/>
                <w:color w:val="000000"/>
                <w:szCs w:val="24"/>
              </w:rPr>
              <w:t>Sales</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4E8F067" w14:textId="4217C386" w:rsidR="00960356" w:rsidRPr="00D6605E" w:rsidRDefault="00960356" w:rsidP="00960356">
            <w:pPr>
              <w:spacing w:after="0"/>
              <w:jc w:val="center"/>
              <w:rPr>
                <w:rFonts w:eastAsia="Times New Roman" w:cs="Arial"/>
                <w:color w:val="000000"/>
                <w:szCs w:val="24"/>
              </w:rPr>
            </w:pPr>
            <w:r w:rsidRPr="00DB794B">
              <w:rPr>
                <w:rFonts w:cs="Arial"/>
                <w:color w:val="000000"/>
                <w:szCs w:val="24"/>
              </w:rPr>
              <w:t>10,571</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275BA7A4" w14:textId="2D086CCB" w:rsidR="00960356" w:rsidRPr="00D6605E" w:rsidRDefault="00960356" w:rsidP="00960356">
            <w:pPr>
              <w:spacing w:after="0"/>
              <w:jc w:val="center"/>
              <w:rPr>
                <w:rFonts w:eastAsia="Times New Roman" w:cs="Arial"/>
                <w:color w:val="000000"/>
                <w:szCs w:val="24"/>
              </w:rPr>
            </w:pPr>
            <w:r w:rsidRPr="00DB794B">
              <w:rPr>
                <w:rFonts w:cs="Arial"/>
                <w:color w:val="000000"/>
                <w:szCs w:val="24"/>
              </w:rPr>
              <w:t>13,857</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23B11AD"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3,286</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F21DE2F"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31.09%</w:t>
            </w:r>
          </w:p>
        </w:tc>
      </w:tr>
      <w:tr w:rsidR="00960356" w:rsidRPr="00D6605E" w14:paraId="65FBDA30" w14:textId="77777777" w:rsidTr="00960356">
        <w:trPr>
          <w:trHeight w:val="432"/>
        </w:trPr>
        <w:tc>
          <w:tcPr>
            <w:tcW w:w="3711" w:type="dxa"/>
            <w:shd w:val="clear" w:color="auto" w:fill="auto"/>
            <w:noWrap/>
            <w:vAlign w:val="center"/>
            <w:hideMark/>
          </w:tcPr>
          <w:p w14:paraId="07C53273" w14:textId="77777777" w:rsidR="00960356" w:rsidRPr="00D6605E" w:rsidRDefault="00960356" w:rsidP="00960356">
            <w:pPr>
              <w:spacing w:after="0"/>
              <w:jc w:val="left"/>
              <w:rPr>
                <w:rFonts w:eastAsia="Times New Roman" w:cs="Arial"/>
                <w:color w:val="000000"/>
                <w:szCs w:val="24"/>
              </w:rPr>
            </w:pPr>
            <w:r w:rsidRPr="00D6605E">
              <w:rPr>
                <w:rFonts w:eastAsia="Times New Roman" w:cs="Arial"/>
                <w:color w:val="000000"/>
                <w:szCs w:val="24"/>
              </w:rPr>
              <w:t>Cost of Goods Sold</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32D0C24" w14:textId="460D30DC" w:rsidR="00960356" w:rsidRPr="00D6605E" w:rsidRDefault="00960356" w:rsidP="00960356">
            <w:pPr>
              <w:spacing w:after="0"/>
              <w:jc w:val="center"/>
              <w:rPr>
                <w:rFonts w:eastAsia="Times New Roman" w:cs="Arial"/>
                <w:color w:val="000000"/>
                <w:szCs w:val="24"/>
              </w:rPr>
            </w:pPr>
            <w:r w:rsidRPr="00DB794B">
              <w:rPr>
                <w:rFonts w:cs="Arial"/>
                <w:color w:val="000000"/>
                <w:szCs w:val="24"/>
              </w:rPr>
              <w:t>9,379</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62379AEA" w14:textId="08D79E31" w:rsidR="00960356" w:rsidRPr="00D6605E" w:rsidRDefault="00960356" w:rsidP="00960356">
            <w:pPr>
              <w:spacing w:after="0"/>
              <w:jc w:val="center"/>
              <w:rPr>
                <w:rFonts w:eastAsia="Times New Roman" w:cs="Arial"/>
                <w:color w:val="000000"/>
                <w:szCs w:val="24"/>
              </w:rPr>
            </w:pPr>
            <w:r w:rsidRPr="00DB794B">
              <w:rPr>
                <w:rFonts w:cs="Arial"/>
                <w:color w:val="000000"/>
                <w:szCs w:val="24"/>
              </w:rPr>
              <w:t>11,064</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A3EFB0C"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1,685</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D31AE63"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17.97%</w:t>
            </w:r>
          </w:p>
        </w:tc>
      </w:tr>
      <w:tr w:rsidR="00960356" w:rsidRPr="00D6605E" w14:paraId="5299816C" w14:textId="77777777" w:rsidTr="00960356">
        <w:trPr>
          <w:trHeight w:val="432"/>
        </w:trPr>
        <w:tc>
          <w:tcPr>
            <w:tcW w:w="3711" w:type="dxa"/>
            <w:shd w:val="clear" w:color="auto" w:fill="auto"/>
            <w:noWrap/>
            <w:vAlign w:val="center"/>
            <w:hideMark/>
          </w:tcPr>
          <w:p w14:paraId="09EE558F" w14:textId="77777777" w:rsidR="00960356" w:rsidRPr="00D6605E" w:rsidRDefault="00960356" w:rsidP="00960356">
            <w:pPr>
              <w:spacing w:after="0"/>
              <w:jc w:val="left"/>
              <w:rPr>
                <w:rFonts w:eastAsia="Times New Roman" w:cs="Arial"/>
                <w:b/>
                <w:bCs/>
                <w:color w:val="000000"/>
                <w:szCs w:val="24"/>
              </w:rPr>
            </w:pPr>
            <w:r w:rsidRPr="00D6605E">
              <w:rPr>
                <w:rFonts w:eastAsia="Times New Roman" w:cs="Arial"/>
                <w:b/>
                <w:bCs/>
                <w:color w:val="000000"/>
                <w:szCs w:val="24"/>
              </w:rPr>
              <w:t>Gross Profit</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754F491" w14:textId="53F04F66" w:rsidR="00960356" w:rsidRPr="00D6605E" w:rsidRDefault="00960356" w:rsidP="00960356">
            <w:pPr>
              <w:spacing w:after="0"/>
              <w:jc w:val="center"/>
              <w:rPr>
                <w:rFonts w:eastAsia="Times New Roman" w:cs="Arial"/>
                <w:color w:val="000000"/>
                <w:szCs w:val="24"/>
              </w:rPr>
            </w:pPr>
            <w:r w:rsidRPr="00DB794B">
              <w:rPr>
                <w:rFonts w:cs="Arial"/>
                <w:color w:val="000000"/>
                <w:szCs w:val="24"/>
              </w:rPr>
              <w:t>1,192</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31371932" w14:textId="6E208065" w:rsidR="00960356" w:rsidRPr="00D6605E" w:rsidRDefault="00960356" w:rsidP="00960356">
            <w:pPr>
              <w:spacing w:after="0"/>
              <w:jc w:val="center"/>
              <w:rPr>
                <w:rFonts w:eastAsia="Times New Roman" w:cs="Arial"/>
                <w:color w:val="000000"/>
                <w:szCs w:val="24"/>
              </w:rPr>
            </w:pPr>
            <w:r w:rsidRPr="00DB794B">
              <w:rPr>
                <w:rFonts w:cs="Arial"/>
                <w:color w:val="000000"/>
                <w:szCs w:val="24"/>
              </w:rPr>
              <w:t>2,793</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9CE67AF"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1,601</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E6C7A37"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134.31%</w:t>
            </w:r>
          </w:p>
        </w:tc>
      </w:tr>
      <w:tr w:rsidR="00960356" w:rsidRPr="00D6605E" w14:paraId="3837F439" w14:textId="77777777" w:rsidTr="00960356">
        <w:trPr>
          <w:trHeight w:val="432"/>
        </w:trPr>
        <w:tc>
          <w:tcPr>
            <w:tcW w:w="3711" w:type="dxa"/>
            <w:shd w:val="clear" w:color="auto" w:fill="auto"/>
            <w:noWrap/>
            <w:vAlign w:val="center"/>
            <w:hideMark/>
          </w:tcPr>
          <w:p w14:paraId="6606E65F" w14:textId="77777777" w:rsidR="00960356" w:rsidRPr="00D6605E" w:rsidRDefault="00960356" w:rsidP="00960356">
            <w:pPr>
              <w:spacing w:after="0"/>
              <w:jc w:val="left"/>
              <w:rPr>
                <w:rFonts w:eastAsia="Times New Roman" w:cs="Arial"/>
                <w:color w:val="000000"/>
                <w:szCs w:val="24"/>
              </w:rPr>
            </w:pPr>
            <w:r w:rsidRPr="00D6605E">
              <w:rPr>
                <w:rFonts w:eastAsia="Times New Roman" w:cs="Arial"/>
                <w:color w:val="000000"/>
                <w:szCs w:val="24"/>
              </w:rPr>
              <w:t>Operating Expenses</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1C0B80F" w14:textId="6790D70A" w:rsidR="00960356" w:rsidRPr="00D6605E" w:rsidRDefault="00960356" w:rsidP="00960356">
            <w:pPr>
              <w:spacing w:after="0"/>
              <w:jc w:val="center"/>
              <w:rPr>
                <w:rFonts w:eastAsia="Times New Roman" w:cs="Arial"/>
                <w:color w:val="000000"/>
                <w:szCs w:val="24"/>
              </w:rPr>
            </w:pPr>
            <w:r w:rsidRPr="00DB794B">
              <w:rPr>
                <w:rFonts w:cs="Arial"/>
                <w:color w:val="000000"/>
                <w:szCs w:val="24"/>
              </w:rPr>
              <w:t>1,108</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4961E05B" w14:textId="1344ED4F" w:rsidR="00960356" w:rsidRPr="00D6605E" w:rsidRDefault="00960356" w:rsidP="00960356">
            <w:pPr>
              <w:spacing w:after="0"/>
              <w:jc w:val="center"/>
              <w:rPr>
                <w:rFonts w:eastAsia="Times New Roman" w:cs="Arial"/>
                <w:color w:val="000000"/>
                <w:szCs w:val="24"/>
              </w:rPr>
            </w:pPr>
            <w:r w:rsidRPr="00DB794B">
              <w:rPr>
                <w:rFonts w:cs="Arial"/>
                <w:color w:val="000000"/>
                <w:szCs w:val="24"/>
              </w:rPr>
              <w:t>1,043</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AE8D2C8"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-65</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0EB26AF"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-5.87%</w:t>
            </w:r>
          </w:p>
        </w:tc>
      </w:tr>
      <w:tr w:rsidR="00960356" w:rsidRPr="00D6605E" w14:paraId="51D8925D" w14:textId="77777777" w:rsidTr="00960356">
        <w:trPr>
          <w:trHeight w:val="432"/>
        </w:trPr>
        <w:tc>
          <w:tcPr>
            <w:tcW w:w="3711" w:type="dxa"/>
            <w:shd w:val="clear" w:color="auto" w:fill="auto"/>
            <w:noWrap/>
            <w:vAlign w:val="center"/>
            <w:hideMark/>
          </w:tcPr>
          <w:p w14:paraId="55A0F0B8" w14:textId="77777777" w:rsidR="00960356" w:rsidRPr="00D6605E" w:rsidRDefault="00960356" w:rsidP="00960356">
            <w:pPr>
              <w:spacing w:after="0"/>
              <w:jc w:val="left"/>
              <w:rPr>
                <w:rFonts w:eastAsia="Times New Roman" w:cs="Arial"/>
                <w:color w:val="000000"/>
                <w:szCs w:val="24"/>
              </w:rPr>
            </w:pPr>
            <w:r w:rsidRPr="00D6605E">
              <w:rPr>
                <w:rFonts w:eastAsia="Times New Roman" w:cs="Arial"/>
                <w:color w:val="000000"/>
                <w:szCs w:val="24"/>
              </w:rPr>
              <w:t>Operating Income</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A3F9DA9" w14:textId="3EB915AC" w:rsidR="00960356" w:rsidRPr="00D6605E" w:rsidRDefault="00960356" w:rsidP="00960356">
            <w:pPr>
              <w:spacing w:after="0"/>
              <w:jc w:val="center"/>
              <w:rPr>
                <w:rFonts w:eastAsia="Times New Roman" w:cs="Arial"/>
                <w:color w:val="000000"/>
                <w:szCs w:val="24"/>
              </w:rPr>
            </w:pPr>
            <w:r w:rsidRPr="00DB794B">
              <w:rPr>
                <w:rFonts w:cs="Arial"/>
                <w:color w:val="000000"/>
                <w:szCs w:val="24"/>
              </w:rPr>
              <w:t>84</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15901591" w14:textId="70906FFF" w:rsidR="00960356" w:rsidRPr="00D6605E" w:rsidRDefault="00960356" w:rsidP="00960356">
            <w:pPr>
              <w:spacing w:after="0"/>
              <w:jc w:val="center"/>
              <w:rPr>
                <w:rFonts w:eastAsia="Times New Roman" w:cs="Arial"/>
                <w:color w:val="000000"/>
                <w:szCs w:val="24"/>
              </w:rPr>
            </w:pPr>
            <w:r w:rsidRPr="00DB794B">
              <w:rPr>
                <w:rFonts w:cs="Arial"/>
                <w:color w:val="000000"/>
                <w:szCs w:val="24"/>
              </w:rPr>
              <w:t>1,750</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39825DB"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1,666</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EF115A8"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1983.33%</w:t>
            </w:r>
          </w:p>
        </w:tc>
      </w:tr>
      <w:tr w:rsidR="00960356" w:rsidRPr="00D6605E" w14:paraId="2790D11A" w14:textId="77777777" w:rsidTr="00960356">
        <w:trPr>
          <w:trHeight w:val="432"/>
        </w:trPr>
        <w:tc>
          <w:tcPr>
            <w:tcW w:w="3711" w:type="dxa"/>
            <w:shd w:val="clear" w:color="auto" w:fill="auto"/>
            <w:noWrap/>
            <w:vAlign w:val="center"/>
            <w:hideMark/>
          </w:tcPr>
          <w:p w14:paraId="7C73ECCC" w14:textId="77777777" w:rsidR="00960356" w:rsidRPr="00D6605E" w:rsidRDefault="00960356" w:rsidP="00960356">
            <w:pPr>
              <w:spacing w:after="0"/>
              <w:jc w:val="left"/>
              <w:rPr>
                <w:rFonts w:eastAsia="Times New Roman" w:cs="Arial"/>
                <w:b/>
                <w:bCs/>
                <w:color w:val="000000"/>
                <w:szCs w:val="24"/>
              </w:rPr>
            </w:pPr>
            <w:r w:rsidRPr="00D6605E">
              <w:rPr>
                <w:rFonts w:eastAsia="Times New Roman" w:cs="Arial"/>
                <w:b/>
                <w:bCs/>
                <w:color w:val="000000"/>
                <w:szCs w:val="24"/>
              </w:rPr>
              <w:t>Interest Expense</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6504759" w14:textId="43DED160" w:rsidR="00960356" w:rsidRPr="00D6605E" w:rsidRDefault="00960356" w:rsidP="00960356">
            <w:pPr>
              <w:spacing w:after="0"/>
              <w:jc w:val="center"/>
              <w:rPr>
                <w:rFonts w:eastAsia="Times New Roman" w:cs="Arial"/>
                <w:color w:val="000000"/>
                <w:szCs w:val="24"/>
              </w:rPr>
            </w:pPr>
            <w:r w:rsidRPr="00DB794B">
              <w:rPr>
                <w:rFonts w:cs="Arial"/>
                <w:color w:val="000000"/>
                <w:szCs w:val="24"/>
              </w:rPr>
              <w:t>445</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50CDD0E9" w14:textId="6A6257A5" w:rsidR="00960356" w:rsidRPr="00D6605E" w:rsidRDefault="00960356" w:rsidP="00960356">
            <w:pPr>
              <w:spacing w:after="0"/>
              <w:jc w:val="center"/>
              <w:rPr>
                <w:rFonts w:eastAsia="Times New Roman" w:cs="Arial"/>
                <w:color w:val="000000"/>
                <w:szCs w:val="24"/>
              </w:rPr>
            </w:pPr>
            <w:r w:rsidRPr="00DB794B">
              <w:rPr>
                <w:rFonts w:cs="Arial"/>
                <w:color w:val="000000"/>
                <w:szCs w:val="24"/>
              </w:rPr>
              <w:t>420</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2D4619A"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-25</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8B0F417"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-5.62%</w:t>
            </w:r>
          </w:p>
        </w:tc>
      </w:tr>
      <w:tr w:rsidR="00960356" w:rsidRPr="00D6605E" w14:paraId="3D682982" w14:textId="77777777" w:rsidTr="00960356">
        <w:trPr>
          <w:trHeight w:val="432"/>
        </w:trPr>
        <w:tc>
          <w:tcPr>
            <w:tcW w:w="3711" w:type="dxa"/>
            <w:shd w:val="clear" w:color="auto" w:fill="auto"/>
            <w:noWrap/>
            <w:vAlign w:val="center"/>
            <w:hideMark/>
          </w:tcPr>
          <w:p w14:paraId="79B2AC82" w14:textId="77777777" w:rsidR="00960356" w:rsidRPr="00D6605E" w:rsidRDefault="00960356" w:rsidP="00960356">
            <w:pPr>
              <w:spacing w:after="0"/>
              <w:jc w:val="left"/>
              <w:rPr>
                <w:rFonts w:eastAsia="Times New Roman" w:cs="Arial"/>
                <w:color w:val="000000"/>
                <w:szCs w:val="24"/>
              </w:rPr>
            </w:pPr>
            <w:r w:rsidRPr="00D6605E">
              <w:rPr>
                <w:rFonts w:eastAsia="Times New Roman" w:cs="Arial"/>
                <w:color w:val="000000"/>
                <w:szCs w:val="24"/>
              </w:rPr>
              <w:t xml:space="preserve">Total Other income/ (expenses) </w:t>
            </w:r>
            <w:r w:rsidRPr="00D6605E">
              <w:rPr>
                <w:rFonts w:eastAsia="Times New Roman" w:cs="Arial"/>
                <w:color w:val="000000"/>
                <w:szCs w:val="24"/>
              </w:rPr>
              <w:lastRenderedPageBreak/>
              <w:t>net</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690DDCD" w14:textId="3725EF4F" w:rsidR="00960356" w:rsidRPr="00D6605E" w:rsidRDefault="00960356" w:rsidP="00960356">
            <w:pPr>
              <w:spacing w:after="0"/>
              <w:jc w:val="center"/>
              <w:rPr>
                <w:rFonts w:eastAsia="Times New Roman" w:cs="Arial"/>
                <w:color w:val="000000"/>
                <w:szCs w:val="24"/>
              </w:rPr>
            </w:pPr>
            <w:r w:rsidRPr="00DB794B">
              <w:rPr>
                <w:rFonts w:cs="Arial"/>
                <w:color w:val="000000"/>
                <w:szCs w:val="24"/>
              </w:rPr>
              <w:lastRenderedPageBreak/>
              <w:t>-105</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0E99F4F1" w14:textId="18D1E0C6" w:rsidR="00960356" w:rsidRPr="00D6605E" w:rsidRDefault="00960356" w:rsidP="00960356">
            <w:pPr>
              <w:spacing w:after="0"/>
              <w:jc w:val="center"/>
              <w:rPr>
                <w:rFonts w:eastAsia="Times New Roman" w:cs="Arial"/>
                <w:color w:val="000000"/>
                <w:szCs w:val="24"/>
              </w:rPr>
            </w:pPr>
            <w:r w:rsidRPr="00DB794B">
              <w:rPr>
                <w:rFonts w:cs="Arial"/>
                <w:color w:val="000000"/>
                <w:szCs w:val="24"/>
              </w:rPr>
              <w:t>150</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3567181"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255</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64D454B"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242.86%</w:t>
            </w:r>
          </w:p>
        </w:tc>
      </w:tr>
      <w:tr w:rsidR="00960356" w:rsidRPr="00D6605E" w14:paraId="37CF7F38" w14:textId="77777777" w:rsidTr="00960356">
        <w:trPr>
          <w:trHeight w:val="432"/>
        </w:trPr>
        <w:tc>
          <w:tcPr>
            <w:tcW w:w="3711" w:type="dxa"/>
            <w:shd w:val="clear" w:color="auto" w:fill="auto"/>
            <w:noWrap/>
            <w:vAlign w:val="center"/>
            <w:hideMark/>
          </w:tcPr>
          <w:p w14:paraId="600D4335" w14:textId="77777777" w:rsidR="00960356" w:rsidRPr="00D6605E" w:rsidRDefault="00960356" w:rsidP="00960356">
            <w:pPr>
              <w:spacing w:after="0"/>
              <w:jc w:val="left"/>
              <w:rPr>
                <w:rFonts w:eastAsia="Times New Roman" w:cs="Arial"/>
                <w:b/>
                <w:bCs/>
                <w:color w:val="000000"/>
                <w:szCs w:val="24"/>
              </w:rPr>
            </w:pPr>
            <w:r w:rsidRPr="00D6605E">
              <w:rPr>
                <w:rFonts w:eastAsia="Times New Roman" w:cs="Arial"/>
                <w:b/>
                <w:bCs/>
                <w:color w:val="000000"/>
                <w:szCs w:val="24"/>
              </w:rPr>
              <w:lastRenderedPageBreak/>
              <w:t>Income Before Interest and Taxes</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7D82011" w14:textId="3CF3911D" w:rsidR="00960356" w:rsidRPr="00D6605E" w:rsidRDefault="00960356" w:rsidP="00960356">
            <w:pPr>
              <w:spacing w:after="0"/>
              <w:jc w:val="center"/>
              <w:rPr>
                <w:rFonts w:eastAsia="Times New Roman" w:cs="Arial"/>
                <w:color w:val="000000"/>
                <w:szCs w:val="24"/>
              </w:rPr>
            </w:pPr>
            <w:r w:rsidRPr="00DB794B">
              <w:rPr>
                <w:rFonts w:cs="Arial"/>
                <w:color w:val="000000"/>
                <w:szCs w:val="24"/>
              </w:rPr>
              <w:t>-21</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395327E2" w14:textId="573BD6FB" w:rsidR="00960356" w:rsidRPr="00D6605E" w:rsidRDefault="00960356" w:rsidP="00960356">
            <w:pPr>
              <w:spacing w:after="0"/>
              <w:jc w:val="center"/>
              <w:rPr>
                <w:rFonts w:eastAsia="Times New Roman" w:cs="Arial"/>
                <w:color w:val="000000"/>
                <w:szCs w:val="24"/>
              </w:rPr>
            </w:pPr>
            <w:r w:rsidRPr="00DB794B">
              <w:rPr>
                <w:rFonts w:cs="Arial"/>
                <w:color w:val="000000"/>
                <w:szCs w:val="24"/>
              </w:rPr>
              <w:t>1,900</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62DDEBF"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1,921</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8C71076"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9147.62%</w:t>
            </w:r>
          </w:p>
        </w:tc>
      </w:tr>
      <w:tr w:rsidR="00960356" w:rsidRPr="00D6605E" w14:paraId="08D89151" w14:textId="77777777" w:rsidTr="00960356">
        <w:trPr>
          <w:trHeight w:val="432"/>
        </w:trPr>
        <w:tc>
          <w:tcPr>
            <w:tcW w:w="3711" w:type="dxa"/>
            <w:shd w:val="clear" w:color="auto" w:fill="auto"/>
            <w:noWrap/>
            <w:vAlign w:val="center"/>
            <w:hideMark/>
          </w:tcPr>
          <w:p w14:paraId="2E5066F4" w14:textId="77777777" w:rsidR="00960356" w:rsidRPr="00D6605E" w:rsidRDefault="00960356" w:rsidP="00960356">
            <w:pPr>
              <w:spacing w:after="0"/>
              <w:jc w:val="left"/>
              <w:rPr>
                <w:rFonts w:eastAsia="Times New Roman" w:cs="Arial"/>
                <w:color w:val="000000"/>
                <w:szCs w:val="24"/>
              </w:rPr>
            </w:pPr>
            <w:r w:rsidRPr="00D6605E">
              <w:rPr>
                <w:rFonts w:eastAsia="Times New Roman" w:cs="Arial"/>
                <w:color w:val="000000"/>
                <w:szCs w:val="24"/>
              </w:rPr>
              <w:t>Profit Before Taxes</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D8A6FC9" w14:textId="5B916637" w:rsidR="00960356" w:rsidRPr="00D6605E" w:rsidRDefault="00960356" w:rsidP="00960356">
            <w:pPr>
              <w:spacing w:after="0"/>
              <w:jc w:val="center"/>
              <w:rPr>
                <w:rFonts w:eastAsia="Times New Roman" w:cs="Arial"/>
                <w:color w:val="000000"/>
                <w:szCs w:val="24"/>
              </w:rPr>
            </w:pPr>
            <w:r w:rsidRPr="00DB794B">
              <w:rPr>
                <w:rFonts w:cs="Arial"/>
                <w:color w:val="000000"/>
                <w:szCs w:val="24"/>
              </w:rPr>
              <w:t>-466</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22EF675C" w14:textId="505EE955" w:rsidR="00960356" w:rsidRPr="00D6605E" w:rsidRDefault="00960356" w:rsidP="00960356">
            <w:pPr>
              <w:spacing w:after="0"/>
              <w:jc w:val="center"/>
              <w:rPr>
                <w:rFonts w:eastAsia="Times New Roman" w:cs="Arial"/>
                <w:color w:val="000000"/>
                <w:szCs w:val="24"/>
              </w:rPr>
            </w:pPr>
            <w:r w:rsidRPr="00DB794B">
              <w:rPr>
                <w:rFonts w:cs="Arial"/>
                <w:color w:val="000000"/>
                <w:szCs w:val="24"/>
              </w:rPr>
              <w:t>1,180</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55CF921"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1,646</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ACE567B"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353.22%</w:t>
            </w:r>
          </w:p>
        </w:tc>
      </w:tr>
      <w:tr w:rsidR="00960356" w:rsidRPr="00D6605E" w14:paraId="2C8E04E3" w14:textId="77777777" w:rsidTr="00960356">
        <w:trPr>
          <w:trHeight w:val="432"/>
        </w:trPr>
        <w:tc>
          <w:tcPr>
            <w:tcW w:w="3711" w:type="dxa"/>
            <w:shd w:val="clear" w:color="auto" w:fill="auto"/>
            <w:noWrap/>
            <w:vAlign w:val="center"/>
            <w:hideMark/>
          </w:tcPr>
          <w:p w14:paraId="774B81CD" w14:textId="77777777" w:rsidR="00960356" w:rsidRPr="00D6605E" w:rsidRDefault="00960356" w:rsidP="00960356">
            <w:pPr>
              <w:spacing w:after="0"/>
              <w:jc w:val="left"/>
              <w:rPr>
                <w:rFonts w:eastAsia="Times New Roman" w:cs="Arial"/>
                <w:b/>
                <w:bCs/>
                <w:color w:val="000000"/>
                <w:szCs w:val="24"/>
              </w:rPr>
            </w:pPr>
            <w:r w:rsidRPr="00D6605E">
              <w:rPr>
                <w:rFonts w:eastAsia="Times New Roman" w:cs="Arial"/>
                <w:b/>
                <w:bCs/>
                <w:color w:val="000000"/>
                <w:szCs w:val="24"/>
              </w:rPr>
              <w:t>Net income</w:t>
            </w:r>
          </w:p>
        </w:tc>
        <w:tc>
          <w:tcPr>
            <w:tcW w:w="141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6BF8A36" w14:textId="6E2093A5" w:rsidR="00960356" w:rsidRPr="00D6605E" w:rsidRDefault="00960356" w:rsidP="00960356">
            <w:pPr>
              <w:spacing w:after="0"/>
              <w:jc w:val="center"/>
              <w:rPr>
                <w:rFonts w:eastAsia="Times New Roman" w:cs="Arial"/>
                <w:color w:val="000000"/>
                <w:szCs w:val="24"/>
              </w:rPr>
            </w:pPr>
            <w:r w:rsidRPr="00DB794B">
              <w:rPr>
                <w:rFonts w:cs="Arial"/>
                <w:color w:val="000000"/>
                <w:szCs w:val="24"/>
              </w:rPr>
              <w:t>-267</w:t>
            </w:r>
          </w:p>
        </w:tc>
        <w:tc>
          <w:tcPr>
            <w:tcW w:w="1330" w:type="dxa"/>
            <w:tcBorders>
              <w:top w:val="single" w:sz="4" w:space="0" w:color="auto"/>
              <w:left w:val="nil"/>
              <w:bottom w:val="single" w:sz="4" w:space="0" w:color="auto"/>
              <w:right w:val="single" w:sz="4" w:space="0" w:color="auto"/>
            </w:tcBorders>
            <w:shd w:val="clear" w:color="auto" w:fill="auto"/>
            <w:noWrap/>
            <w:vAlign w:val="center"/>
          </w:tcPr>
          <w:p w14:paraId="1D261375" w14:textId="43D18D0D" w:rsidR="00960356" w:rsidRPr="00D6605E" w:rsidRDefault="00960356" w:rsidP="00960356">
            <w:pPr>
              <w:spacing w:after="0"/>
              <w:jc w:val="center"/>
              <w:rPr>
                <w:rFonts w:eastAsia="Times New Roman" w:cs="Arial"/>
                <w:color w:val="000000"/>
                <w:szCs w:val="24"/>
              </w:rPr>
            </w:pPr>
            <w:r w:rsidRPr="00DB794B">
              <w:rPr>
                <w:rFonts w:cs="Arial"/>
                <w:color w:val="000000"/>
                <w:szCs w:val="24"/>
              </w:rPr>
              <w:t>1,099</w:t>
            </w:r>
          </w:p>
        </w:tc>
        <w:tc>
          <w:tcPr>
            <w:tcW w:w="15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8C5412D"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1,366</w:t>
            </w:r>
          </w:p>
        </w:tc>
        <w:tc>
          <w:tcPr>
            <w:tcW w:w="12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26234BD" w14:textId="77777777" w:rsidR="00960356" w:rsidRPr="00D6605E" w:rsidRDefault="00960356" w:rsidP="00960356">
            <w:pPr>
              <w:spacing w:after="0"/>
              <w:jc w:val="center"/>
              <w:rPr>
                <w:rFonts w:eastAsia="Times New Roman" w:cs="Arial"/>
                <w:color w:val="000000"/>
                <w:szCs w:val="24"/>
              </w:rPr>
            </w:pPr>
            <w:r w:rsidRPr="00D6605E">
              <w:rPr>
                <w:rFonts w:cs="Arial"/>
                <w:color w:val="000000"/>
                <w:szCs w:val="24"/>
              </w:rPr>
              <w:t>511.61%</w:t>
            </w:r>
          </w:p>
        </w:tc>
      </w:tr>
    </w:tbl>
    <w:p w14:paraId="5F5E4437" w14:textId="4BFFA5C4" w:rsidR="00D6605E" w:rsidRPr="00D6605E" w:rsidRDefault="00D6605E" w:rsidP="00D6605E">
      <w:pPr>
        <w:jc w:val="center"/>
      </w:pPr>
      <w:r w:rsidRPr="00D6605E">
        <w:t xml:space="preserve">Figure 01: Income Statement </w:t>
      </w:r>
      <w:r w:rsidR="00960356">
        <w:t xml:space="preserve">Horizontal Analysis </w:t>
      </w:r>
      <w:r w:rsidRPr="00D6605E">
        <w:t>(Source: Author)</w:t>
      </w:r>
    </w:p>
    <w:tbl>
      <w:tblPr>
        <w:tblW w:w="95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02"/>
        <w:gridCol w:w="1593"/>
        <w:gridCol w:w="1415"/>
        <w:gridCol w:w="1415"/>
        <w:gridCol w:w="1332"/>
      </w:tblGrid>
      <w:tr w:rsidR="00D6605E" w:rsidRPr="00D6605E" w14:paraId="4C22FEAC" w14:textId="77777777" w:rsidTr="00960356">
        <w:trPr>
          <w:trHeight w:val="310"/>
        </w:trPr>
        <w:tc>
          <w:tcPr>
            <w:tcW w:w="9557" w:type="dxa"/>
            <w:gridSpan w:val="5"/>
            <w:shd w:val="clear" w:color="auto" w:fill="2F5496" w:themeFill="accent1" w:themeFillShade="BF"/>
            <w:noWrap/>
            <w:vAlign w:val="bottom"/>
            <w:hideMark/>
          </w:tcPr>
          <w:p w14:paraId="3E6BE452" w14:textId="77777777" w:rsidR="00D6605E" w:rsidRPr="00D6605E" w:rsidRDefault="00D6605E" w:rsidP="00D6605E">
            <w:pPr>
              <w:spacing w:after="0"/>
              <w:jc w:val="center"/>
              <w:rPr>
                <w:rFonts w:eastAsia="Times New Roman" w:cs="Arial"/>
                <w:b/>
                <w:bCs/>
                <w:color w:val="FFFFFF"/>
                <w:szCs w:val="24"/>
              </w:rPr>
            </w:pPr>
            <w:r w:rsidRPr="00D6605E">
              <w:rPr>
                <w:rFonts w:eastAsia="Times New Roman" w:cs="Arial"/>
                <w:b/>
                <w:bCs/>
                <w:color w:val="FFFFFF"/>
                <w:szCs w:val="24"/>
              </w:rPr>
              <w:t>Marriott International, INC</w:t>
            </w:r>
          </w:p>
        </w:tc>
      </w:tr>
      <w:tr w:rsidR="00D6605E" w:rsidRPr="00D6605E" w14:paraId="5214B901" w14:textId="77777777" w:rsidTr="00960356">
        <w:trPr>
          <w:trHeight w:val="310"/>
        </w:trPr>
        <w:tc>
          <w:tcPr>
            <w:tcW w:w="9557" w:type="dxa"/>
            <w:gridSpan w:val="5"/>
            <w:shd w:val="clear" w:color="auto" w:fill="D9E2F3" w:themeFill="accent1" w:themeFillTint="33"/>
            <w:noWrap/>
            <w:vAlign w:val="bottom"/>
            <w:hideMark/>
          </w:tcPr>
          <w:p w14:paraId="7590E100" w14:textId="77777777" w:rsidR="00D6605E" w:rsidRPr="00D6605E" w:rsidRDefault="00D6605E" w:rsidP="00D6605E">
            <w:pPr>
              <w:spacing w:after="0"/>
              <w:jc w:val="center"/>
              <w:rPr>
                <w:rFonts w:eastAsia="Times New Roman" w:cs="Arial"/>
                <w:b/>
                <w:bCs/>
                <w:color w:val="000000"/>
                <w:szCs w:val="24"/>
              </w:rPr>
            </w:pPr>
            <w:r w:rsidRPr="00D6605E">
              <w:rPr>
                <w:rFonts w:eastAsia="Times New Roman" w:cs="Arial"/>
                <w:b/>
                <w:bCs/>
                <w:color w:val="000000"/>
                <w:szCs w:val="24"/>
              </w:rPr>
              <w:t>Balance Sheet</w:t>
            </w:r>
          </w:p>
        </w:tc>
      </w:tr>
      <w:tr w:rsidR="00D6605E" w:rsidRPr="00D6605E" w14:paraId="078344AF" w14:textId="77777777" w:rsidTr="00960356">
        <w:trPr>
          <w:trHeight w:val="310"/>
        </w:trPr>
        <w:tc>
          <w:tcPr>
            <w:tcW w:w="3802" w:type="dxa"/>
            <w:shd w:val="clear" w:color="auto" w:fill="auto"/>
            <w:noWrap/>
            <w:vAlign w:val="bottom"/>
            <w:hideMark/>
          </w:tcPr>
          <w:p w14:paraId="000A4CE2" w14:textId="1C2F03C7" w:rsidR="00D6605E" w:rsidRPr="00D6605E" w:rsidRDefault="00D6605E" w:rsidP="00D6605E">
            <w:pPr>
              <w:spacing w:after="0"/>
              <w:rPr>
                <w:rFonts w:eastAsia="Times New Roman" w:cs="Arial"/>
                <w:b/>
                <w:bCs/>
                <w:color w:val="000000"/>
                <w:szCs w:val="24"/>
              </w:rPr>
            </w:pPr>
            <w:r w:rsidRPr="00D6605E">
              <w:rPr>
                <w:rFonts w:eastAsia="Times New Roman" w:cs="Arial"/>
                <w:b/>
                <w:bCs/>
                <w:color w:val="000000"/>
                <w:szCs w:val="24"/>
              </w:rPr>
              <w:t> </w:t>
            </w:r>
            <w:r w:rsidR="00960356">
              <w:rPr>
                <w:rFonts w:eastAsia="Times New Roman" w:cs="Arial"/>
                <w:b/>
                <w:bCs/>
                <w:color w:val="000000"/>
                <w:szCs w:val="24"/>
              </w:rPr>
              <w:t>Particulars</w:t>
            </w:r>
          </w:p>
        </w:tc>
        <w:tc>
          <w:tcPr>
            <w:tcW w:w="1593" w:type="dxa"/>
            <w:tcBorders>
              <w:bottom w:val="single" w:sz="4" w:space="0" w:color="auto"/>
            </w:tcBorders>
            <w:shd w:val="clear" w:color="auto" w:fill="auto"/>
            <w:noWrap/>
            <w:vAlign w:val="center"/>
            <w:hideMark/>
          </w:tcPr>
          <w:p w14:paraId="263434B3" w14:textId="43908F92" w:rsidR="00D6605E" w:rsidRPr="00D6605E" w:rsidRDefault="00D6605E" w:rsidP="00D6605E">
            <w:pPr>
              <w:spacing w:after="0"/>
              <w:jc w:val="center"/>
              <w:rPr>
                <w:rFonts w:eastAsia="Times New Roman" w:cs="Arial"/>
                <w:b/>
                <w:bCs/>
                <w:color w:val="000000"/>
                <w:szCs w:val="24"/>
              </w:rPr>
            </w:pPr>
            <w:r w:rsidRPr="00D6605E">
              <w:rPr>
                <w:rFonts w:cs="Arial"/>
                <w:b/>
                <w:bCs/>
                <w:szCs w:val="24"/>
              </w:rPr>
              <w:t>202</w:t>
            </w:r>
            <w:r w:rsidR="00960356">
              <w:rPr>
                <w:rFonts w:cs="Arial"/>
                <w:b/>
                <w:bCs/>
                <w:szCs w:val="24"/>
              </w:rPr>
              <w:t xml:space="preserve">0 </w:t>
            </w:r>
            <w:r w:rsidRPr="00D6605E">
              <w:rPr>
                <w:rFonts w:cs="Arial"/>
                <w:b/>
                <w:bCs/>
                <w:szCs w:val="24"/>
              </w:rPr>
              <w:t>($Million)</w:t>
            </w:r>
          </w:p>
        </w:tc>
        <w:tc>
          <w:tcPr>
            <w:tcW w:w="1415" w:type="dxa"/>
            <w:tcBorders>
              <w:bottom w:val="single" w:sz="4" w:space="0" w:color="auto"/>
            </w:tcBorders>
            <w:shd w:val="clear" w:color="auto" w:fill="auto"/>
            <w:noWrap/>
            <w:vAlign w:val="center"/>
            <w:hideMark/>
          </w:tcPr>
          <w:p w14:paraId="3BD66C27" w14:textId="449AF92E" w:rsidR="00D6605E" w:rsidRPr="00D6605E" w:rsidRDefault="00D6605E" w:rsidP="00D6605E">
            <w:pPr>
              <w:spacing w:after="0"/>
              <w:jc w:val="center"/>
              <w:rPr>
                <w:rFonts w:eastAsia="Times New Roman" w:cs="Arial"/>
                <w:b/>
                <w:bCs/>
                <w:color w:val="000000"/>
                <w:szCs w:val="24"/>
              </w:rPr>
            </w:pPr>
            <w:r w:rsidRPr="00D6605E">
              <w:rPr>
                <w:rFonts w:cs="Arial"/>
                <w:b/>
                <w:bCs/>
                <w:szCs w:val="24"/>
              </w:rPr>
              <w:t>202</w:t>
            </w:r>
            <w:r w:rsidR="00960356">
              <w:rPr>
                <w:rFonts w:cs="Arial"/>
                <w:b/>
                <w:bCs/>
                <w:szCs w:val="24"/>
              </w:rPr>
              <w:t xml:space="preserve">1 </w:t>
            </w:r>
            <w:r w:rsidRPr="00D6605E">
              <w:rPr>
                <w:rFonts w:cs="Arial"/>
                <w:b/>
                <w:bCs/>
                <w:szCs w:val="24"/>
              </w:rPr>
              <w:t>($Million)</w:t>
            </w:r>
          </w:p>
        </w:tc>
        <w:tc>
          <w:tcPr>
            <w:tcW w:w="1415" w:type="dxa"/>
            <w:tcBorders>
              <w:bottom w:val="single" w:sz="4" w:space="0" w:color="auto"/>
            </w:tcBorders>
            <w:shd w:val="clear" w:color="auto" w:fill="auto"/>
            <w:noWrap/>
            <w:vAlign w:val="center"/>
            <w:hideMark/>
          </w:tcPr>
          <w:p w14:paraId="2BFFF354" w14:textId="77777777" w:rsidR="00D6605E" w:rsidRPr="00D6605E" w:rsidRDefault="00D6605E" w:rsidP="00D6605E">
            <w:pPr>
              <w:spacing w:after="0"/>
              <w:jc w:val="center"/>
              <w:rPr>
                <w:rFonts w:eastAsia="Times New Roman" w:cs="Arial"/>
                <w:b/>
                <w:bCs/>
                <w:color w:val="000000"/>
                <w:szCs w:val="24"/>
              </w:rPr>
            </w:pPr>
            <w:r w:rsidRPr="00D6605E">
              <w:rPr>
                <w:rFonts w:cs="Arial"/>
                <w:b/>
                <w:bCs/>
                <w:szCs w:val="24"/>
              </w:rPr>
              <w:t>Change ($Million)</w:t>
            </w:r>
          </w:p>
        </w:tc>
        <w:tc>
          <w:tcPr>
            <w:tcW w:w="1332" w:type="dxa"/>
            <w:tcBorders>
              <w:bottom w:val="single" w:sz="4" w:space="0" w:color="auto"/>
            </w:tcBorders>
            <w:shd w:val="clear" w:color="auto" w:fill="auto"/>
            <w:noWrap/>
            <w:vAlign w:val="center"/>
            <w:hideMark/>
          </w:tcPr>
          <w:p w14:paraId="1526AB38" w14:textId="77777777" w:rsidR="00D6605E" w:rsidRPr="00D6605E" w:rsidRDefault="00D6605E" w:rsidP="00D6605E">
            <w:pPr>
              <w:spacing w:after="0"/>
              <w:jc w:val="center"/>
              <w:rPr>
                <w:rFonts w:eastAsia="Times New Roman" w:cs="Arial"/>
                <w:b/>
                <w:bCs/>
                <w:color w:val="000000"/>
                <w:szCs w:val="24"/>
              </w:rPr>
            </w:pPr>
            <w:r w:rsidRPr="00D6605E">
              <w:rPr>
                <w:rFonts w:cs="Arial"/>
                <w:b/>
                <w:bCs/>
                <w:szCs w:val="24"/>
              </w:rPr>
              <w:t>% Change</w:t>
            </w:r>
          </w:p>
        </w:tc>
      </w:tr>
      <w:tr w:rsidR="00960356" w:rsidRPr="00D6605E" w14:paraId="4946DF54" w14:textId="77777777" w:rsidTr="00334002">
        <w:trPr>
          <w:trHeight w:val="426"/>
        </w:trPr>
        <w:tc>
          <w:tcPr>
            <w:tcW w:w="3802" w:type="dxa"/>
            <w:shd w:val="clear" w:color="auto" w:fill="auto"/>
            <w:noWrap/>
            <w:vAlign w:val="center"/>
            <w:hideMark/>
          </w:tcPr>
          <w:p w14:paraId="51EEB009" w14:textId="77777777" w:rsidR="00960356" w:rsidRPr="00D6605E" w:rsidRDefault="00960356" w:rsidP="00960356">
            <w:pPr>
              <w:spacing w:after="0"/>
              <w:rPr>
                <w:rFonts w:eastAsia="Times New Roman" w:cs="Arial"/>
                <w:b/>
                <w:bCs/>
                <w:color w:val="000000"/>
                <w:szCs w:val="24"/>
              </w:rPr>
            </w:pPr>
            <w:r w:rsidRPr="00D6605E">
              <w:rPr>
                <w:rFonts w:eastAsia="Times New Roman" w:cs="Arial"/>
                <w:b/>
                <w:bCs/>
                <w:color w:val="000000"/>
                <w:szCs w:val="24"/>
              </w:rPr>
              <w:t>Current Asset</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CE42787" w14:textId="63958334" w:rsidR="00960356" w:rsidRPr="00D6605E" w:rsidRDefault="00960356" w:rsidP="00960356">
            <w:pPr>
              <w:spacing w:after="0"/>
              <w:jc w:val="center"/>
              <w:rPr>
                <w:rFonts w:eastAsia="Times New Roman" w:cs="Arial"/>
                <w:color w:val="000000"/>
                <w:szCs w:val="24"/>
              </w:rPr>
            </w:pPr>
            <w:r w:rsidRPr="00DB794B">
              <w:rPr>
                <w:rFonts w:cs="Arial"/>
                <w:color w:val="000000"/>
                <w:sz w:val="22"/>
              </w:rPr>
              <w:t>2,825</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67CD5336" w14:textId="1BDD63B8" w:rsidR="00960356" w:rsidRPr="00D6605E" w:rsidRDefault="00960356" w:rsidP="00960356">
            <w:pPr>
              <w:spacing w:after="0"/>
              <w:jc w:val="center"/>
              <w:rPr>
                <w:rFonts w:eastAsia="Times New Roman" w:cs="Arial"/>
                <w:color w:val="000000"/>
                <w:szCs w:val="24"/>
              </w:rPr>
            </w:pPr>
            <w:r w:rsidRPr="00DB794B">
              <w:rPr>
                <w:rFonts w:cs="Arial"/>
                <w:color w:val="000000"/>
                <w:sz w:val="22"/>
              </w:rPr>
              <w:t>3,626</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AFE3168"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801</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4BA471D"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28.35%</w:t>
            </w:r>
          </w:p>
        </w:tc>
      </w:tr>
      <w:tr w:rsidR="00960356" w:rsidRPr="00D6605E" w14:paraId="474532B9" w14:textId="77777777" w:rsidTr="00334002">
        <w:trPr>
          <w:trHeight w:val="426"/>
        </w:trPr>
        <w:tc>
          <w:tcPr>
            <w:tcW w:w="3802" w:type="dxa"/>
            <w:shd w:val="clear" w:color="auto" w:fill="auto"/>
            <w:noWrap/>
            <w:vAlign w:val="center"/>
            <w:hideMark/>
          </w:tcPr>
          <w:p w14:paraId="3EF27168"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Cash</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5F57F17" w14:textId="51D33E54" w:rsidR="00960356" w:rsidRPr="00D6605E" w:rsidRDefault="00960356" w:rsidP="00960356">
            <w:pPr>
              <w:spacing w:after="0"/>
              <w:jc w:val="center"/>
              <w:rPr>
                <w:rFonts w:eastAsia="Times New Roman" w:cs="Arial"/>
                <w:color w:val="000000"/>
                <w:szCs w:val="24"/>
              </w:rPr>
            </w:pPr>
            <w:r w:rsidRPr="00DB794B">
              <w:rPr>
                <w:rFonts w:cs="Arial"/>
                <w:color w:val="000000"/>
                <w:sz w:val="22"/>
              </w:rPr>
              <w:t>877</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66198D2A" w14:textId="225BCC39" w:rsidR="00960356" w:rsidRPr="00D6605E" w:rsidRDefault="00960356" w:rsidP="00960356">
            <w:pPr>
              <w:spacing w:after="0"/>
              <w:jc w:val="center"/>
              <w:rPr>
                <w:rFonts w:eastAsia="Times New Roman" w:cs="Arial"/>
                <w:color w:val="000000"/>
                <w:szCs w:val="24"/>
              </w:rPr>
            </w:pPr>
            <w:r w:rsidRPr="00DB794B">
              <w:rPr>
                <w:rFonts w:cs="Arial"/>
                <w:color w:val="000000"/>
                <w:sz w:val="22"/>
              </w:rPr>
              <w:t>1,393</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D496F2D"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516</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53B1946"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58.84%</w:t>
            </w:r>
          </w:p>
        </w:tc>
      </w:tr>
      <w:tr w:rsidR="00960356" w:rsidRPr="00D6605E" w14:paraId="072B3484" w14:textId="77777777" w:rsidTr="00334002">
        <w:trPr>
          <w:trHeight w:val="426"/>
        </w:trPr>
        <w:tc>
          <w:tcPr>
            <w:tcW w:w="3802" w:type="dxa"/>
            <w:shd w:val="clear" w:color="auto" w:fill="auto"/>
            <w:noWrap/>
            <w:vAlign w:val="center"/>
            <w:hideMark/>
          </w:tcPr>
          <w:p w14:paraId="44B7C810" w14:textId="77777777" w:rsidR="00960356" w:rsidRPr="00D6605E" w:rsidRDefault="00960356" w:rsidP="00960356">
            <w:pPr>
              <w:spacing w:after="0"/>
              <w:rPr>
                <w:rFonts w:eastAsia="Times New Roman" w:cs="Arial"/>
                <w:b/>
                <w:bCs/>
                <w:color w:val="000000"/>
                <w:szCs w:val="24"/>
              </w:rPr>
            </w:pPr>
            <w:r w:rsidRPr="00D6605E">
              <w:rPr>
                <w:rFonts w:eastAsia="Times New Roman" w:cs="Arial"/>
                <w:b/>
                <w:bCs/>
                <w:color w:val="000000"/>
                <w:szCs w:val="24"/>
              </w:rPr>
              <w:t>Receivables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982D405" w14:textId="30464AF9" w:rsidR="00960356" w:rsidRPr="00D6605E" w:rsidRDefault="00960356" w:rsidP="00960356">
            <w:pPr>
              <w:spacing w:after="0"/>
              <w:jc w:val="center"/>
              <w:rPr>
                <w:rFonts w:eastAsia="Times New Roman" w:cs="Arial"/>
                <w:color w:val="000000"/>
                <w:szCs w:val="24"/>
              </w:rPr>
            </w:pPr>
            <w:r w:rsidRPr="00DB794B">
              <w:rPr>
                <w:rFonts w:cs="Arial"/>
                <w:color w:val="000000"/>
                <w:sz w:val="22"/>
              </w:rPr>
              <w:t>1,768</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0B0CA53A" w14:textId="0F2CB20A" w:rsidR="00960356" w:rsidRPr="00D6605E" w:rsidRDefault="00960356" w:rsidP="00960356">
            <w:pPr>
              <w:spacing w:after="0"/>
              <w:jc w:val="center"/>
              <w:rPr>
                <w:rFonts w:eastAsia="Times New Roman" w:cs="Arial"/>
                <w:color w:val="000000"/>
                <w:szCs w:val="24"/>
              </w:rPr>
            </w:pPr>
            <w:r w:rsidRPr="00DB794B">
              <w:rPr>
                <w:rFonts w:cs="Arial"/>
                <w:color w:val="000000"/>
                <w:sz w:val="22"/>
              </w:rPr>
              <w:t>1,982</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F2B5AA3"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214</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D4124BD"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12.10%</w:t>
            </w:r>
          </w:p>
        </w:tc>
      </w:tr>
      <w:tr w:rsidR="00960356" w:rsidRPr="00D6605E" w14:paraId="18FC3C09" w14:textId="77777777" w:rsidTr="00334002">
        <w:trPr>
          <w:trHeight w:val="426"/>
        </w:trPr>
        <w:tc>
          <w:tcPr>
            <w:tcW w:w="3802" w:type="dxa"/>
            <w:shd w:val="clear" w:color="auto" w:fill="auto"/>
            <w:noWrap/>
            <w:vAlign w:val="center"/>
            <w:hideMark/>
          </w:tcPr>
          <w:p w14:paraId="1F8A54DE"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Non-Current Asset</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8E682DF" w14:textId="6DBEEF8A" w:rsidR="00960356" w:rsidRPr="00D6605E" w:rsidRDefault="00960356" w:rsidP="00960356">
            <w:pPr>
              <w:spacing w:after="0"/>
              <w:jc w:val="center"/>
              <w:rPr>
                <w:rFonts w:eastAsia="Times New Roman" w:cs="Arial"/>
                <w:color w:val="000000"/>
                <w:szCs w:val="24"/>
              </w:rPr>
            </w:pPr>
            <w:r w:rsidRPr="00DB794B">
              <w:rPr>
                <w:rFonts w:cs="Arial"/>
                <w:color w:val="000000"/>
                <w:sz w:val="22"/>
              </w:rPr>
              <w:t>21,876</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5E375DA8" w14:textId="431C4388" w:rsidR="00960356" w:rsidRPr="00D6605E" w:rsidRDefault="00960356" w:rsidP="00960356">
            <w:pPr>
              <w:spacing w:after="0"/>
              <w:jc w:val="center"/>
              <w:rPr>
                <w:rFonts w:eastAsia="Times New Roman" w:cs="Arial"/>
                <w:color w:val="000000"/>
                <w:szCs w:val="24"/>
              </w:rPr>
            </w:pPr>
            <w:r w:rsidRPr="00DB794B">
              <w:rPr>
                <w:rFonts w:cs="Arial"/>
                <w:color w:val="000000"/>
                <w:sz w:val="22"/>
              </w:rPr>
              <w:t>21,927</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D10DC29"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51</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ADADA79"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0.23%</w:t>
            </w:r>
          </w:p>
        </w:tc>
      </w:tr>
      <w:tr w:rsidR="00960356" w:rsidRPr="00D6605E" w14:paraId="360BDE84" w14:textId="77777777" w:rsidTr="00334002">
        <w:trPr>
          <w:trHeight w:val="426"/>
        </w:trPr>
        <w:tc>
          <w:tcPr>
            <w:tcW w:w="3802" w:type="dxa"/>
            <w:shd w:val="clear" w:color="auto" w:fill="auto"/>
            <w:noWrap/>
            <w:vAlign w:val="center"/>
            <w:hideMark/>
          </w:tcPr>
          <w:p w14:paraId="1F97E436"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Total Asset</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11AB546" w14:textId="693E89B6" w:rsidR="00960356" w:rsidRPr="00D6605E" w:rsidRDefault="00960356" w:rsidP="00960356">
            <w:pPr>
              <w:spacing w:after="0"/>
              <w:jc w:val="center"/>
              <w:rPr>
                <w:rFonts w:eastAsia="Times New Roman" w:cs="Arial"/>
                <w:color w:val="000000"/>
                <w:szCs w:val="24"/>
              </w:rPr>
            </w:pPr>
            <w:r w:rsidRPr="00DB794B">
              <w:rPr>
                <w:rFonts w:cs="Arial"/>
                <w:color w:val="000000"/>
                <w:sz w:val="22"/>
              </w:rPr>
              <w:t>24,701</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18A9071D" w14:textId="7207FBBE" w:rsidR="00960356" w:rsidRPr="00D6605E" w:rsidRDefault="00960356" w:rsidP="00960356">
            <w:pPr>
              <w:spacing w:after="0"/>
              <w:jc w:val="center"/>
              <w:rPr>
                <w:rFonts w:eastAsia="Times New Roman" w:cs="Arial"/>
                <w:color w:val="000000"/>
                <w:szCs w:val="24"/>
              </w:rPr>
            </w:pPr>
            <w:r w:rsidRPr="00DB794B">
              <w:rPr>
                <w:rFonts w:cs="Arial"/>
                <w:color w:val="000000"/>
                <w:sz w:val="22"/>
              </w:rPr>
              <w:t>25,553</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7829E5B"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852</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901D316"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3.45%</w:t>
            </w:r>
          </w:p>
        </w:tc>
      </w:tr>
      <w:tr w:rsidR="00960356" w:rsidRPr="00D6605E" w14:paraId="5C038860" w14:textId="77777777" w:rsidTr="00334002">
        <w:trPr>
          <w:trHeight w:val="426"/>
        </w:trPr>
        <w:tc>
          <w:tcPr>
            <w:tcW w:w="3802" w:type="dxa"/>
            <w:shd w:val="clear" w:color="auto" w:fill="auto"/>
            <w:noWrap/>
            <w:vAlign w:val="center"/>
            <w:hideMark/>
          </w:tcPr>
          <w:p w14:paraId="00643A89" w14:textId="77777777" w:rsidR="00960356" w:rsidRPr="00D6605E" w:rsidRDefault="00960356" w:rsidP="00960356">
            <w:pPr>
              <w:spacing w:after="0"/>
              <w:rPr>
                <w:rFonts w:eastAsia="Times New Roman" w:cs="Arial"/>
                <w:b/>
                <w:bCs/>
                <w:color w:val="000000"/>
                <w:szCs w:val="24"/>
              </w:rPr>
            </w:pPr>
            <w:r w:rsidRPr="00D6605E">
              <w:rPr>
                <w:rFonts w:eastAsia="Times New Roman" w:cs="Arial"/>
                <w:b/>
                <w:bCs/>
                <w:color w:val="000000"/>
                <w:szCs w:val="24"/>
              </w:rPr>
              <w:t>Current Liabilities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0263F50" w14:textId="734F6925" w:rsidR="00960356" w:rsidRPr="00D6605E" w:rsidRDefault="00960356" w:rsidP="00960356">
            <w:pPr>
              <w:spacing w:after="0"/>
              <w:jc w:val="center"/>
              <w:rPr>
                <w:rFonts w:eastAsia="Times New Roman" w:cs="Arial"/>
                <w:color w:val="000000"/>
                <w:szCs w:val="24"/>
              </w:rPr>
            </w:pPr>
            <w:r w:rsidRPr="00DB794B">
              <w:rPr>
                <w:rFonts w:cs="Arial"/>
                <w:color w:val="000000"/>
                <w:sz w:val="22"/>
              </w:rPr>
              <w:t>5,752</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7657939D" w14:textId="52D20944" w:rsidR="00960356" w:rsidRPr="00D6605E" w:rsidRDefault="00960356" w:rsidP="00960356">
            <w:pPr>
              <w:spacing w:after="0"/>
              <w:jc w:val="center"/>
              <w:rPr>
                <w:rFonts w:eastAsia="Times New Roman" w:cs="Arial"/>
                <w:color w:val="000000"/>
                <w:szCs w:val="24"/>
              </w:rPr>
            </w:pPr>
            <w:r w:rsidRPr="00DB794B">
              <w:rPr>
                <w:rFonts w:cs="Arial"/>
                <w:color w:val="000000"/>
                <w:sz w:val="22"/>
              </w:rPr>
              <w:t>6,407</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8C6D510"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655</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EE8975D"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11.39%</w:t>
            </w:r>
          </w:p>
        </w:tc>
      </w:tr>
      <w:tr w:rsidR="00960356" w:rsidRPr="00D6605E" w14:paraId="638121A3" w14:textId="77777777" w:rsidTr="00334002">
        <w:trPr>
          <w:trHeight w:val="426"/>
        </w:trPr>
        <w:tc>
          <w:tcPr>
            <w:tcW w:w="3802" w:type="dxa"/>
            <w:shd w:val="clear" w:color="auto" w:fill="auto"/>
            <w:noWrap/>
            <w:vAlign w:val="center"/>
            <w:hideMark/>
          </w:tcPr>
          <w:p w14:paraId="0E93B08E"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Payables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2E8FDB8" w14:textId="310C6B01" w:rsidR="00960356" w:rsidRPr="00D6605E" w:rsidRDefault="00960356" w:rsidP="00960356">
            <w:pPr>
              <w:spacing w:after="0"/>
              <w:jc w:val="center"/>
              <w:rPr>
                <w:rFonts w:eastAsia="Times New Roman" w:cs="Arial"/>
                <w:color w:val="000000"/>
                <w:szCs w:val="24"/>
              </w:rPr>
            </w:pPr>
            <w:r w:rsidRPr="00DB794B">
              <w:rPr>
                <w:rFonts w:cs="Arial"/>
                <w:color w:val="000000"/>
                <w:sz w:val="22"/>
              </w:rPr>
              <w:t>527</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4F5A5648" w14:textId="2BDB010F" w:rsidR="00960356" w:rsidRPr="00D6605E" w:rsidRDefault="00960356" w:rsidP="00960356">
            <w:pPr>
              <w:spacing w:after="0"/>
              <w:jc w:val="center"/>
              <w:rPr>
                <w:rFonts w:eastAsia="Times New Roman" w:cs="Arial"/>
                <w:color w:val="000000"/>
                <w:szCs w:val="24"/>
              </w:rPr>
            </w:pPr>
            <w:r w:rsidRPr="00DB794B">
              <w:rPr>
                <w:rFonts w:cs="Arial"/>
                <w:color w:val="000000"/>
                <w:sz w:val="22"/>
              </w:rPr>
              <w:t>726</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7ACEB36"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199</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FC85567"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37.76%</w:t>
            </w:r>
          </w:p>
        </w:tc>
      </w:tr>
      <w:tr w:rsidR="00960356" w:rsidRPr="00D6605E" w14:paraId="1E561769" w14:textId="77777777" w:rsidTr="00334002">
        <w:trPr>
          <w:trHeight w:val="426"/>
        </w:trPr>
        <w:tc>
          <w:tcPr>
            <w:tcW w:w="3802" w:type="dxa"/>
            <w:shd w:val="clear" w:color="auto" w:fill="auto"/>
            <w:noWrap/>
            <w:vAlign w:val="bottom"/>
            <w:hideMark/>
          </w:tcPr>
          <w:p w14:paraId="6BF46685" w14:textId="77777777" w:rsidR="00960356" w:rsidRPr="00D6605E" w:rsidRDefault="00960356" w:rsidP="00960356">
            <w:pPr>
              <w:spacing w:after="0"/>
              <w:rPr>
                <w:rFonts w:eastAsia="Times New Roman" w:cs="Arial"/>
                <w:b/>
                <w:bCs/>
                <w:color w:val="000000"/>
                <w:szCs w:val="24"/>
              </w:rPr>
            </w:pPr>
            <w:r w:rsidRPr="00D6605E">
              <w:rPr>
                <w:rFonts w:eastAsia="Times New Roman" w:cs="Arial"/>
                <w:b/>
                <w:bCs/>
                <w:color w:val="000000"/>
                <w:szCs w:val="24"/>
              </w:rPr>
              <w:t>Total Assets Less Current Liabilities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A0DE345" w14:textId="5E3C4EB1" w:rsidR="00960356" w:rsidRPr="00D6605E" w:rsidRDefault="00960356" w:rsidP="00960356">
            <w:pPr>
              <w:spacing w:after="0"/>
              <w:jc w:val="center"/>
              <w:rPr>
                <w:rFonts w:eastAsia="Times New Roman" w:cs="Arial"/>
                <w:color w:val="000000"/>
                <w:szCs w:val="24"/>
              </w:rPr>
            </w:pPr>
            <w:r w:rsidRPr="00DB794B">
              <w:rPr>
                <w:rFonts w:cs="Arial"/>
                <w:color w:val="000000"/>
                <w:sz w:val="22"/>
              </w:rPr>
              <w:t>18,949</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21D497B9" w14:textId="085744F3" w:rsidR="00960356" w:rsidRPr="00D6605E" w:rsidRDefault="00960356" w:rsidP="00960356">
            <w:pPr>
              <w:spacing w:after="0"/>
              <w:jc w:val="center"/>
              <w:rPr>
                <w:rFonts w:eastAsia="Times New Roman" w:cs="Arial"/>
                <w:color w:val="000000"/>
                <w:szCs w:val="24"/>
              </w:rPr>
            </w:pPr>
            <w:r w:rsidRPr="00DB794B">
              <w:rPr>
                <w:rFonts w:cs="Arial"/>
                <w:color w:val="000000"/>
                <w:sz w:val="22"/>
              </w:rPr>
              <w:t>19,146</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3CD5CE2"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197</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87151A6"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1.04%</w:t>
            </w:r>
          </w:p>
        </w:tc>
      </w:tr>
      <w:tr w:rsidR="00960356" w:rsidRPr="00D6605E" w14:paraId="7D3E4A6B" w14:textId="77777777" w:rsidTr="00334002">
        <w:trPr>
          <w:trHeight w:val="426"/>
        </w:trPr>
        <w:tc>
          <w:tcPr>
            <w:tcW w:w="3802" w:type="dxa"/>
            <w:shd w:val="clear" w:color="auto" w:fill="auto"/>
            <w:noWrap/>
            <w:vAlign w:val="bottom"/>
            <w:hideMark/>
          </w:tcPr>
          <w:p w14:paraId="67CCE345"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Net Current Assets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A37BCE3" w14:textId="08C28FE5" w:rsidR="00960356" w:rsidRPr="00D6605E" w:rsidRDefault="00960356" w:rsidP="00960356">
            <w:pPr>
              <w:spacing w:after="0"/>
              <w:jc w:val="center"/>
              <w:rPr>
                <w:rFonts w:eastAsia="Times New Roman" w:cs="Arial"/>
                <w:color w:val="000000"/>
                <w:szCs w:val="24"/>
              </w:rPr>
            </w:pPr>
            <w:r w:rsidRPr="00DB794B">
              <w:rPr>
                <w:rFonts w:cs="Arial"/>
                <w:color w:val="000000"/>
                <w:sz w:val="22"/>
              </w:rPr>
              <w:t>(2,927)</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07561CBF" w14:textId="7D5DBB64" w:rsidR="00960356" w:rsidRPr="00D6605E" w:rsidRDefault="00960356" w:rsidP="00960356">
            <w:pPr>
              <w:spacing w:after="0"/>
              <w:jc w:val="center"/>
              <w:rPr>
                <w:rFonts w:eastAsia="Times New Roman" w:cs="Arial"/>
                <w:color w:val="000000"/>
                <w:szCs w:val="24"/>
              </w:rPr>
            </w:pPr>
            <w:r w:rsidRPr="00DB794B">
              <w:rPr>
                <w:rFonts w:cs="Arial"/>
                <w:color w:val="000000"/>
                <w:sz w:val="22"/>
              </w:rPr>
              <w:t>(2,781)</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D997B6B"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146</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4207BE8"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4.99%</w:t>
            </w:r>
          </w:p>
        </w:tc>
      </w:tr>
      <w:tr w:rsidR="00960356" w:rsidRPr="00D6605E" w14:paraId="09038088" w14:textId="77777777" w:rsidTr="00334002">
        <w:trPr>
          <w:trHeight w:val="426"/>
        </w:trPr>
        <w:tc>
          <w:tcPr>
            <w:tcW w:w="3802" w:type="dxa"/>
            <w:shd w:val="clear" w:color="auto" w:fill="auto"/>
            <w:noWrap/>
            <w:vAlign w:val="bottom"/>
            <w:hideMark/>
          </w:tcPr>
          <w:p w14:paraId="59B9F497" w14:textId="77777777" w:rsidR="00960356" w:rsidRPr="00D6605E" w:rsidRDefault="00960356" w:rsidP="00960356">
            <w:pPr>
              <w:spacing w:after="0"/>
              <w:rPr>
                <w:rFonts w:eastAsia="Times New Roman" w:cs="Arial"/>
                <w:b/>
                <w:bCs/>
                <w:color w:val="000000"/>
                <w:szCs w:val="24"/>
              </w:rPr>
            </w:pPr>
            <w:r w:rsidRPr="00D6605E">
              <w:rPr>
                <w:rFonts w:eastAsia="Times New Roman" w:cs="Arial"/>
                <w:b/>
                <w:bCs/>
                <w:color w:val="000000"/>
                <w:szCs w:val="24"/>
              </w:rPr>
              <w:t>Long-term Debt</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DE9194D" w14:textId="2D4D3418" w:rsidR="00960356" w:rsidRPr="00D6605E" w:rsidRDefault="00960356" w:rsidP="00960356">
            <w:pPr>
              <w:spacing w:after="0"/>
              <w:jc w:val="center"/>
              <w:rPr>
                <w:rFonts w:eastAsia="Times New Roman" w:cs="Arial"/>
                <w:color w:val="000000"/>
                <w:szCs w:val="24"/>
              </w:rPr>
            </w:pPr>
            <w:r w:rsidRPr="00DB794B">
              <w:rPr>
                <w:rFonts w:cs="Arial"/>
                <w:color w:val="000000"/>
                <w:sz w:val="22"/>
              </w:rPr>
              <w:t>9,203</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027C6DA7" w14:textId="43886480" w:rsidR="00960356" w:rsidRPr="00D6605E" w:rsidRDefault="00960356" w:rsidP="00960356">
            <w:pPr>
              <w:spacing w:after="0"/>
              <w:jc w:val="center"/>
              <w:rPr>
                <w:rFonts w:eastAsia="Times New Roman" w:cs="Arial"/>
                <w:color w:val="000000"/>
                <w:szCs w:val="24"/>
              </w:rPr>
            </w:pPr>
            <w:r w:rsidRPr="00DB794B">
              <w:rPr>
                <w:rFonts w:cs="Arial"/>
                <w:color w:val="000000"/>
                <w:sz w:val="22"/>
              </w:rPr>
              <w:t>9,333</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A874880"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130</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2F5567B"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1.41%</w:t>
            </w:r>
          </w:p>
        </w:tc>
      </w:tr>
      <w:tr w:rsidR="00960356" w:rsidRPr="00D6605E" w14:paraId="1F99FF21" w14:textId="77777777" w:rsidTr="00334002">
        <w:trPr>
          <w:trHeight w:val="426"/>
        </w:trPr>
        <w:tc>
          <w:tcPr>
            <w:tcW w:w="3802" w:type="dxa"/>
            <w:shd w:val="clear" w:color="auto" w:fill="auto"/>
            <w:noWrap/>
            <w:vAlign w:val="center"/>
            <w:hideMark/>
          </w:tcPr>
          <w:p w14:paraId="66669EB2"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Non-current Liabilities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9E302D6" w14:textId="3AFE80AB" w:rsidR="00960356" w:rsidRPr="00D6605E" w:rsidRDefault="00960356" w:rsidP="00960356">
            <w:pPr>
              <w:spacing w:after="0"/>
              <w:jc w:val="center"/>
              <w:rPr>
                <w:rFonts w:eastAsia="Times New Roman" w:cs="Arial"/>
                <w:color w:val="000000"/>
                <w:szCs w:val="24"/>
              </w:rPr>
            </w:pPr>
            <w:r w:rsidRPr="00DB794B">
              <w:rPr>
                <w:rFonts w:cs="Arial"/>
                <w:color w:val="000000"/>
                <w:sz w:val="22"/>
              </w:rPr>
              <w:t>18,519</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64F07BFE" w14:textId="092AFA8D" w:rsidR="00960356" w:rsidRPr="00D6605E" w:rsidRDefault="00960356" w:rsidP="00960356">
            <w:pPr>
              <w:spacing w:after="0"/>
              <w:jc w:val="center"/>
              <w:rPr>
                <w:rFonts w:eastAsia="Times New Roman" w:cs="Arial"/>
                <w:color w:val="000000"/>
                <w:szCs w:val="24"/>
              </w:rPr>
            </w:pPr>
            <w:r w:rsidRPr="00DB794B">
              <w:rPr>
                <w:rFonts w:cs="Arial"/>
                <w:color w:val="000000"/>
                <w:sz w:val="22"/>
              </w:rPr>
              <w:t>17,732</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8D1BE93"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(787)</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188FE8C"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-4.25%</w:t>
            </w:r>
          </w:p>
        </w:tc>
      </w:tr>
      <w:tr w:rsidR="00960356" w:rsidRPr="00D6605E" w14:paraId="1008368E" w14:textId="77777777" w:rsidTr="00334002">
        <w:trPr>
          <w:trHeight w:val="426"/>
        </w:trPr>
        <w:tc>
          <w:tcPr>
            <w:tcW w:w="3802" w:type="dxa"/>
            <w:shd w:val="clear" w:color="auto" w:fill="auto"/>
            <w:noWrap/>
            <w:vAlign w:val="center"/>
            <w:hideMark/>
          </w:tcPr>
          <w:p w14:paraId="71DD464A"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Total Liabilities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0DE72A7" w14:textId="6506BD71" w:rsidR="00960356" w:rsidRPr="00D6605E" w:rsidRDefault="00960356" w:rsidP="00960356">
            <w:pPr>
              <w:spacing w:after="0"/>
              <w:jc w:val="center"/>
              <w:rPr>
                <w:rFonts w:eastAsia="Times New Roman" w:cs="Arial"/>
                <w:color w:val="000000"/>
                <w:szCs w:val="24"/>
              </w:rPr>
            </w:pPr>
            <w:r w:rsidRPr="00DB794B">
              <w:rPr>
                <w:rFonts w:cs="Arial"/>
                <w:color w:val="000000"/>
                <w:sz w:val="22"/>
              </w:rPr>
              <w:t>24,271</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00E14E8F" w14:textId="6F315316" w:rsidR="00960356" w:rsidRPr="00D6605E" w:rsidRDefault="00960356" w:rsidP="00960356">
            <w:pPr>
              <w:spacing w:after="0"/>
              <w:jc w:val="center"/>
              <w:rPr>
                <w:rFonts w:eastAsia="Times New Roman" w:cs="Arial"/>
                <w:color w:val="000000"/>
                <w:szCs w:val="24"/>
              </w:rPr>
            </w:pPr>
            <w:r w:rsidRPr="00DB794B">
              <w:rPr>
                <w:rFonts w:cs="Arial"/>
                <w:color w:val="000000"/>
                <w:sz w:val="22"/>
              </w:rPr>
              <w:t>24,139</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E8F67EA"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(132)</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E925D0B"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-0.54%</w:t>
            </w:r>
          </w:p>
        </w:tc>
      </w:tr>
      <w:tr w:rsidR="00960356" w:rsidRPr="00D6605E" w14:paraId="0736DF76" w14:textId="77777777" w:rsidTr="00334002">
        <w:trPr>
          <w:trHeight w:val="426"/>
        </w:trPr>
        <w:tc>
          <w:tcPr>
            <w:tcW w:w="3802" w:type="dxa"/>
            <w:shd w:val="clear" w:color="auto" w:fill="auto"/>
            <w:noWrap/>
            <w:vAlign w:val="center"/>
            <w:hideMark/>
          </w:tcPr>
          <w:p w14:paraId="2621AAF9"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Common Stock</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4A8CD93" w14:textId="327247BF" w:rsidR="00960356" w:rsidRPr="00D6605E" w:rsidRDefault="00960356" w:rsidP="00960356">
            <w:pPr>
              <w:spacing w:after="0"/>
              <w:jc w:val="center"/>
              <w:rPr>
                <w:rFonts w:eastAsia="Times New Roman" w:cs="Arial"/>
                <w:color w:val="000000"/>
                <w:szCs w:val="24"/>
              </w:rPr>
            </w:pPr>
            <w:r w:rsidRPr="00DB794B">
              <w:rPr>
                <w:rFonts w:cs="Arial"/>
                <w:color w:val="000000"/>
                <w:sz w:val="22"/>
              </w:rPr>
              <w:t>5</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0AE3664F" w14:textId="7C5264A2" w:rsidR="00960356" w:rsidRPr="00D6605E" w:rsidRDefault="00960356" w:rsidP="00960356">
            <w:pPr>
              <w:spacing w:after="0"/>
              <w:jc w:val="center"/>
              <w:rPr>
                <w:rFonts w:eastAsia="Times New Roman" w:cs="Arial"/>
                <w:color w:val="000000"/>
                <w:szCs w:val="24"/>
              </w:rPr>
            </w:pPr>
            <w:r w:rsidRPr="00DB794B">
              <w:rPr>
                <w:rFonts w:cs="Arial"/>
                <w:color w:val="000000"/>
                <w:sz w:val="22"/>
              </w:rPr>
              <w:t>5</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0D89960"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080C5F4"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0.00%</w:t>
            </w:r>
          </w:p>
        </w:tc>
      </w:tr>
      <w:tr w:rsidR="00960356" w:rsidRPr="00D6605E" w14:paraId="671BCD7D" w14:textId="77777777" w:rsidTr="00334002">
        <w:trPr>
          <w:trHeight w:val="426"/>
        </w:trPr>
        <w:tc>
          <w:tcPr>
            <w:tcW w:w="3802" w:type="dxa"/>
            <w:shd w:val="clear" w:color="auto" w:fill="auto"/>
            <w:noWrap/>
            <w:vAlign w:val="center"/>
            <w:hideMark/>
          </w:tcPr>
          <w:p w14:paraId="5F275FB9"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Retained Earnings</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4901C58" w14:textId="13F959FA" w:rsidR="00960356" w:rsidRPr="00D6605E" w:rsidRDefault="00960356" w:rsidP="00960356">
            <w:pPr>
              <w:spacing w:after="0"/>
              <w:jc w:val="center"/>
              <w:rPr>
                <w:rFonts w:eastAsia="Times New Roman" w:cs="Arial"/>
                <w:color w:val="000000"/>
                <w:szCs w:val="24"/>
              </w:rPr>
            </w:pPr>
            <w:r w:rsidRPr="00DB794B">
              <w:rPr>
                <w:rFonts w:cs="Arial"/>
                <w:color w:val="000000"/>
                <w:sz w:val="22"/>
              </w:rPr>
              <w:t>9,206</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279C112B" w14:textId="0E37C7EF" w:rsidR="00960356" w:rsidRPr="00D6605E" w:rsidRDefault="00960356" w:rsidP="00960356">
            <w:pPr>
              <w:spacing w:after="0"/>
              <w:jc w:val="center"/>
              <w:rPr>
                <w:rFonts w:eastAsia="Times New Roman" w:cs="Arial"/>
                <w:color w:val="000000"/>
                <w:szCs w:val="24"/>
              </w:rPr>
            </w:pPr>
            <w:r w:rsidRPr="00DB794B">
              <w:rPr>
                <w:rFonts w:cs="Arial"/>
                <w:color w:val="000000"/>
                <w:sz w:val="22"/>
              </w:rPr>
              <w:t>10,305</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94B771D"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1,099</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F255ADE"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11.94%</w:t>
            </w:r>
          </w:p>
        </w:tc>
      </w:tr>
      <w:tr w:rsidR="00960356" w:rsidRPr="00D6605E" w14:paraId="08A2EE6E" w14:textId="77777777" w:rsidTr="00334002">
        <w:trPr>
          <w:trHeight w:val="426"/>
        </w:trPr>
        <w:tc>
          <w:tcPr>
            <w:tcW w:w="3802" w:type="dxa"/>
            <w:shd w:val="clear" w:color="auto" w:fill="auto"/>
            <w:noWrap/>
            <w:vAlign w:val="center"/>
            <w:hideMark/>
          </w:tcPr>
          <w:p w14:paraId="30A72242"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Total Stockholders' Equity</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6D9FC65" w14:textId="1EE90BAB" w:rsidR="00960356" w:rsidRPr="00D6605E" w:rsidRDefault="00960356" w:rsidP="00960356">
            <w:pPr>
              <w:spacing w:after="0"/>
              <w:jc w:val="center"/>
              <w:rPr>
                <w:rFonts w:eastAsia="Times New Roman" w:cs="Arial"/>
                <w:color w:val="000000"/>
                <w:szCs w:val="24"/>
              </w:rPr>
            </w:pPr>
            <w:r w:rsidRPr="00DB794B">
              <w:rPr>
                <w:rFonts w:cs="Arial"/>
                <w:color w:val="000000"/>
                <w:sz w:val="22"/>
              </w:rPr>
              <w:t>430</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43B46DEE" w14:textId="027372B7" w:rsidR="00960356" w:rsidRPr="00D6605E" w:rsidRDefault="00960356" w:rsidP="00960356">
            <w:pPr>
              <w:spacing w:after="0"/>
              <w:jc w:val="center"/>
              <w:rPr>
                <w:rFonts w:eastAsia="Times New Roman" w:cs="Arial"/>
                <w:color w:val="000000"/>
                <w:szCs w:val="24"/>
              </w:rPr>
            </w:pPr>
            <w:r w:rsidRPr="00DB794B">
              <w:rPr>
                <w:rFonts w:cs="Arial"/>
                <w:color w:val="000000"/>
                <w:sz w:val="22"/>
              </w:rPr>
              <w:t>1,414</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BEA28FC"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984</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1335078"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228.84%</w:t>
            </w:r>
          </w:p>
        </w:tc>
      </w:tr>
      <w:tr w:rsidR="00960356" w:rsidRPr="00D6605E" w14:paraId="281D6CB7" w14:textId="77777777" w:rsidTr="00334002">
        <w:trPr>
          <w:trHeight w:val="426"/>
        </w:trPr>
        <w:tc>
          <w:tcPr>
            <w:tcW w:w="3802" w:type="dxa"/>
            <w:shd w:val="clear" w:color="auto" w:fill="auto"/>
            <w:noWrap/>
            <w:vAlign w:val="center"/>
            <w:hideMark/>
          </w:tcPr>
          <w:p w14:paraId="6DA19579" w14:textId="77777777" w:rsidR="00960356" w:rsidRPr="00D6605E" w:rsidRDefault="00960356" w:rsidP="00960356">
            <w:pPr>
              <w:spacing w:after="0"/>
              <w:rPr>
                <w:rFonts w:eastAsia="Times New Roman" w:cs="Arial"/>
                <w:color w:val="000000"/>
                <w:szCs w:val="24"/>
              </w:rPr>
            </w:pPr>
            <w:r w:rsidRPr="00D6605E">
              <w:rPr>
                <w:rFonts w:eastAsia="Times New Roman" w:cs="Arial"/>
                <w:color w:val="000000"/>
                <w:szCs w:val="24"/>
              </w:rPr>
              <w:t>Total Liabilities and Stockholder</w:t>
            </w:r>
          </w:p>
        </w:tc>
        <w:tc>
          <w:tcPr>
            <w:tcW w:w="1593"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AF046E7" w14:textId="2F102E0A" w:rsidR="00960356" w:rsidRPr="00D6605E" w:rsidRDefault="00960356" w:rsidP="00960356">
            <w:pPr>
              <w:spacing w:after="0"/>
              <w:jc w:val="center"/>
              <w:rPr>
                <w:rFonts w:eastAsia="Times New Roman" w:cs="Arial"/>
                <w:color w:val="000000"/>
                <w:szCs w:val="24"/>
              </w:rPr>
            </w:pPr>
            <w:r w:rsidRPr="00DB794B">
              <w:rPr>
                <w:rFonts w:cs="Arial"/>
                <w:color w:val="000000"/>
                <w:sz w:val="22"/>
              </w:rPr>
              <w:t>24,701</w:t>
            </w:r>
          </w:p>
        </w:tc>
        <w:tc>
          <w:tcPr>
            <w:tcW w:w="1415" w:type="dxa"/>
            <w:tcBorders>
              <w:top w:val="single" w:sz="4" w:space="0" w:color="auto"/>
              <w:left w:val="nil"/>
              <w:bottom w:val="single" w:sz="4" w:space="0" w:color="auto"/>
              <w:right w:val="single" w:sz="4" w:space="0" w:color="auto"/>
            </w:tcBorders>
            <w:shd w:val="clear" w:color="auto" w:fill="auto"/>
            <w:noWrap/>
            <w:vAlign w:val="center"/>
          </w:tcPr>
          <w:p w14:paraId="1EDD072D" w14:textId="21F11BE8" w:rsidR="00960356" w:rsidRPr="00D6605E" w:rsidRDefault="00960356" w:rsidP="00960356">
            <w:pPr>
              <w:spacing w:after="0"/>
              <w:jc w:val="center"/>
              <w:rPr>
                <w:rFonts w:eastAsia="Times New Roman" w:cs="Arial"/>
                <w:color w:val="000000"/>
                <w:szCs w:val="24"/>
              </w:rPr>
            </w:pPr>
            <w:r w:rsidRPr="00DB794B">
              <w:rPr>
                <w:rFonts w:cs="Arial"/>
                <w:color w:val="000000"/>
                <w:sz w:val="22"/>
              </w:rPr>
              <w:t>25,553</w:t>
            </w:r>
          </w:p>
        </w:tc>
        <w:tc>
          <w:tcPr>
            <w:tcW w:w="141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0691B8C"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852</w:t>
            </w:r>
          </w:p>
        </w:tc>
        <w:tc>
          <w:tcPr>
            <w:tcW w:w="133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B52874C" w14:textId="77777777" w:rsidR="00960356" w:rsidRPr="00D6605E" w:rsidRDefault="00960356" w:rsidP="00960356">
            <w:pPr>
              <w:spacing w:after="0"/>
              <w:jc w:val="center"/>
              <w:rPr>
                <w:rFonts w:eastAsia="Times New Roman" w:cs="Arial"/>
                <w:color w:val="000000"/>
                <w:szCs w:val="24"/>
              </w:rPr>
            </w:pPr>
            <w:r w:rsidRPr="00D6605E">
              <w:rPr>
                <w:rFonts w:cs="Arial"/>
                <w:color w:val="000000"/>
                <w:sz w:val="22"/>
              </w:rPr>
              <w:t>3.45%</w:t>
            </w:r>
          </w:p>
        </w:tc>
      </w:tr>
    </w:tbl>
    <w:p w14:paraId="43A63862" w14:textId="2908A0A8" w:rsidR="00D6605E" w:rsidRDefault="00D6605E" w:rsidP="00960356">
      <w:pPr>
        <w:jc w:val="center"/>
      </w:pPr>
      <w:bookmarkStart w:id="7" w:name="_Toc94728143"/>
      <w:bookmarkStart w:id="8" w:name="_Toc104625877"/>
      <w:r w:rsidRPr="00D6605E">
        <w:t>Figure 02: Balance Sheet</w:t>
      </w:r>
      <w:r w:rsidR="00960356">
        <w:t xml:space="preserve"> Horizontal Analysis</w:t>
      </w:r>
      <w:r w:rsidRPr="00D6605E">
        <w:t xml:space="preserve"> (Source: Author)</w:t>
      </w:r>
    </w:p>
    <w:p w14:paraId="4B080933" w14:textId="0E55BDE6" w:rsidR="00FD2467" w:rsidRDefault="00FD2467" w:rsidP="00960356">
      <w:pPr>
        <w:jc w:val="center"/>
      </w:pPr>
    </w:p>
    <w:p w14:paraId="0A62E844" w14:textId="77777777" w:rsidR="00FD2467" w:rsidRPr="00D6605E" w:rsidRDefault="00FD2467" w:rsidP="00960356">
      <w:pPr>
        <w:jc w:val="center"/>
      </w:pPr>
    </w:p>
    <w:p w14:paraId="40AE3D1E" w14:textId="3FEB76DD" w:rsidR="0094326B" w:rsidRDefault="0094326B" w:rsidP="0094326B">
      <w:pPr>
        <w:rPr>
          <w:b/>
          <w:bCs/>
        </w:rPr>
      </w:pPr>
      <w:r w:rsidRPr="00D6605E">
        <w:rPr>
          <w:b/>
          <w:bCs/>
        </w:rPr>
        <w:t>2.</w:t>
      </w:r>
      <w:r>
        <w:rPr>
          <w:b/>
          <w:bCs/>
        </w:rPr>
        <w:t>2</w:t>
      </w:r>
      <w:r w:rsidRPr="00D6605E">
        <w:rPr>
          <w:b/>
          <w:bCs/>
        </w:rPr>
        <w:t xml:space="preserve"> Efficiency Analysis</w:t>
      </w:r>
    </w:p>
    <w:p w14:paraId="776B7FCA" w14:textId="77777777" w:rsidR="0094326B" w:rsidRPr="00D6605E" w:rsidRDefault="0094326B" w:rsidP="0094326B">
      <w:pPr>
        <w:rPr>
          <w:rFonts w:cs="Arial"/>
          <w:i/>
          <w:iCs/>
        </w:rPr>
      </w:pPr>
      <w:r>
        <w:rPr>
          <w:rFonts w:cs="Arial"/>
          <w:i/>
          <w:iCs/>
        </w:rPr>
        <w:t>1</w:t>
      </w:r>
      <w:r w:rsidRPr="00D6605E">
        <w:rPr>
          <w:rFonts w:cs="Arial"/>
          <w:i/>
          <w:iCs/>
        </w:rPr>
        <w:t>. Days of Sales in Receivables</w:t>
      </w:r>
    </w:p>
    <w:p w14:paraId="72125BB2" w14:textId="77777777" w:rsidR="0094326B" w:rsidRPr="00D6605E" w:rsidRDefault="0094326B" w:rsidP="0094326B">
      <w:pPr>
        <w:rPr>
          <w:rFonts w:cs="Arial"/>
        </w:rPr>
      </w:pPr>
      <w:r w:rsidRPr="00C717BE">
        <w:rPr>
          <w:rFonts w:cs="Arial"/>
        </w:rPr>
        <w:t>Using this ratio, businesses may see how successfully they are managing their accounts receivable (Brigham &amp; Ehrhardt, 2020).</w:t>
      </w:r>
    </w:p>
    <w:tbl>
      <w:tblPr>
        <w:tblStyle w:val="TableGrid"/>
        <w:tblW w:w="9355" w:type="dxa"/>
        <w:tblLook w:val="04A0" w:firstRow="1" w:lastRow="0" w:firstColumn="1" w:lastColumn="0" w:noHBand="0" w:noVBand="1"/>
      </w:tblPr>
      <w:tblGrid>
        <w:gridCol w:w="4045"/>
        <w:gridCol w:w="2520"/>
        <w:gridCol w:w="2790"/>
      </w:tblGrid>
      <w:tr w:rsidR="0094326B" w:rsidRPr="00D6605E" w14:paraId="3F9D1E9A" w14:textId="77777777" w:rsidTr="00687E84">
        <w:tc>
          <w:tcPr>
            <w:tcW w:w="4045" w:type="dxa"/>
            <w:shd w:val="clear" w:color="auto" w:fill="D9E2F3" w:themeFill="accent1" w:themeFillTint="33"/>
            <w:vAlign w:val="center"/>
          </w:tcPr>
          <w:p w14:paraId="4554AA7C" w14:textId="77777777" w:rsidR="0094326B" w:rsidRPr="00D6605E" w:rsidRDefault="0094326B" w:rsidP="00687E84">
            <w:pPr>
              <w:jc w:val="center"/>
            </w:pPr>
            <w:bookmarkStart w:id="9" w:name="_Hlk118497409"/>
            <w:r w:rsidRPr="00D6605E">
              <w:t>Formula</w:t>
            </w:r>
          </w:p>
        </w:tc>
        <w:tc>
          <w:tcPr>
            <w:tcW w:w="2520" w:type="dxa"/>
            <w:shd w:val="clear" w:color="auto" w:fill="D9E2F3" w:themeFill="accent1" w:themeFillTint="33"/>
            <w:vAlign w:val="center"/>
          </w:tcPr>
          <w:p w14:paraId="5C1D2366" w14:textId="77777777" w:rsidR="0094326B" w:rsidRPr="00D6605E" w:rsidRDefault="0094326B" w:rsidP="00687E84">
            <w:pPr>
              <w:jc w:val="center"/>
            </w:pPr>
            <w:r w:rsidRPr="00D6605E">
              <w:t>[202</w:t>
            </w:r>
            <w:r>
              <w:t>1</w:t>
            </w:r>
            <w:r w:rsidRPr="00D6605E">
              <w:t>Y]</w:t>
            </w:r>
          </w:p>
          <w:p w14:paraId="64E3DD6A" w14:textId="77777777" w:rsidR="0094326B" w:rsidRPr="00D6605E" w:rsidRDefault="0094326B" w:rsidP="00687E84">
            <w:pPr>
              <w:jc w:val="center"/>
            </w:pPr>
            <w:r w:rsidRPr="00D6605E">
              <w:t>($</w:t>
            </w:r>
            <w:r w:rsidRPr="00D6605E">
              <w:rPr>
                <w:rFonts w:cs="Arial"/>
              </w:rPr>
              <w:t>m)</w:t>
            </w:r>
          </w:p>
        </w:tc>
        <w:tc>
          <w:tcPr>
            <w:tcW w:w="2790" w:type="dxa"/>
            <w:shd w:val="clear" w:color="auto" w:fill="D9E2F3" w:themeFill="accent1" w:themeFillTint="33"/>
            <w:vAlign w:val="center"/>
          </w:tcPr>
          <w:p w14:paraId="14B211CA" w14:textId="77777777" w:rsidR="0094326B" w:rsidRPr="00D6605E" w:rsidRDefault="0094326B" w:rsidP="00687E84">
            <w:pPr>
              <w:jc w:val="center"/>
            </w:pPr>
            <w:r w:rsidRPr="00D6605E">
              <w:t>[202</w:t>
            </w:r>
            <w:r>
              <w:t>0</w:t>
            </w:r>
            <w:r w:rsidRPr="00D6605E">
              <w:t>Y]</w:t>
            </w:r>
          </w:p>
          <w:p w14:paraId="0E61238A" w14:textId="77777777" w:rsidR="0094326B" w:rsidRPr="00D6605E" w:rsidRDefault="0094326B" w:rsidP="00687E84">
            <w:pPr>
              <w:jc w:val="center"/>
            </w:pPr>
            <w:r w:rsidRPr="00D6605E">
              <w:t>($m)</w:t>
            </w:r>
          </w:p>
        </w:tc>
      </w:tr>
      <w:tr w:rsidR="0094326B" w:rsidRPr="00D6605E" w14:paraId="583F7793" w14:textId="77777777" w:rsidTr="00687E84">
        <w:tc>
          <w:tcPr>
            <w:tcW w:w="4045" w:type="dxa"/>
            <w:shd w:val="clear" w:color="auto" w:fill="FFFFFF" w:themeFill="background1"/>
            <w:vAlign w:val="center"/>
          </w:tcPr>
          <w:p w14:paraId="09ABE000" w14:textId="77777777" w:rsidR="0094326B" w:rsidRPr="00D6605E" w:rsidRDefault="0094326B" w:rsidP="00687E84">
            <w:pPr>
              <w:jc w:val="center"/>
            </w:pPr>
            <m:oMathPara>
              <m:oMath>
                <m:r>
                  <m:rPr>
                    <m:nor/>
                  </m:rPr>
                  <w:rPr>
                    <w:rFonts w:cs="Arial"/>
                  </w:rPr>
                  <m:t>365 ÷</m:t>
                </m:r>
                <m:f>
                  <m:fPr>
                    <m:ctrlPr>
                      <w:rPr>
                        <w:rFonts w:ascii="Cambria Math" w:hAnsi="Cambria Math"/>
                        <w:i/>
                      </w:rPr>
                    </m:ctrlPr>
                  </m:fPr>
                  <m:num>
                    <m:r>
                      <m:rPr>
                        <m:nor/>
                      </m:rPr>
                      <w:rPr>
                        <w:rFonts w:ascii="Cambria Math"/>
                      </w:rPr>
                      <m:t>[</m:t>
                    </m:r>
                    <m:r>
                      <m:rPr>
                        <m:nor/>
                      </m:rPr>
                      <m:t>Revenue</m:t>
                    </m:r>
                    <m:r>
                      <m:rPr>
                        <m:nor/>
                      </m:rPr>
                      <w:rPr>
                        <w:rFonts w:ascii="Cambria Math"/>
                      </w:rPr>
                      <m:t>]</m:t>
                    </m:r>
                  </m:num>
                  <m:den>
                    <m:r>
                      <m:rPr>
                        <m:nor/>
                      </m:rPr>
                      <w:rPr>
                        <w:rFonts w:ascii="Cambria Math"/>
                      </w:rPr>
                      <m:t>[</m:t>
                    </m:r>
                    <m:r>
                      <m:rPr>
                        <m:nor/>
                      </m:rPr>
                      <m:t>Receivables</m:t>
                    </m:r>
                    <m:r>
                      <m:rPr>
                        <m:nor/>
                      </m:rPr>
                      <w:rPr>
                        <w:rFonts w:ascii="Cambria Math"/>
                      </w:rPr>
                      <m:t>]</m:t>
                    </m:r>
                  </m:den>
                </m:f>
              </m:oMath>
            </m:oMathPara>
          </w:p>
        </w:tc>
        <w:tc>
          <w:tcPr>
            <w:tcW w:w="2520" w:type="dxa"/>
          </w:tcPr>
          <w:p w14:paraId="21BD229D" w14:textId="77777777" w:rsidR="0094326B" w:rsidRPr="00D6605E" w:rsidRDefault="0094326B" w:rsidP="00687E84">
            <w:r w:rsidRPr="00D6605E">
              <w:t xml:space="preserve">365 </w:t>
            </w:r>
            <w:r w:rsidRPr="00D6605E">
              <w:rPr>
                <w:rFonts w:cs="Arial"/>
              </w:rPr>
              <w:t>÷</w:t>
            </w:r>
            <w:r w:rsidRPr="00D6605E">
              <w:t xml:space="preserve"> [13857÷1982]</w:t>
            </w:r>
          </w:p>
        </w:tc>
        <w:tc>
          <w:tcPr>
            <w:tcW w:w="2790" w:type="dxa"/>
          </w:tcPr>
          <w:p w14:paraId="6FE5A6DE" w14:textId="77777777" w:rsidR="0094326B" w:rsidRPr="00D6605E" w:rsidRDefault="0094326B" w:rsidP="00687E84">
            <w:r>
              <w:t xml:space="preserve">365 </w:t>
            </w:r>
            <w:r>
              <w:rPr>
                <w:rFonts w:cs="Arial"/>
              </w:rPr>
              <w:t>÷</w:t>
            </w:r>
            <w:r>
              <w:t xml:space="preserve"> [10571</w:t>
            </w:r>
            <w:r>
              <w:rPr>
                <w:rFonts w:cs="Arial"/>
              </w:rPr>
              <w:t>÷1768]</w:t>
            </w:r>
          </w:p>
        </w:tc>
      </w:tr>
      <w:tr w:rsidR="0094326B" w:rsidRPr="00D6605E" w14:paraId="0F2AFE91" w14:textId="77777777" w:rsidTr="00687E84">
        <w:tc>
          <w:tcPr>
            <w:tcW w:w="4045" w:type="dxa"/>
            <w:shd w:val="clear" w:color="auto" w:fill="FFFFFF" w:themeFill="background1"/>
          </w:tcPr>
          <w:p w14:paraId="15DB3605" w14:textId="77777777" w:rsidR="0094326B" w:rsidRPr="00D6605E" w:rsidRDefault="0094326B" w:rsidP="00687E84">
            <w:pPr>
              <w:jc w:val="center"/>
              <w:rPr>
                <w:b/>
                <w:bCs/>
              </w:rPr>
            </w:pPr>
            <w:r w:rsidRPr="00D6605E">
              <w:rPr>
                <w:b/>
                <w:bCs/>
              </w:rPr>
              <w:t>Ratio</w:t>
            </w:r>
          </w:p>
        </w:tc>
        <w:tc>
          <w:tcPr>
            <w:tcW w:w="2520" w:type="dxa"/>
          </w:tcPr>
          <w:p w14:paraId="15B41BB6" w14:textId="77777777" w:rsidR="0094326B" w:rsidRPr="00D6605E" w:rsidRDefault="0094326B" w:rsidP="00687E84">
            <w:pPr>
              <w:jc w:val="center"/>
              <w:rPr>
                <w:b/>
                <w:bCs/>
              </w:rPr>
            </w:pPr>
            <w:r w:rsidRPr="00D6605E">
              <w:rPr>
                <w:b/>
                <w:bCs/>
              </w:rPr>
              <w:t>52.21</w:t>
            </w:r>
          </w:p>
        </w:tc>
        <w:tc>
          <w:tcPr>
            <w:tcW w:w="2790" w:type="dxa"/>
          </w:tcPr>
          <w:p w14:paraId="3997C9F1" w14:textId="77777777" w:rsidR="0094326B" w:rsidRPr="00D6605E" w:rsidRDefault="0094326B" w:rsidP="00687E84">
            <w:pPr>
              <w:jc w:val="center"/>
              <w:rPr>
                <w:b/>
                <w:bCs/>
              </w:rPr>
            </w:pPr>
            <w:r>
              <w:rPr>
                <w:b/>
                <w:bCs/>
              </w:rPr>
              <w:t>61.05</w:t>
            </w:r>
          </w:p>
        </w:tc>
      </w:tr>
    </w:tbl>
    <w:bookmarkEnd w:id="9"/>
    <w:p w14:paraId="7F74B63F" w14:textId="68C64554" w:rsidR="0094326B" w:rsidRPr="00D6605E" w:rsidRDefault="0094326B" w:rsidP="0094326B">
      <w:pPr>
        <w:jc w:val="center"/>
        <w:rPr>
          <w:rFonts w:cs="Arial"/>
        </w:rPr>
      </w:pPr>
      <w:r w:rsidRPr="00D6605E">
        <w:rPr>
          <w:rFonts w:cs="Arial"/>
        </w:rPr>
        <w:t xml:space="preserve">Figure </w:t>
      </w:r>
      <w:r>
        <w:rPr>
          <w:rFonts w:cs="Arial"/>
        </w:rPr>
        <w:t>03</w:t>
      </w:r>
      <w:r w:rsidRPr="00D6605E">
        <w:rPr>
          <w:rFonts w:cs="Arial"/>
        </w:rPr>
        <w:t>: Days of Sales in Receivables (Source: Author)</w:t>
      </w:r>
    </w:p>
    <w:p w14:paraId="4D435F95" w14:textId="7C8247D9" w:rsidR="0094326B" w:rsidRPr="00D6605E" w:rsidRDefault="0094326B" w:rsidP="0094326B">
      <w:r w:rsidRPr="00C717BE">
        <w:t xml:space="preserve">Figure </w:t>
      </w:r>
      <w:r>
        <w:t>03</w:t>
      </w:r>
      <w:r w:rsidRPr="00C717BE">
        <w:t xml:space="preserve"> shows a modest drop in receivable days, indicating that Marriott International's receivables management has improved and the corporation now needs less time to recover credit sales.</w:t>
      </w:r>
    </w:p>
    <w:p w14:paraId="2CB6BDC8" w14:textId="77777777" w:rsidR="0094326B" w:rsidRPr="00D6605E" w:rsidRDefault="0094326B" w:rsidP="0094326B">
      <w:pPr>
        <w:rPr>
          <w:rFonts w:cs="Arial"/>
          <w:i/>
          <w:iCs/>
        </w:rPr>
      </w:pPr>
      <w:r>
        <w:rPr>
          <w:rFonts w:cs="Arial"/>
          <w:i/>
          <w:iCs/>
        </w:rPr>
        <w:t>2</w:t>
      </w:r>
      <w:r w:rsidRPr="00D6605E">
        <w:rPr>
          <w:rFonts w:cs="Arial"/>
          <w:i/>
          <w:iCs/>
        </w:rPr>
        <w:t>. Days of Purchase in Payables</w:t>
      </w:r>
    </w:p>
    <w:p w14:paraId="799B75A6" w14:textId="77777777" w:rsidR="0094326B" w:rsidRPr="00D6605E" w:rsidRDefault="0094326B" w:rsidP="0094326B">
      <w:pPr>
        <w:rPr>
          <w:rFonts w:cs="Arial"/>
        </w:rPr>
      </w:pPr>
      <w:r w:rsidRPr="00C717BE">
        <w:rPr>
          <w:rFonts w:cs="Arial"/>
        </w:rPr>
        <w:t>This ratio indicates how long it takes, on average, for a company to pay its suppliers and vendors for products and services purchased on credit (Brigham and Houston, 2012).</w:t>
      </w:r>
    </w:p>
    <w:tbl>
      <w:tblPr>
        <w:tblStyle w:val="TableGrid"/>
        <w:tblW w:w="9355" w:type="dxa"/>
        <w:tblLook w:val="04A0" w:firstRow="1" w:lastRow="0" w:firstColumn="1" w:lastColumn="0" w:noHBand="0" w:noVBand="1"/>
      </w:tblPr>
      <w:tblGrid>
        <w:gridCol w:w="4045"/>
        <w:gridCol w:w="2520"/>
        <w:gridCol w:w="2790"/>
      </w:tblGrid>
      <w:tr w:rsidR="0094326B" w:rsidRPr="00D6605E" w14:paraId="3D049B79" w14:textId="77777777" w:rsidTr="00687E84">
        <w:tc>
          <w:tcPr>
            <w:tcW w:w="4045" w:type="dxa"/>
            <w:shd w:val="clear" w:color="auto" w:fill="D9E2F3" w:themeFill="accent1" w:themeFillTint="33"/>
            <w:vAlign w:val="center"/>
          </w:tcPr>
          <w:p w14:paraId="5BFD52E5" w14:textId="77777777" w:rsidR="0094326B" w:rsidRPr="00D6605E" w:rsidRDefault="0094326B" w:rsidP="00687E84">
            <w:pPr>
              <w:jc w:val="center"/>
            </w:pPr>
            <w:r w:rsidRPr="00D6605E">
              <w:t>Formula</w:t>
            </w:r>
          </w:p>
        </w:tc>
        <w:tc>
          <w:tcPr>
            <w:tcW w:w="2520" w:type="dxa"/>
            <w:shd w:val="clear" w:color="auto" w:fill="D9E2F3" w:themeFill="accent1" w:themeFillTint="33"/>
            <w:vAlign w:val="center"/>
          </w:tcPr>
          <w:p w14:paraId="2062031F" w14:textId="77777777" w:rsidR="0094326B" w:rsidRPr="00D6605E" w:rsidRDefault="0094326B" w:rsidP="00687E84">
            <w:pPr>
              <w:jc w:val="center"/>
            </w:pPr>
            <w:r w:rsidRPr="00D6605E">
              <w:t>[202</w:t>
            </w:r>
            <w:r>
              <w:t>1</w:t>
            </w:r>
            <w:r w:rsidRPr="00D6605E">
              <w:t>Y]</w:t>
            </w:r>
          </w:p>
          <w:p w14:paraId="6B1E6D43" w14:textId="77777777" w:rsidR="0094326B" w:rsidRPr="00D6605E" w:rsidRDefault="0094326B" w:rsidP="00687E84">
            <w:pPr>
              <w:jc w:val="center"/>
            </w:pPr>
            <w:r w:rsidRPr="00D6605E">
              <w:t>($</w:t>
            </w:r>
            <w:r w:rsidRPr="00D6605E">
              <w:rPr>
                <w:rFonts w:cs="Arial"/>
              </w:rPr>
              <w:t>m)</w:t>
            </w:r>
          </w:p>
        </w:tc>
        <w:tc>
          <w:tcPr>
            <w:tcW w:w="2790" w:type="dxa"/>
            <w:shd w:val="clear" w:color="auto" w:fill="D9E2F3" w:themeFill="accent1" w:themeFillTint="33"/>
            <w:vAlign w:val="center"/>
          </w:tcPr>
          <w:p w14:paraId="09529B9A" w14:textId="77777777" w:rsidR="0094326B" w:rsidRPr="00D6605E" w:rsidRDefault="0094326B" w:rsidP="00687E84">
            <w:pPr>
              <w:jc w:val="center"/>
            </w:pPr>
            <w:r w:rsidRPr="00D6605E">
              <w:t>[202</w:t>
            </w:r>
            <w:r>
              <w:t>0</w:t>
            </w:r>
            <w:r w:rsidRPr="00D6605E">
              <w:t>Y]</w:t>
            </w:r>
          </w:p>
          <w:p w14:paraId="41282AF4" w14:textId="77777777" w:rsidR="0094326B" w:rsidRPr="00D6605E" w:rsidRDefault="0094326B" w:rsidP="00687E84">
            <w:pPr>
              <w:jc w:val="center"/>
            </w:pPr>
            <w:r w:rsidRPr="00D6605E">
              <w:t>($m)</w:t>
            </w:r>
          </w:p>
        </w:tc>
      </w:tr>
      <w:tr w:rsidR="0094326B" w:rsidRPr="00D6605E" w14:paraId="46D16319" w14:textId="77777777" w:rsidTr="00687E84">
        <w:tc>
          <w:tcPr>
            <w:tcW w:w="4045" w:type="dxa"/>
            <w:shd w:val="clear" w:color="auto" w:fill="FFFFFF" w:themeFill="background1"/>
            <w:vAlign w:val="center"/>
          </w:tcPr>
          <w:p w14:paraId="74CD39B6" w14:textId="77777777" w:rsidR="0094326B" w:rsidRPr="00D6605E" w:rsidRDefault="0094326B" w:rsidP="00687E84">
            <w:pPr>
              <w:jc w:val="center"/>
            </w:pPr>
            <m:oMathPara>
              <m:oMath>
                <m:r>
                  <m:rPr>
                    <m:nor/>
                  </m:rPr>
                  <w:rPr>
                    <w:rFonts w:cs="Arial"/>
                  </w:rPr>
                  <m:t>365 ÷</m:t>
                </m:r>
                <m:f>
                  <m:fPr>
                    <m:ctrlPr>
                      <w:rPr>
                        <w:rFonts w:ascii="Cambria Math" w:hAnsi="Cambria Math"/>
                        <w:i/>
                      </w:rPr>
                    </m:ctrlPr>
                  </m:fPr>
                  <m:num>
                    <m:r>
                      <m:rPr>
                        <m:nor/>
                      </m:rPr>
                      <w:rPr>
                        <w:rFonts w:ascii="Cambria Math" w:cs="Arial"/>
                      </w:rPr>
                      <m:t>[</m:t>
                    </m:r>
                    <m:r>
                      <m:rPr>
                        <m:nor/>
                      </m:rPr>
                      <w:rPr>
                        <w:rFonts w:cs="Arial"/>
                      </w:rPr>
                      <m:t>Cost of</m:t>
                    </m:r>
                    <m:r>
                      <m:rPr>
                        <m:nor/>
                      </m:rPr>
                      <w:rPr>
                        <w:rFonts w:ascii="Cambria Math"/>
                      </w:rPr>
                      <m:t xml:space="preserve"> </m:t>
                    </m:r>
                    <m:r>
                      <m:rPr>
                        <m:nor/>
                      </m:rPr>
                      <m:t>Revenue</m:t>
                    </m:r>
                    <m:r>
                      <m:rPr>
                        <m:nor/>
                      </m:rPr>
                      <w:rPr>
                        <w:rFonts w:ascii="Cambria Math"/>
                      </w:rPr>
                      <m:t>]</m:t>
                    </m:r>
                  </m:num>
                  <m:den>
                    <m:r>
                      <m:rPr>
                        <m:nor/>
                      </m:rPr>
                      <w:rPr>
                        <w:rFonts w:ascii="Cambria Math"/>
                      </w:rPr>
                      <m:t>[</m:t>
                    </m:r>
                    <m:r>
                      <m:rPr>
                        <m:nor/>
                      </m:rPr>
                      <m:t>Payables</m:t>
                    </m:r>
                    <m:r>
                      <m:rPr>
                        <m:nor/>
                      </m:rPr>
                      <w:rPr>
                        <w:rFonts w:ascii="Cambria Math"/>
                      </w:rPr>
                      <m:t>]</m:t>
                    </m:r>
                  </m:den>
                </m:f>
              </m:oMath>
            </m:oMathPara>
          </w:p>
        </w:tc>
        <w:tc>
          <w:tcPr>
            <w:tcW w:w="2520" w:type="dxa"/>
          </w:tcPr>
          <w:p w14:paraId="002BE346" w14:textId="77777777" w:rsidR="0094326B" w:rsidRPr="00D6605E" w:rsidRDefault="0094326B" w:rsidP="00687E84">
            <w:r w:rsidRPr="00D6605E">
              <w:t xml:space="preserve">365 </w:t>
            </w:r>
            <w:r w:rsidRPr="00D6605E">
              <w:rPr>
                <w:rFonts w:cs="Arial"/>
              </w:rPr>
              <w:t>÷</w:t>
            </w:r>
            <w:r w:rsidRPr="00D6605E">
              <w:t xml:space="preserve"> [11064÷726]</w:t>
            </w:r>
          </w:p>
        </w:tc>
        <w:tc>
          <w:tcPr>
            <w:tcW w:w="2790" w:type="dxa"/>
          </w:tcPr>
          <w:p w14:paraId="2EBA9420" w14:textId="77777777" w:rsidR="0094326B" w:rsidRPr="00D6605E" w:rsidRDefault="0094326B" w:rsidP="00687E84">
            <w:r>
              <w:t xml:space="preserve">365 </w:t>
            </w:r>
            <w:r>
              <w:rPr>
                <w:rFonts w:cs="Arial"/>
              </w:rPr>
              <w:t>÷</w:t>
            </w:r>
            <w:r>
              <w:t xml:space="preserve"> [9379</w:t>
            </w:r>
            <w:r>
              <w:rPr>
                <w:rFonts w:cs="Arial"/>
              </w:rPr>
              <w:t>÷527]</w:t>
            </w:r>
          </w:p>
        </w:tc>
      </w:tr>
      <w:tr w:rsidR="0094326B" w:rsidRPr="00D6605E" w14:paraId="0AEEEE7F" w14:textId="77777777" w:rsidTr="00687E84">
        <w:tc>
          <w:tcPr>
            <w:tcW w:w="4045" w:type="dxa"/>
            <w:shd w:val="clear" w:color="auto" w:fill="FFFFFF" w:themeFill="background1"/>
          </w:tcPr>
          <w:p w14:paraId="69D38547" w14:textId="77777777" w:rsidR="0094326B" w:rsidRPr="00D6605E" w:rsidRDefault="0094326B" w:rsidP="00687E84">
            <w:pPr>
              <w:jc w:val="center"/>
              <w:rPr>
                <w:b/>
                <w:bCs/>
              </w:rPr>
            </w:pPr>
            <w:r w:rsidRPr="00D6605E">
              <w:rPr>
                <w:b/>
                <w:bCs/>
              </w:rPr>
              <w:t>Ratio</w:t>
            </w:r>
          </w:p>
        </w:tc>
        <w:tc>
          <w:tcPr>
            <w:tcW w:w="2520" w:type="dxa"/>
          </w:tcPr>
          <w:p w14:paraId="72ACF4C5" w14:textId="77777777" w:rsidR="0094326B" w:rsidRPr="00D6605E" w:rsidRDefault="0094326B" w:rsidP="00687E84">
            <w:pPr>
              <w:jc w:val="center"/>
              <w:rPr>
                <w:b/>
                <w:bCs/>
              </w:rPr>
            </w:pPr>
            <w:r w:rsidRPr="00D6605E">
              <w:rPr>
                <w:b/>
                <w:bCs/>
              </w:rPr>
              <w:t>23.95</w:t>
            </w:r>
          </w:p>
        </w:tc>
        <w:tc>
          <w:tcPr>
            <w:tcW w:w="2790" w:type="dxa"/>
          </w:tcPr>
          <w:p w14:paraId="70370CB2" w14:textId="77777777" w:rsidR="0094326B" w:rsidRPr="00D6605E" w:rsidRDefault="0094326B" w:rsidP="00687E84">
            <w:pPr>
              <w:jc w:val="center"/>
              <w:rPr>
                <w:b/>
                <w:bCs/>
              </w:rPr>
            </w:pPr>
            <w:r>
              <w:rPr>
                <w:b/>
                <w:bCs/>
              </w:rPr>
              <w:t>20.51</w:t>
            </w:r>
          </w:p>
        </w:tc>
      </w:tr>
    </w:tbl>
    <w:p w14:paraId="0B402BEC" w14:textId="0456446D" w:rsidR="0094326B" w:rsidRPr="00D6605E" w:rsidRDefault="0094326B" w:rsidP="0094326B">
      <w:pPr>
        <w:jc w:val="center"/>
        <w:rPr>
          <w:rFonts w:cs="Arial"/>
        </w:rPr>
      </w:pPr>
      <w:r w:rsidRPr="00D6605E">
        <w:rPr>
          <w:rFonts w:cs="Arial"/>
        </w:rPr>
        <w:t xml:space="preserve">Figure </w:t>
      </w:r>
      <w:r>
        <w:rPr>
          <w:rFonts w:cs="Arial"/>
        </w:rPr>
        <w:t>04</w:t>
      </w:r>
      <w:r w:rsidRPr="00D6605E">
        <w:rPr>
          <w:rFonts w:cs="Arial"/>
        </w:rPr>
        <w:t>: Days of Purchases in Payables (Source: Author)</w:t>
      </w:r>
    </w:p>
    <w:p w14:paraId="37E1AF89" w14:textId="77777777" w:rsidR="0094326B" w:rsidRDefault="0094326B" w:rsidP="0094326B">
      <w:r w:rsidRPr="00C717BE">
        <w:t>With more time to return the supplier credits, a rise in payables days is a sign that Marriott International has improved its payables management.</w:t>
      </w:r>
    </w:p>
    <w:p w14:paraId="6817FA73" w14:textId="77777777" w:rsidR="0094326B" w:rsidRPr="00D6605E" w:rsidRDefault="0094326B" w:rsidP="0094326B">
      <w:pPr>
        <w:rPr>
          <w:rFonts w:cs="Arial"/>
          <w:i/>
          <w:iCs/>
        </w:rPr>
      </w:pPr>
      <w:r>
        <w:rPr>
          <w:rFonts w:cs="Arial"/>
          <w:i/>
          <w:iCs/>
        </w:rPr>
        <w:t>3</w:t>
      </w:r>
      <w:r w:rsidRPr="00D6605E">
        <w:rPr>
          <w:rFonts w:cs="Arial"/>
          <w:i/>
          <w:iCs/>
        </w:rPr>
        <w:t>. Assets Turnover</w:t>
      </w:r>
    </w:p>
    <w:p w14:paraId="7AF00C41" w14:textId="78F789D0" w:rsidR="0094326B" w:rsidRPr="00D6605E" w:rsidRDefault="0094326B" w:rsidP="0094326B">
      <w:r w:rsidRPr="00C717BE">
        <w:lastRenderedPageBreak/>
        <w:t xml:space="preserve">The asset turnover ratio demonstrates the efficiency with which a corporation is able to convert its assets into cash </w:t>
      </w:r>
      <w:r w:rsidRPr="0094326B">
        <w:t>(Beers, 2019)</w:t>
      </w:r>
      <w:r>
        <w:t>.</w:t>
      </w:r>
    </w:p>
    <w:tbl>
      <w:tblPr>
        <w:tblStyle w:val="TableGrid"/>
        <w:tblW w:w="9355" w:type="dxa"/>
        <w:tblLook w:val="04A0" w:firstRow="1" w:lastRow="0" w:firstColumn="1" w:lastColumn="0" w:noHBand="0" w:noVBand="1"/>
      </w:tblPr>
      <w:tblGrid>
        <w:gridCol w:w="4045"/>
        <w:gridCol w:w="2520"/>
        <w:gridCol w:w="2790"/>
      </w:tblGrid>
      <w:tr w:rsidR="0094326B" w:rsidRPr="00D6605E" w14:paraId="77CAE992" w14:textId="77777777" w:rsidTr="00687E84">
        <w:tc>
          <w:tcPr>
            <w:tcW w:w="4045" w:type="dxa"/>
            <w:shd w:val="clear" w:color="auto" w:fill="D9E2F3" w:themeFill="accent1" w:themeFillTint="33"/>
            <w:vAlign w:val="center"/>
          </w:tcPr>
          <w:p w14:paraId="66130AD4" w14:textId="77777777" w:rsidR="0094326B" w:rsidRPr="00D6605E" w:rsidRDefault="0094326B" w:rsidP="00687E84">
            <w:pPr>
              <w:jc w:val="center"/>
            </w:pPr>
            <w:bookmarkStart w:id="10" w:name="_Hlk118496962"/>
            <w:r w:rsidRPr="00D6605E">
              <w:t>Formula</w:t>
            </w:r>
          </w:p>
        </w:tc>
        <w:tc>
          <w:tcPr>
            <w:tcW w:w="2520" w:type="dxa"/>
            <w:shd w:val="clear" w:color="auto" w:fill="D9E2F3" w:themeFill="accent1" w:themeFillTint="33"/>
            <w:vAlign w:val="center"/>
          </w:tcPr>
          <w:p w14:paraId="0393528B" w14:textId="77777777" w:rsidR="0094326B" w:rsidRPr="00D6605E" w:rsidRDefault="0094326B" w:rsidP="00687E84">
            <w:pPr>
              <w:jc w:val="center"/>
            </w:pPr>
            <w:r w:rsidRPr="00D6605E">
              <w:t>[202</w:t>
            </w:r>
            <w:r>
              <w:t>1</w:t>
            </w:r>
            <w:r w:rsidRPr="00D6605E">
              <w:t>Y]</w:t>
            </w:r>
          </w:p>
          <w:p w14:paraId="45D244B6" w14:textId="77777777" w:rsidR="0094326B" w:rsidRPr="00D6605E" w:rsidRDefault="0094326B" w:rsidP="00687E84">
            <w:pPr>
              <w:jc w:val="center"/>
            </w:pPr>
            <w:r w:rsidRPr="00D6605E">
              <w:t>($</w:t>
            </w:r>
            <w:r w:rsidRPr="00D6605E">
              <w:rPr>
                <w:rFonts w:cs="Arial"/>
              </w:rPr>
              <w:t>m)</w:t>
            </w:r>
          </w:p>
        </w:tc>
        <w:tc>
          <w:tcPr>
            <w:tcW w:w="2790" w:type="dxa"/>
            <w:shd w:val="clear" w:color="auto" w:fill="D9E2F3" w:themeFill="accent1" w:themeFillTint="33"/>
            <w:vAlign w:val="center"/>
          </w:tcPr>
          <w:p w14:paraId="2EA2C605" w14:textId="77777777" w:rsidR="0094326B" w:rsidRPr="00D6605E" w:rsidRDefault="0094326B" w:rsidP="00687E84">
            <w:pPr>
              <w:jc w:val="center"/>
            </w:pPr>
            <w:r w:rsidRPr="00D6605E">
              <w:t>[202</w:t>
            </w:r>
            <w:r>
              <w:t>0</w:t>
            </w:r>
            <w:r w:rsidRPr="00D6605E">
              <w:t>Y]</w:t>
            </w:r>
          </w:p>
          <w:p w14:paraId="359387BB" w14:textId="77777777" w:rsidR="0094326B" w:rsidRPr="00D6605E" w:rsidRDefault="0094326B" w:rsidP="00687E84">
            <w:pPr>
              <w:jc w:val="center"/>
            </w:pPr>
            <w:r w:rsidRPr="00D6605E">
              <w:t>($m)</w:t>
            </w:r>
          </w:p>
        </w:tc>
      </w:tr>
      <w:tr w:rsidR="0094326B" w:rsidRPr="00D6605E" w14:paraId="4FB30239" w14:textId="77777777" w:rsidTr="00687E84">
        <w:tc>
          <w:tcPr>
            <w:tcW w:w="4045" w:type="dxa"/>
            <w:shd w:val="clear" w:color="auto" w:fill="FFFFFF" w:themeFill="background1"/>
            <w:vAlign w:val="center"/>
          </w:tcPr>
          <w:p w14:paraId="3E6F81AC" w14:textId="77777777" w:rsidR="0094326B" w:rsidRPr="00D6605E" w:rsidRDefault="00D364A4" w:rsidP="00687E84">
            <w:pPr>
              <w:jc w:val="center"/>
            </w:pPr>
            <m:oMathPara>
              <m:oMath>
                <m:f>
                  <m:fPr>
                    <m:ctrlPr>
                      <w:rPr>
                        <w:rFonts w:ascii="Cambria Math" w:hAnsi="Cambria Math"/>
                        <w:i/>
                      </w:rPr>
                    </m:ctrlPr>
                  </m:fPr>
                  <m:num>
                    <m:r>
                      <m:rPr>
                        <m:nor/>
                      </m:rPr>
                      <w:rPr>
                        <w:rFonts w:ascii="Cambria Math"/>
                      </w:rPr>
                      <m:t>[</m:t>
                    </m:r>
                    <m:r>
                      <m:rPr>
                        <m:nor/>
                      </m:rPr>
                      <m:t>Revenue</m:t>
                    </m:r>
                    <m:r>
                      <m:rPr>
                        <m:nor/>
                      </m:rPr>
                      <w:rPr>
                        <w:rFonts w:ascii="Cambria Math"/>
                      </w:rPr>
                      <m:t>]</m:t>
                    </m:r>
                  </m:num>
                  <m:den>
                    <m:r>
                      <m:rPr>
                        <m:nor/>
                      </m:rPr>
                      <w:rPr>
                        <w:rFonts w:ascii="Cambria Math"/>
                      </w:rPr>
                      <m:t>[</m:t>
                    </m:r>
                    <m:r>
                      <m:rPr>
                        <m:nor/>
                      </m:rPr>
                      <m:t>Total Assets</m:t>
                    </m:r>
                    <m:r>
                      <m:rPr>
                        <m:nor/>
                      </m:rPr>
                      <w:rPr>
                        <w:rFonts w:ascii="Cambria Math"/>
                      </w:rPr>
                      <m:t>]</m:t>
                    </m:r>
                  </m:den>
                </m:f>
              </m:oMath>
            </m:oMathPara>
          </w:p>
        </w:tc>
        <w:tc>
          <w:tcPr>
            <w:tcW w:w="2520" w:type="dxa"/>
          </w:tcPr>
          <w:p w14:paraId="56CE723C" w14:textId="77777777" w:rsidR="0094326B" w:rsidRPr="00D6605E" w:rsidRDefault="0094326B" w:rsidP="00687E84">
            <w:r w:rsidRPr="00D6605E">
              <w:t>[13,857÷25,553]</w:t>
            </w:r>
          </w:p>
        </w:tc>
        <w:tc>
          <w:tcPr>
            <w:tcW w:w="2790" w:type="dxa"/>
          </w:tcPr>
          <w:p w14:paraId="49013DF7" w14:textId="77777777" w:rsidR="0094326B" w:rsidRPr="00D6605E" w:rsidRDefault="0094326B" w:rsidP="00687E84">
            <w:r>
              <w:t>[10,571</w:t>
            </w:r>
            <w:r>
              <w:rPr>
                <w:rFonts w:cs="Arial"/>
              </w:rPr>
              <w:t>÷24,701]</w:t>
            </w:r>
          </w:p>
        </w:tc>
      </w:tr>
      <w:tr w:rsidR="0094326B" w:rsidRPr="00D6605E" w14:paraId="03F09E7F" w14:textId="77777777" w:rsidTr="00687E84">
        <w:tc>
          <w:tcPr>
            <w:tcW w:w="4045" w:type="dxa"/>
            <w:shd w:val="clear" w:color="auto" w:fill="FFFFFF" w:themeFill="background1"/>
          </w:tcPr>
          <w:p w14:paraId="21692837" w14:textId="77777777" w:rsidR="0094326B" w:rsidRPr="00D6605E" w:rsidRDefault="0094326B" w:rsidP="00687E84">
            <w:pPr>
              <w:jc w:val="center"/>
              <w:rPr>
                <w:b/>
                <w:bCs/>
              </w:rPr>
            </w:pPr>
            <w:r w:rsidRPr="00D6605E">
              <w:rPr>
                <w:b/>
                <w:bCs/>
              </w:rPr>
              <w:t>Ratio</w:t>
            </w:r>
          </w:p>
        </w:tc>
        <w:tc>
          <w:tcPr>
            <w:tcW w:w="2520" w:type="dxa"/>
          </w:tcPr>
          <w:p w14:paraId="5A3881D9" w14:textId="77777777" w:rsidR="0094326B" w:rsidRPr="00D6605E" w:rsidRDefault="0094326B" w:rsidP="00687E84">
            <w:pPr>
              <w:jc w:val="center"/>
              <w:rPr>
                <w:b/>
                <w:bCs/>
              </w:rPr>
            </w:pPr>
            <w:r w:rsidRPr="00D6605E">
              <w:rPr>
                <w:b/>
                <w:bCs/>
              </w:rPr>
              <w:t>0.54</w:t>
            </w:r>
          </w:p>
        </w:tc>
        <w:tc>
          <w:tcPr>
            <w:tcW w:w="2790" w:type="dxa"/>
          </w:tcPr>
          <w:p w14:paraId="44DA40B1" w14:textId="77777777" w:rsidR="0094326B" w:rsidRPr="00D6605E" w:rsidRDefault="0094326B" w:rsidP="00687E84">
            <w:pPr>
              <w:jc w:val="center"/>
              <w:rPr>
                <w:b/>
                <w:bCs/>
              </w:rPr>
            </w:pPr>
            <w:r>
              <w:rPr>
                <w:b/>
                <w:bCs/>
              </w:rPr>
              <w:t>0.43</w:t>
            </w:r>
          </w:p>
        </w:tc>
      </w:tr>
    </w:tbl>
    <w:bookmarkEnd w:id="10"/>
    <w:p w14:paraId="40FD1998" w14:textId="33EF25A3" w:rsidR="0094326B" w:rsidRPr="00D6605E" w:rsidRDefault="0094326B" w:rsidP="0094326B">
      <w:pPr>
        <w:jc w:val="center"/>
        <w:rPr>
          <w:rFonts w:cs="Arial"/>
        </w:rPr>
      </w:pPr>
      <w:r w:rsidRPr="00D6605E">
        <w:rPr>
          <w:rFonts w:cs="Arial"/>
        </w:rPr>
        <w:t xml:space="preserve">Figure </w:t>
      </w:r>
      <w:r>
        <w:rPr>
          <w:rFonts w:cs="Arial"/>
        </w:rPr>
        <w:t>05</w:t>
      </w:r>
      <w:r w:rsidRPr="00D6605E">
        <w:rPr>
          <w:rFonts w:cs="Arial"/>
        </w:rPr>
        <w:t>: Asset Turnover (Source: Author)</w:t>
      </w:r>
    </w:p>
    <w:p w14:paraId="03286B6F" w14:textId="489C30C0" w:rsidR="0094326B" w:rsidRPr="0094326B" w:rsidRDefault="0094326B" w:rsidP="00D6605E">
      <w:pPr>
        <w:rPr>
          <w:rFonts w:cs="Arial"/>
        </w:rPr>
      </w:pPr>
      <w:r w:rsidRPr="0094326B">
        <w:rPr>
          <w:rFonts w:cs="Arial"/>
        </w:rPr>
        <w:t xml:space="preserve">As can be seen in Figure </w:t>
      </w:r>
      <w:r>
        <w:rPr>
          <w:rFonts w:cs="Arial"/>
        </w:rPr>
        <w:t>05</w:t>
      </w:r>
      <w:r w:rsidRPr="0094326B">
        <w:rPr>
          <w:rFonts w:cs="Arial"/>
        </w:rPr>
        <w:t xml:space="preserve">, Marriott International has been able to increase </w:t>
      </w:r>
      <w:r>
        <w:rPr>
          <w:rFonts w:cs="Arial"/>
        </w:rPr>
        <w:t>its</w:t>
      </w:r>
      <w:r w:rsidRPr="0094326B">
        <w:rPr>
          <w:rFonts w:cs="Arial"/>
        </w:rPr>
        <w:t xml:space="preserve"> asset usage. Turnover of assets was 0.54 in 2021, up from 0.43 in 2020, suggesting somewhat higher efficiency.</w:t>
      </w:r>
    </w:p>
    <w:p w14:paraId="5ACDD18E" w14:textId="678FB999" w:rsidR="00D6605E" w:rsidRPr="00D6605E" w:rsidRDefault="00D6605E" w:rsidP="00D6605E">
      <w:pPr>
        <w:rPr>
          <w:b/>
          <w:bCs/>
        </w:rPr>
      </w:pPr>
      <w:r w:rsidRPr="00D6605E">
        <w:rPr>
          <w:b/>
          <w:bCs/>
        </w:rPr>
        <w:t>2.</w:t>
      </w:r>
      <w:r w:rsidR="0094326B">
        <w:rPr>
          <w:b/>
          <w:bCs/>
        </w:rPr>
        <w:t>3</w:t>
      </w:r>
      <w:r w:rsidRPr="00D6605E">
        <w:rPr>
          <w:b/>
          <w:bCs/>
        </w:rPr>
        <w:t xml:space="preserve"> Profitability </w:t>
      </w:r>
      <w:bookmarkEnd w:id="7"/>
      <w:bookmarkEnd w:id="8"/>
      <w:r w:rsidRPr="00D6605E">
        <w:rPr>
          <w:b/>
          <w:bCs/>
        </w:rPr>
        <w:t>Analysis</w:t>
      </w:r>
    </w:p>
    <w:p w14:paraId="1F9B55DE" w14:textId="71A03BD6" w:rsidR="00960356" w:rsidRDefault="00960356" w:rsidP="00D6605E">
      <w:pPr>
        <w:rPr>
          <w:rFonts w:cs="Arial"/>
          <w:bCs/>
          <w:i/>
          <w:iCs/>
        </w:rPr>
      </w:pPr>
      <w:r>
        <w:rPr>
          <w:rFonts w:cs="Arial"/>
          <w:bCs/>
          <w:i/>
          <w:iCs/>
        </w:rPr>
        <w:t>1. Net Margin</w:t>
      </w:r>
    </w:p>
    <w:p w14:paraId="3EEEC9F1" w14:textId="69A0C0C9" w:rsidR="00960356" w:rsidRPr="00D6605E" w:rsidRDefault="00900AA5" w:rsidP="00960356">
      <w:r w:rsidRPr="00900AA5">
        <w:t>The ratio of the net profit to sales is a measure of a company's profitability after accounting for all costs (Brigham and Houston, 2012).</w:t>
      </w:r>
    </w:p>
    <w:tbl>
      <w:tblPr>
        <w:tblStyle w:val="TableGrid"/>
        <w:tblW w:w="9355" w:type="dxa"/>
        <w:tblLook w:val="04A0" w:firstRow="1" w:lastRow="0" w:firstColumn="1" w:lastColumn="0" w:noHBand="0" w:noVBand="1"/>
      </w:tblPr>
      <w:tblGrid>
        <w:gridCol w:w="3775"/>
        <w:gridCol w:w="2700"/>
        <w:gridCol w:w="2880"/>
      </w:tblGrid>
      <w:tr w:rsidR="00960356" w:rsidRPr="00D6605E" w14:paraId="4DDE9E5C" w14:textId="77777777" w:rsidTr="00900AA5">
        <w:tc>
          <w:tcPr>
            <w:tcW w:w="3775" w:type="dxa"/>
            <w:shd w:val="clear" w:color="auto" w:fill="D9E2F3" w:themeFill="accent1" w:themeFillTint="33"/>
          </w:tcPr>
          <w:p w14:paraId="69C608A3" w14:textId="77777777" w:rsidR="00960356" w:rsidRPr="00D6605E" w:rsidRDefault="00960356" w:rsidP="00687E84">
            <w:pPr>
              <w:jc w:val="center"/>
            </w:pPr>
            <w:bookmarkStart w:id="11" w:name="_Hlk118496262"/>
            <w:r w:rsidRPr="00D6605E">
              <w:t>Formula</w:t>
            </w:r>
          </w:p>
        </w:tc>
        <w:tc>
          <w:tcPr>
            <w:tcW w:w="2700" w:type="dxa"/>
            <w:shd w:val="clear" w:color="auto" w:fill="D9E2F3" w:themeFill="accent1" w:themeFillTint="33"/>
          </w:tcPr>
          <w:p w14:paraId="6D4654E4" w14:textId="7FDDD8C0" w:rsidR="00960356" w:rsidRPr="00D6605E" w:rsidRDefault="00960356" w:rsidP="00687E84">
            <w:pPr>
              <w:jc w:val="center"/>
            </w:pPr>
            <w:r w:rsidRPr="00D6605E">
              <w:t>[202</w:t>
            </w:r>
            <w:r>
              <w:t>1</w:t>
            </w:r>
            <w:r w:rsidRPr="00D6605E">
              <w:t>Y]</w:t>
            </w:r>
          </w:p>
          <w:p w14:paraId="3E339C73" w14:textId="77777777" w:rsidR="00960356" w:rsidRPr="00D6605E" w:rsidRDefault="00960356" w:rsidP="00687E84">
            <w:pPr>
              <w:jc w:val="center"/>
            </w:pPr>
            <w:r w:rsidRPr="00D6605E">
              <w:t>($</w:t>
            </w:r>
            <w:r w:rsidRPr="00D6605E">
              <w:rPr>
                <w:rFonts w:cs="Arial"/>
              </w:rPr>
              <w:t>m)</w:t>
            </w:r>
          </w:p>
        </w:tc>
        <w:tc>
          <w:tcPr>
            <w:tcW w:w="2880" w:type="dxa"/>
            <w:shd w:val="clear" w:color="auto" w:fill="D9E2F3" w:themeFill="accent1" w:themeFillTint="33"/>
          </w:tcPr>
          <w:p w14:paraId="5D05B7B9" w14:textId="00D29BF2" w:rsidR="00960356" w:rsidRPr="00D6605E" w:rsidRDefault="00960356" w:rsidP="00687E84">
            <w:pPr>
              <w:jc w:val="center"/>
            </w:pPr>
            <w:r w:rsidRPr="00D6605E">
              <w:t>[202</w:t>
            </w:r>
            <w:r>
              <w:t>0</w:t>
            </w:r>
            <w:r w:rsidRPr="00D6605E">
              <w:t>Y]</w:t>
            </w:r>
          </w:p>
          <w:p w14:paraId="3F662D24" w14:textId="77777777" w:rsidR="00960356" w:rsidRPr="00D6605E" w:rsidRDefault="00960356" w:rsidP="00687E84">
            <w:pPr>
              <w:jc w:val="center"/>
            </w:pPr>
            <w:r w:rsidRPr="00D6605E">
              <w:t>($m)</w:t>
            </w:r>
          </w:p>
        </w:tc>
      </w:tr>
      <w:tr w:rsidR="00900AA5" w:rsidRPr="00D6605E" w14:paraId="77191C28" w14:textId="77777777" w:rsidTr="00900AA5">
        <w:trPr>
          <w:trHeight w:val="737"/>
        </w:trPr>
        <w:tc>
          <w:tcPr>
            <w:tcW w:w="3775" w:type="dxa"/>
            <w:shd w:val="clear" w:color="auto" w:fill="FFFFFF" w:themeFill="background1"/>
          </w:tcPr>
          <w:p w14:paraId="706E18EB" w14:textId="7AA5C6F0" w:rsidR="00900AA5" w:rsidRPr="00D6605E" w:rsidRDefault="00D364A4" w:rsidP="00900AA5">
            <m:oMathPara>
              <m:oMath>
                <m:f>
                  <m:fPr>
                    <m:ctrlPr>
                      <w:rPr>
                        <w:rFonts w:ascii="Cambria Math" w:hAnsi="Cambria Math"/>
                      </w:rPr>
                    </m:ctrlPr>
                  </m:fPr>
                  <m:num>
                    <m:r>
                      <m:rPr>
                        <m:nor/>
                      </m:rPr>
                      <w:rPr>
                        <w:rFonts w:ascii="Cambria Math"/>
                      </w:rPr>
                      <m:t>[</m:t>
                    </m:r>
                    <m:r>
                      <m:rPr>
                        <m:nor/>
                      </m:rPr>
                      <m:t>Net Profit</m:t>
                    </m:r>
                    <m:r>
                      <m:rPr>
                        <m:nor/>
                      </m:rPr>
                      <w:rPr>
                        <w:rFonts w:ascii="Cambria Math"/>
                      </w:rPr>
                      <m:t>]</m:t>
                    </m:r>
                  </m:num>
                  <m:den>
                    <m:r>
                      <m:rPr>
                        <m:nor/>
                      </m:rPr>
                      <w:rPr>
                        <w:rFonts w:ascii="Cambria Math"/>
                      </w:rPr>
                      <m:t>[</m:t>
                    </m:r>
                    <m:r>
                      <m:rPr>
                        <m:nor/>
                      </m:rPr>
                      <m:t>Revenue</m:t>
                    </m:r>
                    <m:r>
                      <m:rPr>
                        <m:nor/>
                      </m:rPr>
                      <w:rPr>
                        <w:rFonts w:ascii="Cambria Math"/>
                      </w:rPr>
                      <m:t>]</m:t>
                    </m:r>
                  </m:den>
                </m:f>
                <m:r>
                  <m:rPr>
                    <m:nor/>
                  </m:rPr>
                  <m:t xml:space="preserve"> × 100</m:t>
                </m:r>
              </m:oMath>
            </m:oMathPara>
          </w:p>
        </w:tc>
        <w:tc>
          <w:tcPr>
            <w:tcW w:w="2700" w:type="dxa"/>
          </w:tcPr>
          <w:p w14:paraId="4ABEE5FB" w14:textId="5DC64FBF" w:rsidR="00900AA5" w:rsidRPr="00D6605E" w:rsidRDefault="00900AA5" w:rsidP="00900AA5">
            <w:r>
              <w:t>[1,099</w:t>
            </w:r>
            <w:r w:rsidRPr="006C5FCE">
              <w:t>÷</w:t>
            </w:r>
            <w:r>
              <w:t>13,857]</w:t>
            </w:r>
            <w:r w:rsidRPr="006C5FCE">
              <w:t>×100</w:t>
            </w:r>
            <w:r>
              <w:t xml:space="preserve"> </w:t>
            </w:r>
          </w:p>
        </w:tc>
        <w:tc>
          <w:tcPr>
            <w:tcW w:w="2880" w:type="dxa"/>
          </w:tcPr>
          <w:p w14:paraId="1889BCB5" w14:textId="70F2FD8A" w:rsidR="00900AA5" w:rsidRPr="00D6605E" w:rsidRDefault="00900AA5" w:rsidP="00900AA5">
            <w:r>
              <w:t>[-267</w:t>
            </w:r>
            <w:r>
              <w:rPr>
                <w:rFonts w:cs="Arial"/>
              </w:rPr>
              <w:t>÷10,571]</w:t>
            </w:r>
            <w:r w:rsidRPr="006C5FCE">
              <w:t>×100</w:t>
            </w:r>
          </w:p>
        </w:tc>
      </w:tr>
      <w:tr w:rsidR="00900AA5" w:rsidRPr="00D6605E" w14:paraId="62CB76A0" w14:textId="77777777" w:rsidTr="00900AA5">
        <w:tc>
          <w:tcPr>
            <w:tcW w:w="3775" w:type="dxa"/>
            <w:shd w:val="clear" w:color="auto" w:fill="FFFFFF" w:themeFill="background1"/>
          </w:tcPr>
          <w:p w14:paraId="195A1169" w14:textId="77777777" w:rsidR="00900AA5" w:rsidRPr="00D6605E" w:rsidRDefault="00900AA5" w:rsidP="00900AA5">
            <w:pPr>
              <w:jc w:val="center"/>
              <w:rPr>
                <w:b/>
                <w:bCs/>
              </w:rPr>
            </w:pPr>
            <w:r w:rsidRPr="00D6605E">
              <w:rPr>
                <w:b/>
                <w:bCs/>
              </w:rPr>
              <w:t>Ratio</w:t>
            </w:r>
          </w:p>
        </w:tc>
        <w:tc>
          <w:tcPr>
            <w:tcW w:w="2700" w:type="dxa"/>
          </w:tcPr>
          <w:p w14:paraId="2F5AABC2" w14:textId="1AE161B8" w:rsidR="00900AA5" w:rsidRPr="00D6605E" w:rsidRDefault="00900AA5" w:rsidP="00900AA5">
            <w:pPr>
              <w:jc w:val="center"/>
              <w:rPr>
                <w:b/>
                <w:bCs/>
              </w:rPr>
            </w:pPr>
            <w:r>
              <w:rPr>
                <w:b/>
                <w:bCs/>
              </w:rPr>
              <w:t>7.93</w:t>
            </w:r>
            <w:r w:rsidRPr="00AE020C">
              <w:rPr>
                <w:b/>
                <w:bCs/>
              </w:rPr>
              <w:t>%</w:t>
            </w:r>
          </w:p>
        </w:tc>
        <w:tc>
          <w:tcPr>
            <w:tcW w:w="2880" w:type="dxa"/>
          </w:tcPr>
          <w:p w14:paraId="447BF74F" w14:textId="4AC4868C" w:rsidR="00900AA5" w:rsidRPr="00D6605E" w:rsidRDefault="00900AA5" w:rsidP="00900AA5">
            <w:pPr>
              <w:jc w:val="center"/>
              <w:rPr>
                <w:b/>
                <w:bCs/>
              </w:rPr>
            </w:pPr>
            <w:r>
              <w:rPr>
                <w:b/>
                <w:bCs/>
              </w:rPr>
              <w:t>-2.53%</w:t>
            </w:r>
          </w:p>
        </w:tc>
      </w:tr>
    </w:tbl>
    <w:bookmarkEnd w:id="11"/>
    <w:p w14:paraId="3292CBAA" w14:textId="4A04B8FB" w:rsidR="00960356" w:rsidRPr="00D6605E" w:rsidRDefault="00960356" w:rsidP="00960356">
      <w:pPr>
        <w:jc w:val="center"/>
        <w:rPr>
          <w:rFonts w:cs="Arial"/>
        </w:rPr>
      </w:pPr>
      <w:r w:rsidRPr="00D6605E">
        <w:rPr>
          <w:rFonts w:cs="Arial"/>
        </w:rPr>
        <w:t>Figure 0</w:t>
      </w:r>
      <w:r w:rsidR="0094326B">
        <w:rPr>
          <w:rFonts w:cs="Arial"/>
        </w:rPr>
        <w:t>6</w:t>
      </w:r>
      <w:r w:rsidRPr="00D6605E">
        <w:rPr>
          <w:rFonts w:cs="Arial"/>
        </w:rPr>
        <w:t>: Net Margin (Source: Author)</w:t>
      </w:r>
    </w:p>
    <w:p w14:paraId="689F8D68" w14:textId="5EDDE537" w:rsidR="00900AA5" w:rsidRDefault="00900AA5" w:rsidP="00D6605E">
      <w:r w:rsidRPr="00900AA5">
        <w:t>Net profit for Marriott International has increased as seen in Figure 0</w:t>
      </w:r>
      <w:r w:rsidR="0094326B">
        <w:t>6</w:t>
      </w:r>
      <w:r w:rsidRPr="00900AA5">
        <w:t>. After accounting for all costs, the company's net margin in 2021 is 7.93%, up from -2.58 in 2020.</w:t>
      </w:r>
    </w:p>
    <w:p w14:paraId="24ED1924" w14:textId="140D987C" w:rsidR="00D6605E" w:rsidRPr="00D6605E" w:rsidRDefault="00960356" w:rsidP="00D6605E">
      <w:pPr>
        <w:rPr>
          <w:rFonts w:cs="Arial"/>
          <w:bCs/>
          <w:i/>
          <w:iCs/>
        </w:rPr>
      </w:pPr>
      <w:r>
        <w:rPr>
          <w:rFonts w:cs="Arial"/>
          <w:bCs/>
          <w:i/>
          <w:iCs/>
        </w:rPr>
        <w:t>2</w:t>
      </w:r>
      <w:r w:rsidR="00D6605E" w:rsidRPr="00D6605E">
        <w:rPr>
          <w:rFonts w:cs="Arial"/>
          <w:bCs/>
          <w:i/>
          <w:iCs/>
        </w:rPr>
        <w:t>. Gross Margin</w:t>
      </w:r>
    </w:p>
    <w:p w14:paraId="36EA4AC7" w14:textId="01AF64C6" w:rsidR="00D6605E" w:rsidRDefault="00900AA5" w:rsidP="00D6605E">
      <w:r w:rsidRPr="00900AA5">
        <w:t xml:space="preserve">This ratio is used to determine whether a company is profitable in terms of sales and revenue after subtracting </w:t>
      </w:r>
      <w:r>
        <w:t xml:space="preserve">direct </w:t>
      </w:r>
      <w:r w:rsidRPr="00900AA5">
        <w:t xml:space="preserve">operating expenses or revenue costs </w:t>
      </w:r>
      <w:bookmarkStart w:id="12" w:name="_Hlk118537355"/>
      <w:r w:rsidRPr="00900AA5">
        <w:t>(Brigham &amp; Ehrhardt, 2020).</w:t>
      </w:r>
    </w:p>
    <w:p w14:paraId="40B9A1B9" w14:textId="32491008" w:rsidR="0094326B" w:rsidRDefault="0094326B" w:rsidP="00D6605E"/>
    <w:p w14:paraId="37F8CC7D" w14:textId="77777777" w:rsidR="0094326B" w:rsidRPr="00D6605E" w:rsidRDefault="0094326B" w:rsidP="00D6605E"/>
    <w:tbl>
      <w:tblPr>
        <w:tblStyle w:val="TableGrid"/>
        <w:tblW w:w="9355" w:type="dxa"/>
        <w:tblLook w:val="04A0" w:firstRow="1" w:lastRow="0" w:firstColumn="1" w:lastColumn="0" w:noHBand="0" w:noVBand="1"/>
      </w:tblPr>
      <w:tblGrid>
        <w:gridCol w:w="3775"/>
        <w:gridCol w:w="2700"/>
        <w:gridCol w:w="2880"/>
      </w:tblGrid>
      <w:tr w:rsidR="00900AA5" w:rsidRPr="00D6605E" w14:paraId="2217975A" w14:textId="77777777" w:rsidTr="00900AA5">
        <w:tc>
          <w:tcPr>
            <w:tcW w:w="3775" w:type="dxa"/>
            <w:shd w:val="clear" w:color="auto" w:fill="D9E2F3" w:themeFill="accent1" w:themeFillTint="33"/>
          </w:tcPr>
          <w:p w14:paraId="55437FD2" w14:textId="77777777" w:rsidR="00D6605E" w:rsidRPr="00D6605E" w:rsidRDefault="00D6605E" w:rsidP="00D6605E">
            <w:pPr>
              <w:jc w:val="center"/>
            </w:pPr>
            <w:bookmarkStart w:id="13" w:name="_Hlk107573981"/>
            <w:bookmarkEnd w:id="12"/>
            <w:r w:rsidRPr="00D6605E">
              <w:t>Formula</w:t>
            </w:r>
          </w:p>
        </w:tc>
        <w:tc>
          <w:tcPr>
            <w:tcW w:w="2700" w:type="dxa"/>
            <w:shd w:val="clear" w:color="auto" w:fill="D9E2F3" w:themeFill="accent1" w:themeFillTint="33"/>
          </w:tcPr>
          <w:p w14:paraId="198B78BA" w14:textId="2A81F560" w:rsidR="00D6605E" w:rsidRPr="00D6605E" w:rsidRDefault="00D6605E" w:rsidP="00D6605E">
            <w:pPr>
              <w:jc w:val="center"/>
            </w:pPr>
            <w:r w:rsidRPr="00D6605E">
              <w:t>[202</w:t>
            </w:r>
            <w:r w:rsidR="00900AA5">
              <w:t>1</w:t>
            </w:r>
            <w:r w:rsidRPr="00D6605E">
              <w:t>Y]</w:t>
            </w:r>
          </w:p>
          <w:p w14:paraId="16A33E75" w14:textId="77777777" w:rsidR="00D6605E" w:rsidRPr="00D6605E" w:rsidRDefault="00D6605E" w:rsidP="00D6605E">
            <w:pPr>
              <w:jc w:val="center"/>
            </w:pPr>
            <w:r w:rsidRPr="00D6605E">
              <w:t>($</w:t>
            </w:r>
            <w:r w:rsidRPr="00D6605E">
              <w:rPr>
                <w:rFonts w:cs="Arial"/>
              </w:rPr>
              <w:t>m)</w:t>
            </w:r>
          </w:p>
        </w:tc>
        <w:tc>
          <w:tcPr>
            <w:tcW w:w="2880" w:type="dxa"/>
            <w:shd w:val="clear" w:color="auto" w:fill="D9E2F3" w:themeFill="accent1" w:themeFillTint="33"/>
          </w:tcPr>
          <w:p w14:paraId="0F9FBB8A" w14:textId="19C01F99" w:rsidR="00D6605E" w:rsidRPr="00D6605E" w:rsidRDefault="00D6605E" w:rsidP="00D6605E">
            <w:pPr>
              <w:jc w:val="center"/>
            </w:pPr>
            <w:r w:rsidRPr="00D6605E">
              <w:t>[202</w:t>
            </w:r>
            <w:r w:rsidR="00900AA5">
              <w:t>0</w:t>
            </w:r>
            <w:r w:rsidRPr="00D6605E">
              <w:t>Y]</w:t>
            </w:r>
          </w:p>
          <w:p w14:paraId="7DEA56F9" w14:textId="77777777" w:rsidR="00D6605E" w:rsidRPr="00D6605E" w:rsidRDefault="00D6605E" w:rsidP="00D6605E">
            <w:pPr>
              <w:jc w:val="center"/>
            </w:pPr>
            <w:r w:rsidRPr="00D6605E">
              <w:t>($m)</w:t>
            </w:r>
          </w:p>
        </w:tc>
      </w:tr>
      <w:tr w:rsidR="00900AA5" w:rsidRPr="00D6605E" w14:paraId="75C96C6A" w14:textId="77777777" w:rsidTr="00900AA5">
        <w:tc>
          <w:tcPr>
            <w:tcW w:w="3775" w:type="dxa"/>
            <w:shd w:val="clear" w:color="auto" w:fill="FFFFFF" w:themeFill="background1"/>
          </w:tcPr>
          <w:p w14:paraId="7E162C23" w14:textId="29A21CE5" w:rsidR="00900AA5" w:rsidRPr="00D6605E" w:rsidRDefault="00D364A4" w:rsidP="00900AA5">
            <m:oMathPara>
              <m:oMath>
                <m:f>
                  <m:fPr>
                    <m:ctrlPr>
                      <w:rPr>
                        <w:rFonts w:ascii="Cambria Math" w:hAnsi="Cambria Math"/>
                      </w:rPr>
                    </m:ctrlPr>
                  </m:fPr>
                  <m:num>
                    <m:r>
                      <m:rPr>
                        <m:nor/>
                      </m:rPr>
                      <w:rPr>
                        <w:rFonts w:ascii="Cambria Math"/>
                      </w:rPr>
                      <m:t>[</m:t>
                    </m:r>
                    <m:r>
                      <m:rPr>
                        <m:nor/>
                      </m:rPr>
                      <m:t>Gross Profit</m:t>
                    </m:r>
                    <m:r>
                      <m:rPr>
                        <m:nor/>
                      </m:rPr>
                      <w:rPr>
                        <w:rFonts w:ascii="Cambria Math"/>
                      </w:rPr>
                      <m:t>]</m:t>
                    </m:r>
                  </m:num>
                  <m:den>
                    <m:r>
                      <m:rPr>
                        <m:nor/>
                      </m:rPr>
                      <w:rPr>
                        <w:rFonts w:ascii="Cambria Math"/>
                      </w:rPr>
                      <m:t>[</m:t>
                    </m:r>
                    <m:r>
                      <m:rPr>
                        <m:nor/>
                      </m:rPr>
                      <m:t>Revenue</m:t>
                    </m:r>
                    <m:r>
                      <m:rPr>
                        <m:nor/>
                      </m:rPr>
                      <w:rPr>
                        <w:rFonts w:ascii="Cambria Math"/>
                      </w:rPr>
                      <m:t>]</m:t>
                    </m:r>
                  </m:den>
                </m:f>
                <m:r>
                  <m:rPr>
                    <m:nor/>
                  </m:rPr>
                  <m:t xml:space="preserve"> × 100</m:t>
                </m:r>
              </m:oMath>
            </m:oMathPara>
          </w:p>
        </w:tc>
        <w:tc>
          <w:tcPr>
            <w:tcW w:w="2700" w:type="dxa"/>
          </w:tcPr>
          <w:p w14:paraId="33A82FC1" w14:textId="168C685B" w:rsidR="00900AA5" w:rsidRPr="00D6605E" w:rsidRDefault="00900AA5" w:rsidP="00900AA5">
            <w:r w:rsidRPr="00D6605E">
              <w:t xml:space="preserve">[2,793÷13,857]×100 </w:t>
            </w:r>
          </w:p>
        </w:tc>
        <w:tc>
          <w:tcPr>
            <w:tcW w:w="2880" w:type="dxa"/>
          </w:tcPr>
          <w:p w14:paraId="563CCE76" w14:textId="007696CA" w:rsidR="00900AA5" w:rsidRPr="00D6605E" w:rsidRDefault="00900AA5" w:rsidP="00900AA5">
            <w:r>
              <w:t>[1,192</w:t>
            </w:r>
            <w:r>
              <w:rPr>
                <w:rFonts w:cs="Arial"/>
              </w:rPr>
              <w:t>÷</w:t>
            </w:r>
            <w:r>
              <w:t>10,571</w:t>
            </w:r>
            <w:r>
              <w:rPr>
                <w:rFonts w:cs="Arial"/>
              </w:rPr>
              <w:t>]</w:t>
            </w:r>
            <w:r w:rsidRPr="006C5FCE">
              <w:t>×100</w:t>
            </w:r>
          </w:p>
        </w:tc>
      </w:tr>
      <w:tr w:rsidR="00900AA5" w:rsidRPr="00D6605E" w14:paraId="2335D1E3" w14:textId="77777777" w:rsidTr="00900AA5">
        <w:tc>
          <w:tcPr>
            <w:tcW w:w="3775" w:type="dxa"/>
            <w:shd w:val="clear" w:color="auto" w:fill="FFFFFF" w:themeFill="background1"/>
          </w:tcPr>
          <w:p w14:paraId="4B511FC2" w14:textId="77777777" w:rsidR="00900AA5" w:rsidRPr="00D6605E" w:rsidRDefault="00900AA5" w:rsidP="00900AA5">
            <w:pPr>
              <w:jc w:val="center"/>
              <w:rPr>
                <w:b/>
                <w:bCs/>
              </w:rPr>
            </w:pPr>
            <w:r w:rsidRPr="00D6605E">
              <w:rPr>
                <w:b/>
                <w:bCs/>
              </w:rPr>
              <w:t>Ratio</w:t>
            </w:r>
          </w:p>
        </w:tc>
        <w:tc>
          <w:tcPr>
            <w:tcW w:w="2700" w:type="dxa"/>
          </w:tcPr>
          <w:p w14:paraId="023C3C0F" w14:textId="5181FF2F" w:rsidR="00900AA5" w:rsidRPr="00D6605E" w:rsidRDefault="00900AA5" w:rsidP="00900AA5">
            <w:pPr>
              <w:jc w:val="center"/>
              <w:rPr>
                <w:b/>
                <w:bCs/>
              </w:rPr>
            </w:pPr>
            <w:r w:rsidRPr="00D6605E">
              <w:rPr>
                <w:b/>
                <w:bCs/>
              </w:rPr>
              <w:t>20.16%</w:t>
            </w:r>
          </w:p>
        </w:tc>
        <w:tc>
          <w:tcPr>
            <w:tcW w:w="2880" w:type="dxa"/>
          </w:tcPr>
          <w:p w14:paraId="5BD8B21C" w14:textId="2B93C8B4" w:rsidR="00900AA5" w:rsidRPr="00D6605E" w:rsidRDefault="00900AA5" w:rsidP="00900AA5">
            <w:pPr>
              <w:jc w:val="center"/>
              <w:rPr>
                <w:b/>
                <w:bCs/>
              </w:rPr>
            </w:pPr>
            <w:r>
              <w:rPr>
                <w:b/>
                <w:bCs/>
              </w:rPr>
              <w:t>11.28</w:t>
            </w:r>
            <w:r w:rsidRPr="00AE020C">
              <w:rPr>
                <w:b/>
                <w:bCs/>
              </w:rPr>
              <w:t>%</w:t>
            </w:r>
          </w:p>
        </w:tc>
      </w:tr>
    </w:tbl>
    <w:p w14:paraId="62C1C9A7" w14:textId="345AD0A3" w:rsidR="00D6605E" w:rsidRPr="00D6605E" w:rsidRDefault="00D6605E" w:rsidP="00D6605E">
      <w:pPr>
        <w:jc w:val="center"/>
        <w:rPr>
          <w:rFonts w:cs="Arial"/>
        </w:rPr>
      </w:pPr>
      <w:bookmarkStart w:id="14" w:name="_Hlk118527888"/>
      <w:bookmarkEnd w:id="13"/>
      <w:r w:rsidRPr="00D6605E">
        <w:rPr>
          <w:rFonts w:cs="Arial"/>
        </w:rPr>
        <w:t>Figure 0</w:t>
      </w:r>
      <w:r w:rsidR="0094326B">
        <w:rPr>
          <w:rFonts w:cs="Arial"/>
        </w:rPr>
        <w:t>7</w:t>
      </w:r>
      <w:r w:rsidRPr="00D6605E">
        <w:rPr>
          <w:rFonts w:cs="Arial"/>
        </w:rPr>
        <w:t>: Gross Margin (Source: Author)</w:t>
      </w:r>
    </w:p>
    <w:p w14:paraId="346EE7D6" w14:textId="53692F24" w:rsidR="00D6605E" w:rsidRPr="00D6605E" w:rsidRDefault="00900AA5" w:rsidP="00D6605E">
      <w:bookmarkStart w:id="15" w:name="_Hlk118528499"/>
      <w:bookmarkEnd w:id="14"/>
      <w:r w:rsidRPr="00900AA5">
        <w:t>Figure 0</w:t>
      </w:r>
      <w:r w:rsidR="0094326B">
        <w:t>7</w:t>
      </w:r>
      <w:r w:rsidRPr="00900AA5">
        <w:t xml:space="preserve"> displays Marriott International's increasing profitability in the year 2021). As the gross margin in 2021 is 20.16 percent, up from 11.28 percent in 2020, it is clear that the business is making more money after subtracting the cost of goods sold.</w:t>
      </w:r>
    </w:p>
    <w:bookmarkEnd w:id="15"/>
    <w:p w14:paraId="008DC3F8" w14:textId="41CBB3FF" w:rsidR="00900AA5" w:rsidRPr="00D6605E" w:rsidRDefault="00900AA5" w:rsidP="00900AA5">
      <w:pPr>
        <w:rPr>
          <w:rFonts w:cs="Arial"/>
          <w:i/>
          <w:iCs/>
        </w:rPr>
      </w:pPr>
      <w:r>
        <w:rPr>
          <w:rFonts w:cs="Arial"/>
          <w:i/>
          <w:iCs/>
        </w:rPr>
        <w:t>3</w:t>
      </w:r>
      <w:r w:rsidRPr="00D6605E">
        <w:rPr>
          <w:rFonts w:cs="Arial"/>
          <w:i/>
          <w:iCs/>
        </w:rPr>
        <w:t>. Return on Equity</w:t>
      </w:r>
    </w:p>
    <w:p w14:paraId="79F10416" w14:textId="6443249F" w:rsidR="00900AA5" w:rsidRPr="00D6605E" w:rsidRDefault="00900AA5" w:rsidP="00900AA5">
      <w:bookmarkStart w:id="16" w:name="_Hlk118526071"/>
      <w:r w:rsidRPr="00900AA5">
        <w:t>Return on equity measures how much money a firm makes in relation to what its shareholders have invested (ROE). The profitability and efficacy of an organization are quantified by its return on equity (ROE) (Titman, Martin, Keown, &amp; Martin, 2018).</w:t>
      </w:r>
    </w:p>
    <w:tbl>
      <w:tblPr>
        <w:tblStyle w:val="TableGrid"/>
        <w:tblW w:w="9355" w:type="dxa"/>
        <w:tblLook w:val="04A0" w:firstRow="1" w:lastRow="0" w:firstColumn="1" w:lastColumn="0" w:noHBand="0" w:noVBand="1"/>
      </w:tblPr>
      <w:tblGrid>
        <w:gridCol w:w="4405"/>
        <w:gridCol w:w="2250"/>
        <w:gridCol w:w="2700"/>
      </w:tblGrid>
      <w:tr w:rsidR="00900AA5" w:rsidRPr="00D6605E" w14:paraId="6F47FBBB" w14:textId="77777777" w:rsidTr="00900AA5">
        <w:tc>
          <w:tcPr>
            <w:tcW w:w="4405" w:type="dxa"/>
            <w:shd w:val="clear" w:color="auto" w:fill="D9E2F3" w:themeFill="accent1" w:themeFillTint="33"/>
          </w:tcPr>
          <w:bookmarkEnd w:id="16"/>
          <w:p w14:paraId="2E36B93A" w14:textId="77777777" w:rsidR="00900AA5" w:rsidRPr="00D6605E" w:rsidRDefault="00900AA5" w:rsidP="00687E84">
            <w:pPr>
              <w:jc w:val="center"/>
            </w:pPr>
            <w:r w:rsidRPr="00D6605E">
              <w:t>Formula</w:t>
            </w:r>
          </w:p>
        </w:tc>
        <w:tc>
          <w:tcPr>
            <w:tcW w:w="2250" w:type="dxa"/>
            <w:shd w:val="clear" w:color="auto" w:fill="D9E2F3" w:themeFill="accent1" w:themeFillTint="33"/>
          </w:tcPr>
          <w:p w14:paraId="046CBC04" w14:textId="5E2249CD" w:rsidR="00900AA5" w:rsidRPr="00D6605E" w:rsidRDefault="00900AA5" w:rsidP="00687E84">
            <w:pPr>
              <w:jc w:val="center"/>
            </w:pPr>
            <w:r w:rsidRPr="00D6605E">
              <w:t>[202</w:t>
            </w:r>
            <w:r w:rsidR="00066A96">
              <w:t>1</w:t>
            </w:r>
            <w:r w:rsidRPr="00D6605E">
              <w:t>Y]</w:t>
            </w:r>
          </w:p>
          <w:p w14:paraId="5A75A60A" w14:textId="77777777" w:rsidR="00900AA5" w:rsidRPr="00D6605E" w:rsidRDefault="00900AA5" w:rsidP="00687E84">
            <w:pPr>
              <w:jc w:val="center"/>
            </w:pPr>
            <w:r w:rsidRPr="00D6605E">
              <w:t>($</w:t>
            </w:r>
            <w:r w:rsidRPr="00D6605E">
              <w:rPr>
                <w:rFonts w:cs="Arial"/>
              </w:rPr>
              <w:t>m)</w:t>
            </w:r>
          </w:p>
        </w:tc>
        <w:tc>
          <w:tcPr>
            <w:tcW w:w="2700" w:type="dxa"/>
            <w:shd w:val="clear" w:color="auto" w:fill="D9E2F3" w:themeFill="accent1" w:themeFillTint="33"/>
          </w:tcPr>
          <w:p w14:paraId="6E6FBD80" w14:textId="4166FA0E" w:rsidR="00900AA5" w:rsidRPr="00D6605E" w:rsidRDefault="00900AA5" w:rsidP="00687E84">
            <w:pPr>
              <w:jc w:val="center"/>
            </w:pPr>
            <w:r w:rsidRPr="00D6605E">
              <w:t>[202</w:t>
            </w:r>
            <w:r w:rsidR="00066A96">
              <w:t>0</w:t>
            </w:r>
            <w:r w:rsidRPr="00D6605E">
              <w:t>Y]</w:t>
            </w:r>
          </w:p>
          <w:p w14:paraId="4FC5B89B" w14:textId="77777777" w:rsidR="00900AA5" w:rsidRPr="00D6605E" w:rsidRDefault="00900AA5" w:rsidP="00687E84">
            <w:pPr>
              <w:jc w:val="center"/>
            </w:pPr>
            <w:r w:rsidRPr="00D6605E">
              <w:t>($m)</w:t>
            </w:r>
          </w:p>
        </w:tc>
      </w:tr>
      <w:tr w:rsidR="00066A96" w:rsidRPr="00D6605E" w14:paraId="510B3441" w14:textId="77777777" w:rsidTr="00900AA5">
        <w:tc>
          <w:tcPr>
            <w:tcW w:w="4405" w:type="dxa"/>
            <w:shd w:val="clear" w:color="auto" w:fill="FFFFFF" w:themeFill="background1"/>
          </w:tcPr>
          <w:p w14:paraId="37912494" w14:textId="09B266B3" w:rsidR="00066A96" w:rsidRPr="00D6605E" w:rsidRDefault="00D364A4" w:rsidP="00066A96">
            <m:oMathPara>
              <m:oMath>
                <m:f>
                  <m:fPr>
                    <m:ctrlPr>
                      <w:rPr>
                        <w:rFonts w:ascii="Cambria Math" w:hAnsi="Cambria Math"/>
                      </w:rPr>
                    </m:ctrlPr>
                  </m:fPr>
                  <m:num>
                    <m:r>
                      <m:rPr>
                        <m:nor/>
                      </m:rPr>
                      <w:rPr>
                        <w:rFonts w:ascii="Cambria Math"/>
                      </w:rPr>
                      <m:t>[</m:t>
                    </m:r>
                    <m:r>
                      <m:rPr>
                        <m:nor/>
                      </m:rPr>
                      <m:t>Net Income</m:t>
                    </m:r>
                    <m:r>
                      <m:rPr>
                        <m:nor/>
                      </m:rPr>
                      <w:rPr>
                        <w:rFonts w:ascii="Cambria Math"/>
                      </w:rPr>
                      <m:t>]</m:t>
                    </m:r>
                  </m:num>
                  <m:den>
                    <m:r>
                      <m:rPr>
                        <m:nor/>
                      </m:rPr>
                      <w:rPr>
                        <w:rFonts w:ascii="Cambria Math"/>
                      </w:rPr>
                      <m:t>[</m:t>
                    </m:r>
                    <m:r>
                      <m:rPr>
                        <m:nor/>
                      </m:rPr>
                      <m:t>Total Equity</m:t>
                    </m:r>
                    <m:r>
                      <m:rPr>
                        <m:nor/>
                      </m:rPr>
                      <w:rPr>
                        <w:rFonts w:ascii="Cambria Math"/>
                      </w:rPr>
                      <m:t>]</m:t>
                    </m:r>
                  </m:den>
                </m:f>
                <m:r>
                  <m:rPr>
                    <m:nor/>
                  </m:rPr>
                  <m:t xml:space="preserve"> × 100</m:t>
                </m:r>
              </m:oMath>
            </m:oMathPara>
          </w:p>
        </w:tc>
        <w:tc>
          <w:tcPr>
            <w:tcW w:w="2250" w:type="dxa"/>
          </w:tcPr>
          <w:p w14:paraId="56350E1E" w14:textId="2B45DF03" w:rsidR="00066A96" w:rsidRPr="00D6605E" w:rsidRDefault="00066A96" w:rsidP="00066A96">
            <w:r w:rsidRPr="00D6605E">
              <w:t>[1,099÷660.9]</w:t>
            </w:r>
            <w:r w:rsidRPr="00D6605E">
              <w:rPr>
                <w:rFonts w:cs="Arial"/>
              </w:rPr>
              <w:t>×</w:t>
            </w:r>
            <w:r w:rsidRPr="00D6605E">
              <w:t>100</w:t>
            </w:r>
          </w:p>
        </w:tc>
        <w:tc>
          <w:tcPr>
            <w:tcW w:w="2700" w:type="dxa"/>
          </w:tcPr>
          <w:p w14:paraId="4C6B7242" w14:textId="563AA476" w:rsidR="00066A96" w:rsidRPr="00D6605E" w:rsidRDefault="00066A96" w:rsidP="00066A96">
            <w:r>
              <w:t>[-267</w:t>
            </w:r>
            <w:r>
              <w:rPr>
                <w:rFonts w:cs="Arial"/>
              </w:rPr>
              <w:t>÷441.5]×</w:t>
            </w:r>
            <w:r>
              <w:t>100</w:t>
            </w:r>
          </w:p>
        </w:tc>
      </w:tr>
      <w:tr w:rsidR="00066A96" w:rsidRPr="00D6605E" w14:paraId="0E608EBC" w14:textId="77777777" w:rsidTr="00900AA5">
        <w:tc>
          <w:tcPr>
            <w:tcW w:w="4405" w:type="dxa"/>
            <w:shd w:val="clear" w:color="auto" w:fill="FFFFFF" w:themeFill="background1"/>
          </w:tcPr>
          <w:p w14:paraId="35E07921" w14:textId="77777777" w:rsidR="00066A96" w:rsidRPr="00D6605E" w:rsidRDefault="00066A96" w:rsidP="00066A96">
            <w:pPr>
              <w:jc w:val="center"/>
              <w:rPr>
                <w:b/>
                <w:bCs/>
              </w:rPr>
            </w:pPr>
            <w:r w:rsidRPr="00D6605E">
              <w:rPr>
                <w:b/>
                <w:bCs/>
              </w:rPr>
              <w:t>Ratio</w:t>
            </w:r>
          </w:p>
        </w:tc>
        <w:tc>
          <w:tcPr>
            <w:tcW w:w="2250" w:type="dxa"/>
          </w:tcPr>
          <w:p w14:paraId="7F93C6D1" w14:textId="549BFF5F" w:rsidR="00066A96" w:rsidRPr="00D6605E" w:rsidRDefault="00066A96" w:rsidP="00066A96">
            <w:pPr>
              <w:jc w:val="center"/>
              <w:rPr>
                <w:b/>
                <w:bCs/>
              </w:rPr>
            </w:pPr>
            <w:r w:rsidRPr="00D6605E">
              <w:rPr>
                <w:b/>
                <w:bCs/>
              </w:rPr>
              <w:t>166.29%</w:t>
            </w:r>
          </w:p>
        </w:tc>
        <w:tc>
          <w:tcPr>
            <w:tcW w:w="2700" w:type="dxa"/>
          </w:tcPr>
          <w:p w14:paraId="633F4C57" w14:textId="5B935AA3" w:rsidR="00066A96" w:rsidRPr="00D6605E" w:rsidRDefault="00066A96" w:rsidP="00066A96">
            <w:pPr>
              <w:jc w:val="center"/>
              <w:rPr>
                <w:b/>
                <w:bCs/>
              </w:rPr>
            </w:pPr>
            <w:r>
              <w:rPr>
                <w:b/>
                <w:bCs/>
              </w:rPr>
              <w:t>-60.48%</w:t>
            </w:r>
          </w:p>
        </w:tc>
      </w:tr>
    </w:tbl>
    <w:p w14:paraId="29506FB5" w14:textId="5E641DFD" w:rsidR="00900AA5" w:rsidRPr="00D6605E" w:rsidRDefault="00900AA5" w:rsidP="00900AA5">
      <w:pPr>
        <w:jc w:val="center"/>
        <w:rPr>
          <w:rFonts w:cs="Arial"/>
        </w:rPr>
      </w:pPr>
      <w:bookmarkStart w:id="17" w:name="_Hlk118529078"/>
      <w:r w:rsidRPr="00D6605E">
        <w:rPr>
          <w:rFonts w:cs="Arial"/>
        </w:rPr>
        <w:t>Figure 0</w:t>
      </w:r>
      <w:r w:rsidR="0094326B">
        <w:rPr>
          <w:rFonts w:cs="Arial"/>
        </w:rPr>
        <w:t>8</w:t>
      </w:r>
      <w:r w:rsidRPr="00D6605E">
        <w:rPr>
          <w:rFonts w:cs="Arial"/>
        </w:rPr>
        <w:t>: ROE Margin (Source: Author)</w:t>
      </w:r>
    </w:p>
    <w:bookmarkEnd w:id="17"/>
    <w:p w14:paraId="7AD4CADA" w14:textId="2E9BB2E8" w:rsidR="00066A96" w:rsidRDefault="00066A96" w:rsidP="00D6605E">
      <w:pPr>
        <w:rPr>
          <w:rFonts w:cs="Arial"/>
        </w:rPr>
      </w:pPr>
      <w:r w:rsidRPr="00066A96">
        <w:rPr>
          <w:rFonts w:cs="Arial"/>
        </w:rPr>
        <w:t>As seen in Figure 0</w:t>
      </w:r>
      <w:r w:rsidR="0094326B">
        <w:rPr>
          <w:rFonts w:cs="Arial"/>
        </w:rPr>
        <w:t>8</w:t>
      </w:r>
      <w:r w:rsidRPr="00066A96">
        <w:rPr>
          <w:rFonts w:cs="Arial"/>
        </w:rPr>
        <w:t>, the ROE margin has expanded dramatically. Return on equity (ROE) of 166.29 percent in 2021 vs a negative margin in 2020 indicates increased earnings for owners.</w:t>
      </w:r>
    </w:p>
    <w:p w14:paraId="1DC0BAA3" w14:textId="65BF66BA" w:rsidR="00D6605E" w:rsidRPr="00D6605E" w:rsidRDefault="00900AA5" w:rsidP="00D6605E">
      <w:pPr>
        <w:rPr>
          <w:rFonts w:cs="Arial"/>
          <w:bCs/>
          <w:i/>
          <w:iCs/>
        </w:rPr>
      </w:pPr>
      <w:r>
        <w:rPr>
          <w:rFonts w:cs="Arial"/>
          <w:bCs/>
          <w:i/>
          <w:iCs/>
        </w:rPr>
        <w:t>4</w:t>
      </w:r>
      <w:r w:rsidR="00D6605E" w:rsidRPr="00D6605E">
        <w:rPr>
          <w:rFonts w:cs="Arial"/>
          <w:bCs/>
          <w:i/>
          <w:iCs/>
        </w:rPr>
        <w:t>. Return on Capital Employed (ROCE)</w:t>
      </w:r>
    </w:p>
    <w:p w14:paraId="05C4B40B" w14:textId="2D45F60D" w:rsidR="00D6605E" w:rsidRDefault="00D6605E" w:rsidP="00D6605E">
      <w:r w:rsidRPr="00D6605E">
        <w:t xml:space="preserve">A financial ratio, return on capital employed (ROCE) measures a firm's profitability in relation to its use of capital </w:t>
      </w:r>
      <w:r w:rsidR="0094326B" w:rsidRPr="0094326B">
        <w:t>(Vaidya, 2019).</w:t>
      </w:r>
    </w:p>
    <w:p w14:paraId="62F0FC29" w14:textId="77777777" w:rsidR="0094326B" w:rsidRPr="00D6605E" w:rsidRDefault="0094326B" w:rsidP="00D6605E"/>
    <w:tbl>
      <w:tblPr>
        <w:tblStyle w:val="TableGrid"/>
        <w:tblW w:w="10036" w:type="dxa"/>
        <w:tblLook w:val="04A0" w:firstRow="1" w:lastRow="0" w:firstColumn="1" w:lastColumn="0" w:noHBand="0" w:noVBand="1"/>
      </w:tblPr>
      <w:tblGrid>
        <w:gridCol w:w="4784"/>
        <w:gridCol w:w="2626"/>
        <w:gridCol w:w="2626"/>
      </w:tblGrid>
      <w:tr w:rsidR="00D6605E" w:rsidRPr="00D6605E" w14:paraId="16A5AE2F" w14:textId="77777777" w:rsidTr="00900AA5">
        <w:trPr>
          <w:trHeight w:val="775"/>
        </w:trPr>
        <w:tc>
          <w:tcPr>
            <w:tcW w:w="4784" w:type="dxa"/>
            <w:shd w:val="clear" w:color="auto" w:fill="D9E2F3" w:themeFill="accent1" w:themeFillTint="33"/>
          </w:tcPr>
          <w:p w14:paraId="663BBFA5" w14:textId="77777777" w:rsidR="00D6605E" w:rsidRPr="00D6605E" w:rsidRDefault="00D6605E" w:rsidP="00D6605E">
            <w:pPr>
              <w:jc w:val="center"/>
            </w:pPr>
            <w:r w:rsidRPr="00D6605E">
              <w:t>Formula</w:t>
            </w:r>
          </w:p>
        </w:tc>
        <w:tc>
          <w:tcPr>
            <w:tcW w:w="2626" w:type="dxa"/>
            <w:shd w:val="clear" w:color="auto" w:fill="D9E2F3" w:themeFill="accent1" w:themeFillTint="33"/>
          </w:tcPr>
          <w:p w14:paraId="1D33F8E2" w14:textId="4DA824FA" w:rsidR="00D6605E" w:rsidRPr="00D6605E" w:rsidRDefault="00D6605E" w:rsidP="00D6605E">
            <w:pPr>
              <w:jc w:val="center"/>
            </w:pPr>
            <w:r w:rsidRPr="00D6605E">
              <w:t>[202</w:t>
            </w:r>
            <w:r w:rsidR="00900AA5">
              <w:t>1</w:t>
            </w:r>
            <w:r w:rsidRPr="00D6605E">
              <w:t>Y]</w:t>
            </w:r>
          </w:p>
          <w:p w14:paraId="6DDFA4B4" w14:textId="77777777" w:rsidR="00D6605E" w:rsidRPr="00D6605E" w:rsidRDefault="00D6605E" w:rsidP="00D6605E">
            <w:pPr>
              <w:jc w:val="center"/>
            </w:pPr>
            <w:r w:rsidRPr="00D6605E">
              <w:t>($</w:t>
            </w:r>
            <w:r w:rsidRPr="00D6605E">
              <w:rPr>
                <w:rFonts w:cs="Arial"/>
              </w:rPr>
              <w:t>m)</w:t>
            </w:r>
          </w:p>
        </w:tc>
        <w:tc>
          <w:tcPr>
            <w:tcW w:w="2626" w:type="dxa"/>
            <w:shd w:val="clear" w:color="auto" w:fill="D9E2F3" w:themeFill="accent1" w:themeFillTint="33"/>
          </w:tcPr>
          <w:p w14:paraId="37BE8CD8" w14:textId="6D8C060E" w:rsidR="00D6605E" w:rsidRPr="00D6605E" w:rsidRDefault="00D6605E" w:rsidP="00D6605E">
            <w:pPr>
              <w:jc w:val="center"/>
            </w:pPr>
            <w:r w:rsidRPr="00D6605E">
              <w:t>[202</w:t>
            </w:r>
            <w:r w:rsidR="00900AA5">
              <w:t>0</w:t>
            </w:r>
            <w:r w:rsidRPr="00D6605E">
              <w:t>Y]</w:t>
            </w:r>
          </w:p>
          <w:p w14:paraId="242E1343" w14:textId="77777777" w:rsidR="00D6605E" w:rsidRPr="00D6605E" w:rsidRDefault="00D6605E" w:rsidP="00D6605E">
            <w:pPr>
              <w:jc w:val="center"/>
            </w:pPr>
            <w:r w:rsidRPr="00D6605E">
              <w:t>($m)</w:t>
            </w:r>
          </w:p>
        </w:tc>
      </w:tr>
      <w:tr w:rsidR="00900AA5" w:rsidRPr="00D6605E" w14:paraId="1A0EDD32" w14:textId="77777777" w:rsidTr="00900AA5">
        <w:trPr>
          <w:trHeight w:val="693"/>
        </w:trPr>
        <w:tc>
          <w:tcPr>
            <w:tcW w:w="4784" w:type="dxa"/>
            <w:shd w:val="clear" w:color="auto" w:fill="FFFFFF" w:themeFill="background1"/>
          </w:tcPr>
          <w:p w14:paraId="6D18076E" w14:textId="77777777" w:rsidR="00900AA5" w:rsidRPr="00D6605E" w:rsidRDefault="00D364A4" w:rsidP="00900AA5">
            <m:oMathPara>
              <m:oMath>
                <m:f>
                  <m:fPr>
                    <m:ctrlPr>
                      <w:rPr>
                        <w:rFonts w:ascii="Cambria Math" w:hAnsi="Cambria Math"/>
                      </w:rPr>
                    </m:ctrlPr>
                  </m:fPr>
                  <m:num>
                    <m:r>
                      <m:rPr>
                        <m:nor/>
                      </m:rPr>
                      <w:rPr>
                        <w:rFonts w:ascii="Cambria Math"/>
                      </w:rPr>
                      <m:t>{</m:t>
                    </m:r>
                    <m:r>
                      <m:rPr>
                        <m:nor/>
                      </m:rPr>
                      <m:t>Operating Profit</m:t>
                    </m:r>
                    <m:r>
                      <m:rPr>
                        <m:nor/>
                      </m:rPr>
                      <w:rPr>
                        <w:rFonts w:ascii="Cambria Math"/>
                      </w:rPr>
                      <m:t>}</m:t>
                    </m:r>
                  </m:num>
                  <m:den>
                    <m:r>
                      <m:rPr>
                        <m:nor/>
                      </m:rPr>
                      <w:rPr>
                        <w:rFonts w:ascii="Cambria Math"/>
                      </w:rPr>
                      <m:t xml:space="preserve">{Total Assets Less Current </m:t>
                    </m:r>
                    <m:r>
                      <m:rPr>
                        <m:nor/>
                      </m:rPr>
                      <w:rPr>
                        <w:rFonts w:cs="Arial"/>
                      </w:rPr>
                      <m:t>Liabilities</m:t>
                    </m:r>
                    <m:r>
                      <m:rPr>
                        <m:nor/>
                      </m:rPr>
                      <w:rPr>
                        <w:rFonts w:ascii="Cambria Math"/>
                      </w:rPr>
                      <m:t>}</m:t>
                    </m:r>
                  </m:den>
                </m:f>
                <m:r>
                  <m:rPr>
                    <m:nor/>
                  </m:rPr>
                  <m:t xml:space="preserve"> × 100</m:t>
                </m:r>
              </m:oMath>
            </m:oMathPara>
          </w:p>
        </w:tc>
        <w:tc>
          <w:tcPr>
            <w:tcW w:w="2626" w:type="dxa"/>
          </w:tcPr>
          <w:p w14:paraId="4DE1F64E" w14:textId="1D5B5E94" w:rsidR="00900AA5" w:rsidRPr="00D6605E" w:rsidRDefault="00900AA5" w:rsidP="00900AA5">
            <w:r w:rsidRPr="00D6605E">
              <w:t xml:space="preserve">[1,750÷19,146]×100 </w:t>
            </w:r>
          </w:p>
        </w:tc>
        <w:tc>
          <w:tcPr>
            <w:tcW w:w="2626" w:type="dxa"/>
          </w:tcPr>
          <w:p w14:paraId="70B2E52D" w14:textId="77E96029" w:rsidR="00900AA5" w:rsidRPr="00D6605E" w:rsidRDefault="00900AA5" w:rsidP="00900AA5">
            <w:r>
              <w:t>[84</w:t>
            </w:r>
            <w:r>
              <w:rPr>
                <w:rFonts w:cs="Arial"/>
              </w:rPr>
              <w:t>÷18,949]</w:t>
            </w:r>
            <w:r w:rsidRPr="006C5FCE">
              <w:t>×100</w:t>
            </w:r>
          </w:p>
        </w:tc>
      </w:tr>
      <w:tr w:rsidR="00900AA5" w:rsidRPr="00D6605E" w14:paraId="07B21ED1" w14:textId="77777777" w:rsidTr="00900AA5">
        <w:trPr>
          <w:trHeight w:val="388"/>
        </w:trPr>
        <w:tc>
          <w:tcPr>
            <w:tcW w:w="4784" w:type="dxa"/>
            <w:shd w:val="clear" w:color="auto" w:fill="FFFFFF" w:themeFill="background1"/>
          </w:tcPr>
          <w:p w14:paraId="474885BB" w14:textId="77777777" w:rsidR="00900AA5" w:rsidRPr="00D6605E" w:rsidRDefault="00900AA5" w:rsidP="00900AA5">
            <w:pPr>
              <w:jc w:val="center"/>
              <w:rPr>
                <w:b/>
                <w:bCs/>
              </w:rPr>
            </w:pPr>
            <w:r w:rsidRPr="00D6605E">
              <w:rPr>
                <w:b/>
                <w:bCs/>
              </w:rPr>
              <w:t>Ratio</w:t>
            </w:r>
          </w:p>
        </w:tc>
        <w:tc>
          <w:tcPr>
            <w:tcW w:w="2626" w:type="dxa"/>
          </w:tcPr>
          <w:p w14:paraId="443F241C" w14:textId="472B089E" w:rsidR="00900AA5" w:rsidRPr="00D6605E" w:rsidRDefault="00900AA5" w:rsidP="00900AA5">
            <w:pPr>
              <w:jc w:val="center"/>
              <w:rPr>
                <w:b/>
                <w:bCs/>
              </w:rPr>
            </w:pPr>
            <w:r w:rsidRPr="00D6605E">
              <w:rPr>
                <w:b/>
                <w:bCs/>
              </w:rPr>
              <w:t>9.14%</w:t>
            </w:r>
          </w:p>
        </w:tc>
        <w:tc>
          <w:tcPr>
            <w:tcW w:w="2626" w:type="dxa"/>
          </w:tcPr>
          <w:p w14:paraId="45592375" w14:textId="57D0C229" w:rsidR="00900AA5" w:rsidRPr="00D6605E" w:rsidRDefault="00900AA5" w:rsidP="00900AA5">
            <w:pPr>
              <w:jc w:val="center"/>
              <w:rPr>
                <w:b/>
                <w:bCs/>
              </w:rPr>
            </w:pPr>
            <w:r>
              <w:rPr>
                <w:b/>
                <w:bCs/>
              </w:rPr>
              <w:t>0.44</w:t>
            </w:r>
            <w:r w:rsidRPr="00AE020C">
              <w:rPr>
                <w:b/>
                <w:bCs/>
              </w:rPr>
              <w:t>%</w:t>
            </w:r>
          </w:p>
        </w:tc>
      </w:tr>
    </w:tbl>
    <w:p w14:paraId="5754ED33" w14:textId="618C0E61" w:rsidR="00D6605E" w:rsidRPr="00D6605E" w:rsidRDefault="00D6605E" w:rsidP="00D6605E">
      <w:pPr>
        <w:jc w:val="center"/>
        <w:rPr>
          <w:rFonts w:cs="Arial"/>
        </w:rPr>
      </w:pPr>
      <w:r w:rsidRPr="00D6605E">
        <w:rPr>
          <w:rFonts w:cs="Arial"/>
        </w:rPr>
        <w:t>Figure 0</w:t>
      </w:r>
      <w:r w:rsidR="0094326B">
        <w:rPr>
          <w:rFonts w:cs="Arial"/>
        </w:rPr>
        <w:t>9</w:t>
      </w:r>
      <w:r w:rsidRPr="00D6605E">
        <w:rPr>
          <w:rFonts w:cs="Arial"/>
        </w:rPr>
        <w:t>: ROCE Margin (Source: Author)</w:t>
      </w:r>
    </w:p>
    <w:p w14:paraId="6193C514" w14:textId="762F6CD8" w:rsidR="00066A96" w:rsidRDefault="00066A96" w:rsidP="00D6605E">
      <w:r w:rsidRPr="00066A96">
        <w:t>Figure 0</w:t>
      </w:r>
      <w:r w:rsidR="0094326B">
        <w:t>9</w:t>
      </w:r>
      <w:r w:rsidRPr="00066A96">
        <w:t xml:space="preserve"> shows that Marriott International's profitability has increased over time as measured by Return on Capital Employed. In 2021, the return on capital employed is 9.14%, and in 2020, it is 0.446%, showing that the business has made more profit after deducting operating costs from revenue than the amount of capital employed.</w:t>
      </w:r>
    </w:p>
    <w:p w14:paraId="14BF5920" w14:textId="7A76BFDD" w:rsidR="00D6605E" w:rsidRPr="00D6605E" w:rsidRDefault="00066A96" w:rsidP="00D6605E">
      <w:pPr>
        <w:rPr>
          <w:rFonts w:cs="Arial"/>
          <w:bCs/>
          <w:i/>
          <w:iCs/>
        </w:rPr>
      </w:pPr>
      <w:r>
        <w:rPr>
          <w:rFonts w:cs="Arial"/>
          <w:bCs/>
          <w:i/>
          <w:iCs/>
        </w:rPr>
        <w:t>5</w:t>
      </w:r>
      <w:r w:rsidR="00D6605E" w:rsidRPr="00D6605E">
        <w:rPr>
          <w:rFonts w:cs="Arial"/>
          <w:bCs/>
          <w:i/>
          <w:iCs/>
        </w:rPr>
        <w:t>. Operating Margin</w:t>
      </w:r>
    </w:p>
    <w:p w14:paraId="0BCAD18F" w14:textId="09938A78" w:rsidR="00D6605E" w:rsidRPr="00D6605E" w:rsidRDefault="00066A96" w:rsidP="00D6605E">
      <w:r w:rsidRPr="00066A96">
        <w:t xml:space="preserve">This profitability ratio excludes non-operating expenditures and taxes to provide investors and management </w:t>
      </w:r>
      <w:r>
        <w:t xml:space="preserve">with </w:t>
      </w:r>
      <w:r w:rsidRPr="00066A96">
        <w:t xml:space="preserve">a more accurate picture of a company's true profitability </w:t>
      </w:r>
      <w:bookmarkStart w:id="18" w:name="_Hlk118538012"/>
      <w:r w:rsidRPr="00066A96">
        <w:t>(Brigham &amp; Ehrhardt, 2020).</w:t>
      </w:r>
    </w:p>
    <w:tbl>
      <w:tblPr>
        <w:tblStyle w:val="TableGrid"/>
        <w:tblW w:w="9324" w:type="dxa"/>
        <w:tblLook w:val="04A0" w:firstRow="1" w:lastRow="0" w:firstColumn="1" w:lastColumn="0" w:noHBand="0" w:noVBand="1"/>
      </w:tblPr>
      <w:tblGrid>
        <w:gridCol w:w="3402"/>
        <w:gridCol w:w="2869"/>
        <w:gridCol w:w="3053"/>
      </w:tblGrid>
      <w:tr w:rsidR="00D6605E" w:rsidRPr="00D6605E" w14:paraId="214A13C7" w14:textId="77777777" w:rsidTr="00066A96">
        <w:trPr>
          <w:trHeight w:val="594"/>
        </w:trPr>
        <w:tc>
          <w:tcPr>
            <w:tcW w:w="3402" w:type="dxa"/>
            <w:shd w:val="clear" w:color="auto" w:fill="D9E2F3" w:themeFill="accent1" w:themeFillTint="33"/>
          </w:tcPr>
          <w:p w14:paraId="7ED5FF83" w14:textId="77777777" w:rsidR="00D6605E" w:rsidRPr="00D6605E" w:rsidRDefault="00D6605E" w:rsidP="00D6605E">
            <w:pPr>
              <w:jc w:val="center"/>
            </w:pPr>
            <w:bookmarkStart w:id="19" w:name="_Hlk107568969"/>
            <w:bookmarkEnd w:id="18"/>
            <w:r w:rsidRPr="00D6605E">
              <w:t>Formula</w:t>
            </w:r>
          </w:p>
        </w:tc>
        <w:tc>
          <w:tcPr>
            <w:tcW w:w="2869" w:type="dxa"/>
            <w:shd w:val="clear" w:color="auto" w:fill="D9E2F3" w:themeFill="accent1" w:themeFillTint="33"/>
          </w:tcPr>
          <w:p w14:paraId="72B83701" w14:textId="02040589" w:rsidR="00D6605E" w:rsidRPr="00D6605E" w:rsidRDefault="00D6605E" w:rsidP="00D6605E">
            <w:pPr>
              <w:jc w:val="center"/>
            </w:pPr>
            <w:r w:rsidRPr="00D6605E">
              <w:t>[202</w:t>
            </w:r>
            <w:r w:rsidR="00066A96">
              <w:t>1</w:t>
            </w:r>
            <w:r w:rsidRPr="00D6605E">
              <w:t>Y]</w:t>
            </w:r>
          </w:p>
          <w:p w14:paraId="2023094B" w14:textId="77777777" w:rsidR="00D6605E" w:rsidRPr="00D6605E" w:rsidRDefault="00D6605E" w:rsidP="00D6605E">
            <w:pPr>
              <w:jc w:val="center"/>
            </w:pPr>
            <w:r w:rsidRPr="00D6605E">
              <w:t>($</w:t>
            </w:r>
            <w:r w:rsidRPr="00D6605E">
              <w:rPr>
                <w:rFonts w:cs="Arial"/>
              </w:rPr>
              <w:t>m)</w:t>
            </w:r>
          </w:p>
        </w:tc>
        <w:tc>
          <w:tcPr>
            <w:tcW w:w="3053" w:type="dxa"/>
            <w:shd w:val="clear" w:color="auto" w:fill="D9E2F3" w:themeFill="accent1" w:themeFillTint="33"/>
          </w:tcPr>
          <w:p w14:paraId="7B283352" w14:textId="2CFD1BFA" w:rsidR="00D6605E" w:rsidRPr="00D6605E" w:rsidRDefault="00D6605E" w:rsidP="00D6605E">
            <w:pPr>
              <w:jc w:val="center"/>
            </w:pPr>
            <w:r w:rsidRPr="00D6605E">
              <w:t>[202</w:t>
            </w:r>
            <w:r w:rsidR="00066A96">
              <w:t>0</w:t>
            </w:r>
            <w:r w:rsidRPr="00D6605E">
              <w:t>Y]</w:t>
            </w:r>
          </w:p>
          <w:p w14:paraId="5045D004" w14:textId="77777777" w:rsidR="00D6605E" w:rsidRPr="00D6605E" w:rsidRDefault="00D6605E" w:rsidP="00D6605E">
            <w:pPr>
              <w:jc w:val="center"/>
            </w:pPr>
            <w:r w:rsidRPr="00D6605E">
              <w:t>($m)</w:t>
            </w:r>
          </w:p>
        </w:tc>
      </w:tr>
      <w:tr w:rsidR="00066A96" w:rsidRPr="00D6605E" w14:paraId="5E2D411B" w14:textId="77777777" w:rsidTr="00066A96">
        <w:trPr>
          <w:trHeight w:val="737"/>
        </w:trPr>
        <w:tc>
          <w:tcPr>
            <w:tcW w:w="3402" w:type="dxa"/>
            <w:shd w:val="clear" w:color="auto" w:fill="FFFFFF" w:themeFill="background1"/>
          </w:tcPr>
          <w:p w14:paraId="31E58978" w14:textId="59131689" w:rsidR="00066A96" w:rsidRPr="00D6605E" w:rsidRDefault="00D364A4" w:rsidP="00066A96">
            <w:pPr>
              <w:rPr>
                <w:rFonts w:cs="Arial"/>
                <w:iCs/>
              </w:rPr>
            </w:pPr>
            <m:oMathPara>
              <m:oMath>
                <m:f>
                  <m:fPr>
                    <m:ctrlPr>
                      <w:rPr>
                        <w:rFonts w:ascii="Cambria Math" w:hAnsi="Cambria Math" w:cs="Arial"/>
                        <w:iCs/>
                      </w:rPr>
                    </m:ctrlPr>
                  </m:fPr>
                  <m:num>
                    <m:r>
                      <m:rPr>
                        <m:nor/>
                      </m:rPr>
                      <w:rPr>
                        <w:rFonts w:ascii="Cambria Math" w:cs="Arial"/>
                        <w:iCs/>
                      </w:rPr>
                      <m:t>[</m:t>
                    </m:r>
                    <m:r>
                      <m:rPr>
                        <m:nor/>
                      </m:rPr>
                      <w:rPr>
                        <w:rFonts w:cs="Arial"/>
                        <w:iCs/>
                      </w:rPr>
                      <m:t>Operating Profit</m:t>
                    </m:r>
                    <m:r>
                      <m:rPr>
                        <m:nor/>
                      </m:rPr>
                      <w:rPr>
                        <w:rFonts w:ascii="Cambria Math" w:cs="Arial"/>
                        <w:iCs/>
                      </w:rPr>
                      <m:t>]</m:t>
                    </m:r>
                  </m:num>
                  <m:den>
                    <m:r>
                      <m:rPr>
                        <m:nor/>
                      </m:rPr>
                      <w:rPr>
                        <w:rFonts w:ascii="Cambria Math" w:cs="Arial"/>
                        <w:iCs/>
                      </w:rPr>
                      <m:t>[</m:t>
                    </m:r>
                    <m:r>
                      <m:rPr>
                        <m:nor/>
                      </m:rPr>
                      <w:rPr>
                        <w:rFonts w:cs="Arial"/>
                        <w:iCs/>
                      </w:rPr>
                      <m:t>Revenue</m:t>
                    </m:r>
                    <m:r>
                      <m:rPr>
                        <m:nor/>
                      </m:rPr>
                      <w:rPr>
                        <w:rFonts w:ascii="Cambria Math" w:cs="Arial"/>
                        <w:iCs/>
                      </w:rPr>
                      <m:t>]</m:t>
                    </m:r>
                  </m:den>
                </m:f>
                <m:r>
                  <m:rPr>
                    <m:nor/>
                  </m:rPr>
                  <w:rPr>
                    <w:rFonts w:cs="Arial"/>
                    <w:iCs/>
                  </w:rPr>
                  <m:t xml:space="preserve"> × 100</m:t>
                </m:r>
              </m:oMath>
            </m:oMathPara>
          </w:p>
        </w:tc>
        <w:tc>
          <w:tcPr>
            <w:tcW w:w="2869" w:type="dxa"/>
          </w:tcPr>
          <w:p w14:paraId="4DD781B5" w14:textId="63A022A0" w:rsidR="00066A96" w:rsidRPr="00D6605E" w:rsidRDefault="00066A96" w:rsidP="00066A96">
            <w:r w:rsidRPr="00D6605E">
              <w:t xml:space="preserve">[1750÷13,857]×100 </w:t>
            </w:r>
          </w:p>
        </w:tc>
        <w:tc>
          <w:tcPr>
            <w:tcW w:w="3053" w:type="dxa"/>
          </w:tcPr>
          <w:p w14:paraId="5F97D0AC" w14:textId="426C3A98" w:rsidR="00066A96" w:rsidRPr="00D6605E" w:rsidRDefault="00066A96" w:rsidP="00066A96">
            <w:r>
              <w:t>[84</w:t>
            </w:r>
            <w:r>
              <w:rPr>
                <w:rFonts w:cs="Arial"/>
              </w:rPr>
              <w:t>÷10,571]</w:t>
            </w:r>
            <w:r w:rsidRPr="006C5FCE">
              <w:t>×100</w:t>
            </w:r>
          </w:p>
        </w:tc>
      </w:tr>
      <w:tr w:rsidR="00066A96" w:rsidRPr="00D6605E" w14:paraId="7A469A1D" w14:textId="77777777" w:rsidTr="00066A96">
        <w:trPr>
          <w:trHeight w:val="292"/>
        </w:trPr>
        <w:tc>
          <w:tcPr>
            <w:tcW w:w="3402" w:type="dxa"/>
            <w:shd w:val="clear" w:color="auto" w:fill="FFFFFF" w:themeFill="background1"/>
          </w:tcPr>
          <w:p w14:paraId="092794DC" w14:textId="77777777" w:rsidR="00066A96" w:rsidRPr="00D6605E" w:rsidRDefault="00066A96" w:rsidP="00066A96">
            <w:pPr>
              <w:jc w:val="center"/>
              <w:rPr>
                <w:b/>
                <w:bCs/>
              </w:rPr>
            </w:pPr>
            <w:r w:rsidRPr="00D6605E">
              <w:rPr>
                <w:b/>
                <w:bCs/>
              </w:rPr>
              <w:t>Ratio</w:t>
            </w:r>
          </w:p>
        </w:tc>
        <w:tc>
          <w:tcPr>
            <w:tcW w:w="2869" w:type="dxa"/>
          </w:tcPr>
          <w:p w14:paraId="4E866C8D" w14:textId="3F1AEA01" w:rsidR="00066A96" w:rsidRPr="00D6605E" w:rsidRDefault="00066A96" w:rsidP="00066A96">
            <w:pPr>
              <w:jc w:val="center"/>
              <w:rPr>
                <w:b/>
                <w:bCs/>
              </w:rPr>
            </w:pPr>
            <w:r w:rsidRPr="00D6605E">
              <w:rPr>
                <w:b/>
                <w:bCs/>
              </w:rPr>
              <w:t>12.63%</w:t>
            </w:r>
          </w:p>
        </w:tc>
        <w:tc>
          <w:tcPr>
            <w:tcW w:w="3053" w:type="dxa"/>
          </w:tcPr>
          <w:p w14:paraId="15FF32A5" w14:textId="14EB958A" w:rsidR="00066A96" w:rsidRPr="00D6605E" w:rsidRDefault="00066A96" w:rsidP="00066A96">
            <w:pPr>
              <w:jc w:val="center"/>
              <w:rPr>
                <w:b/>
                <w:bCs/>
              </w:rPr>
            </w:pPr>
            <w:r>
              <w:rPr>
                <w:b/>
                <w:bCs/>
              </w:rPr>
              <w:t>0.79</w:t>
            </w:r>
            <w:r w:rsidRPr="00AE020C">
              <w:rPr>
                <w:b/>
                <w:bCs/>
              </w:rPr>
              <w:t>%</w:t>
            </w:r>
          </w:p>
        </w:tc>
      </w:tr>
    </w:tbl>
    <w:p w14:paraId="019330E4" w14:textId="61E3DA42" w:rsidR="00D6605E" w:rsidRPr="00D6605E" w:rsidRDefault="00D6605E" w:rsidP="00D6605E">
      <w:pPr>
        <w:jc w:val="center"/>
        <w:rPr>
          <w:rFonts w:cs="Arial"/>
        </w:rPr>
      </w:pPr>
      <w:bookmarkStart w:id="20" w:name="_Hlk118528847"/>
      <w:bookmarkEnd w:id="19"/>
      <w:r w:rsidRPr="00D6605E">
        <w:rPr>
          <w:rFonts w:cs="Arial"/>
        </w:rPr>
        <w:t xml:space="preserve">Figure </w:t>
      </w:r>
      <w:r w:rsidR="0094326B">
        <w:rPr>
          <w:rFonts w:cs="Arial"/>
        </w:rPr>
        <w:t>10</w:t>
      </w:r>
      <w:r w:rsidRPr="00D6605E">
        <w:rPr>
          <w:rFonts w:cs="Arial"/>
        </w:rPr>
        <w:t>: Operating Margin (Source: Author)</w:t>
      </w:r>
    </w:p>
    <w:p w14:paraId="334A8522" w14:textId="1D91E7B3" w:rsidR="00066A96" w:rsidRDefault="00066A96" w:rsidP="00D6605E">
      <w:bookmarkStart w:id="21" w:name="_Toc94728145"/>
      <w:bookmarkStart w:id="22" w:name="_Toc104625878"/>
      <w:bookmarkEnd w:id="20"/>
      <w:r w:rsidRPr="00066A96">
        <w:t xml:space="preserve">Figure </w:t>
      </w:r>
      <w:r w:rsidR="0094326B">
        <w:t>10</w:t>
      </w:r>
      <w:r w:rsidRPr="00066A96">
        <w:t xml:space="preserve"> shows that by 2021, Marriott International will have increased its operating margin from 0.79 percent in 2020 to 12.63 percent in 2021, suggesting greater profitability.</w:t>
      </w:r>
    </w:p>
    <w:p w14:paraId="7AEF1FC5" w14:textId="3E035542" w:rsidR="0094326B" w:rsidRPr="00D6605E" w:rsidRDefault="0094326B" w:rsidP="0094326B">
      <w:pPr>
        <w:rPr>
          <w:b/>
          <w:bCs/>
        </w:rPr>
      </w:pPr>
      <w:bookmarkStart w:id="23" w:name="_Toc94728146"/>
      <w:bookmarkStart w:id="24" w:name="_Toc104625879"/>
      <w:r w:rsidRPr="00D6605E">
        <w:rPr>
          <w:b/>
          <w:bCs/>
        </w:rPr>
        <w:t>2.</w:t>
      </w:r>
      <w:r>
        <w:rPr>
          <w:b/>
          <w:bCs/>
        </w:rPr>
        <w:t>4</w:t>
      </w:r>
      <w:r w:rsidRPr="00D6605E">
        <w:rPr>
          <w:b/>
          <w:bCs/>
        </w:rPr>
        <w:t xml:space="preserve"> </w:t>
      </w:r>
      <w:bookmarkEnd w:id="23"/>
      <w:bookmarkEnd w:id="24"/>
      <w:r w:rsidRPr="00D6605E">
        <w:rPr>
          <w:b/>
          <w:bCs/>
        </w:rPr>
        <w:t>Solvency Analysis</w:t>
      </w:r>
    </w:p>
    <w:p w14:paraId="42A2B2D1" w14:textId="77777777" w:rsidR="0094326B" w:rsidRPr="00D6605E" w:rsidRDefault="0094326B" w:rsidP="0094326B">
      <w:pPr>
        <w:rPr>
          <w:i/>
          <w:iCs/>
        </w:rPr>
      </w:pPr>
      <w:r w:rsidRPr="00D6605E">
        <w:rPr>
          <w:i/>
          <w:iCs/>
        </w:rPr>
        <w:t>1. Debt Ratio</w:t>
      </w:r>
    </w:p>
    <w:p w14:paraId="76B2C547" w14:textId="3B011CF7" w:rsidR="0094326B" w:rsidRPr="00D6605E" w:rsidRDefault="0094326B" w:rsidP="0094326B">
      <w:r w:rsidRPr="0094326B">
        <w:t>The debt ratio measures overall debt as a proportion of total assets. It is the ratio of a company's debt to its total assets (Berk &amp; Demarzo, 2020).</w:t>
      </w:r>
    </w:p>
    <w:tbl>
      <w:tblPr>
        <w:tblStyle w:val="TableGrid"/>
        <w:tblW w:w="9355" w:type="dxa"/>
        <w:tblLook w:val="04A0" w:firstRow="1" w:lastRow="0" w:firstColumn="1" w:lastColumn="0" w:noHBand="0" w:noVBand="1"/>
      </w:tblPr>
      <w:tblGrid>
        <w:gridCol w:w="4045"/>
        <w:gridCol w:w="2520"/>
        <w:gridCol w:w="2790"/>
      </w:tblGrid>
      <w:tr w:rsidR="0094326B" w:rsidRPr="00D6605E" w14:paraId="1739B525" w14:textId="77777777" w:rsidTr="0094326B">
        <w:tc>
          <w:tcPr>
            <w:tcW w:w="4045" w:type="dxa"/>
            <w:shd w:val="clear" w:color="auto" w:fill="D9E2F3" w:themeFill="accent1" w:themeFillTint="33"/>
            <w:vAlign w:val="center"/>
          </w:tcPr>
          <w:p w14:paraId="43472E54" w14:textId="77777777" w:rsidR="0094326B" w:rsidRPr="00D6605E" w:rsidRDefault="0094326B" w:rsidP="00687E84">
            <w:pPr>
              <w:jc w:val="center"/>
            </w:pPr>
            <w:r w:rsidRPr="00D6605E">
              <w:lastRenderedPageBreak/>
              <w:t>Formula</w:t>
            </w:r>
          </w:p>
        </w:tc>
        <w:tc>
          <w:tcPr>
            <w:tcW w:w="2520" w:type="dxa"/>
            <w:shd w:val="clear" w:color="auto" w:fill="D9E2F3" w:themeFill="accent1" w:themeFillTint="33"/>
            <w:vAlign w:val="center"/>
          </w:tcPr>
          <w:p w14:paraId="1CC917F9" w14:textId="5A167DF7" w:rsidR="0094326B" w:rsidRPr="00D6605E" w:rsidRDefault="0094326B" w:rsidP="00687E84">
            <w:pPr>
              <w:jc w:val="center"/>
            </w:pPr>
            <w:r w:rsidRPr="00D6605E">
              <w:t>[202</w:t>
            </w:r>
            <w:r>
              <w:t>1</w:t>
            </w:r>
            <w:r w:rsidRPr="00D6605E">
              <w:t>Y]</w:t>
            </w:r>
          </w:p>
          <w:p w14:paraId="69A95B8F" w14:textId="77777777" w:rsidR="0094326B" w:rsidRPr="00D6605E" w:rsidRDefault="0094326B" w:rsidP="00687E84">
            <w:pPr>
              <w:jc w:val="center"/>
            </w:pPr>
            <w:r w:rsidRPr="00D6605E">
              <w:t>($</w:t>
            </w:r>
            <w:r w:rsidRPr="00D6605E">
              <w:rPr>
                <w:rFonts w:cs="Arial"/>
              </w:rPr>
              <w:t>m)</w:t>
            </w:r>
          </w:p>
        </w:tc>
        <w:tc>
          <w:tcPr>
            <w:tcW w:w="2790" w:type="dxa"/>
            <w:shd w:val="clear" w:color="auto" w:fill="D9E2F3" w:themeFill="accent1" w:themeFillTint="33"/>
            <w:vAlign w:val="center"/>
          </w:tcPr>
          <w:p w14:paraId="212A6E51" w14:textId="7B21CAAA" w:rsidR="0094326B" w:rsidRPr="00D6605E" w:rsidRDefault="0094326B" w:rsidP="00687E84">
            <w:pPr>
              <w:jc w:val="center"/>
            </w:pPr>
            <w:r w:rsidRPr="00D6605E">
              <w:t>[202</w:t>
            </w:r>
            <w:r>
              <w:t>0</w:t>
            </w:r>
            <w:r w:rsidRPr="00D6605E">
              <w:t>Y]</w:t>
            </w:r>
          </w:p>
          <w:p w14:paraId="73D6EC72" w14:textId="77777777" w:rsidR="0094326B" w:rsidRPr="00D6605E" w:rsidRDefault="0094326B" w:rsidP="00687E84">
            <w:pPr>
              <w:jc w:val="center"/>
            </w:pPr>
            <w:r w:rsidRPr="00D6605E">
              <w:t>($m)</w:t>
            </w:r>
          </w:p>
        </w:tc>
      </w:tr>
      <w:tr w:rsidR="0094326B" w:rsidRPr="00D6605E" w14:paraId="592BA2AC" w14:textId="77777777" w:rsidTr="0094326B">
        <w:tc>
          <w:tcPr>
            <w:tcW w:w="4045" w:type="dxa"/>
            <w:shd w:val="clear" w:color="auto" w:fill="FFFFFF" w:themeFill="background1"/>
            <w:vAlign w:val="center"/>
          </w:tcPr>
          <w:p w14:paraId="1BE71D4B" w14:textId="175ABCE0" w:rsidR="0094326B" w:rsidRPr="00D6605E" w:rsidRDefault="00D364A4" w:rsidP="0094326B">
            <w:pPr>
              <w:jc w:val="center"/>
            </w:pPr>
            <m:oMathPara>
              <m:oMath>
                <m:f>
                  <m:fPr>
                    <m:ctrlPr>
                      <w:rPr>
                        <w:rFonts w:ascii="Cambria Math" w:hAnsi="Cambria Math"/>
                        <w:i/>
                      </w:rPr>
                    </m:ctrlPr>
                  </m:fPr>
                  <m:num>
                    <m:r>
                      <m:rPr>
                        <m:nor/>
                      </m:rPr>
                      <w:rPr>
                        <w:rFonts w:ascii="Cambria Math"/>
                      </w:rPr>
                      <m:t>[</m:t>
                    </m:r>
                    <m:r>
                      <m:rPr>
                        <m:nor/>
                      </m:rPr>
                      <m:t>Total Debt</m:t>
                    </m:r>
                    <m:r>
                      <m:rPr>
                        <m:nor/>
                      </m:rPr>
                      <w:rPr>
                        <w:rFonts w:ascii="Cambria Math"/>
                      </w:rPr>
                      <m:t>]</m:t>
                    </m:r>
                  </m:num>
                  <m:den>
                    <m:r>
                      <m:rPr>
                        <m:nor/>
                      </m:rPr>
                      <w:rPr>
                        <w:rFonts w:ascii="Cambria Math"/>
                      </w:rPr>
                      <m:t>[</m:t>
                    </m:r>
                    <m:r>
                      <m:rPr>
                        <m:nor/>
                      </m:rPr>
                      <m:t>Total Assets</m:t>
                    </m:r>
                    <m:r>
                      <m:rPr>
                        <m:nor/>
                      </m:rPr>
                      <w:rPr>
                        <w:rFonts w:ascii="Cambria Math"/>
                      </w:rPr>
                      <m:t>]</m:t>
                    </m:r>
                  </m:den>
                </m:f>
              </m:oMath>
            </m:oMathPara>
          </w:p>
        </w:tc>
        <w:tc>
          <w:tcPr>
            <w:tcW w:w="2520" w:type="dxa"/>
          </w:tcPr>
          <w:p w14:paraId="0C5B795A" w14:textId="1FD1D917" w:rsidR="0094326B" w:rsidRPr="00D6605E" w:rsidRDefault="0094326B" w:rsidP="0094326B">
            <w:r w:rsidRPr="00D6605E">
              <w:t>[24,139÷25,553]</w:t>
            </w:r>
          </w:p>
        </w:tc>
        <w:tc>
          <w:tcPr>
            <w:tcW w:w="2790" w:type="dxa"/>
          </w:tcPr>
          <w:p w14:paraId="2C4B2087" w14:textId="742B74EF" w:rsidR="0094326B" w:rsidRPr="00D6605E" w:rsidRDefault="0094326B" w:rsidP="0094326B">
            <w:r>
              <w:t>[24,271</w:t>
            </w:r>
            <w:r>
              <w:rPr>
                <w:rFonts w:cs="Arial"/>
              </w:rPr>
              <w:t>÷24,701]</w:t>
            </w:r>
          </w:p>
        </w:tc>
      </w:tr>
      <w:tr w:rsidR="0094326B" w:rsidRPr="00D6605E" w14:paraId="75633A47" w14:textId="77777777" w:rsidTr="0094326B">
        <w:tc>
          <w:tcPr>
            <w:tcW w:w="4045" w:type="dxa"/>
            <w:shd w:val="clear" w:color="auto" w:fill="FFFFFF" w:themeFill="background1"/>
          </w:tcPr>
          <w:p w14:paraId="7A0C9332" w14:textId="77777777" w:rsidR="0094326B" w:rsidRPr="00D6605E" w:rsidRDefault="0094326B" w:rsidP="0094326B">
            <w:pPr>
              <w:jc w:val="center"/>
              <w:rPr>
                <w:b/>
                <w:bCs/>
              </w:rPr>
            </w:pPr>
            <w:r w:rsidRPr="00D6605E">
              <w:rPr>
                <w:b/>
                <w:bCs/>
              </w:rPr>
              <w:t>Ratio</w:t>
            </w:r>
          </w:p>
        </w:tc>
        <w:tc>
          <w:tcPr>
            <w:tcW w:w="2520" w:type="dxa"/>
          </w:tcPr>
          <w:p w14:paraId="4F77E8E3" w14:textId="2AB6530C" w:rsidR="0094326B" w:rsidRPr="00D6605E" w:rsidRDefault="0094326B" w:rsidP="0094326B">
            <w:pPr>
              <w:jc w:val="center"/>
              <w:rPr>
                <w:b/>
                <w:bCs/>
              </w:rPr>
            </w:pPr>
            <w:r w:rsidRPr="00D6605E">
              <w:rPr>
                <w:b/>
                <w:bCs/>
              </w:rPr>
              <w:t>0.94</w:t>
            </w:r>
          </w:p>
        </w:tc>
        <w:tc>
          <w:tcPr>
            <w:tcW w:w="2790" w:type="dxa"/>
          </w:tcPr>
          <w:p w14:paraId="462E32E4" w14:textId="4231E91D" w:rsidR="0094326B" w:rsidRPr="00D6605E" w:rsidRDefault="0094326B" w:rsidP="0094326B">
            <w:pPr>
              <w:jc w:val="center"/>
              <w:rPr>
                <w:b/>
                <w:bCs/>
              </w:rPr>
            </w:pPr>
            <w:r>
              <w:rPr>
                <w:b/>
                <w:bCs/>
              </w:rPr>
              <w:t>0.98</w:t>
            </w:r>
          </w:p>
        </w:tc>
      </w:tr>
    </w:tbl>
    <w:p w14:paraId="7ABFB3BF" w14:textId="267155C2" w:rsidR="0094326B" w:rsidRPr="00D6605E" w:rsidRDefault="0094326B" w:rsidP="0094326B">
      <w:pPr>
        <w:jc w:val="center"/>
        <w:rPr>
          <w:rFonts w:cs="Arial"/>
        </w:rPr>
      </w:pPr>
      <w:r w:rsidRPr="00D6605E">
        <w:rPr>
          <w:rFonts w:cs="Arial"/>
        </w:rPr>
        <w:t>Figure 1</w:t>
      </w:r>
      <w:r>
        <w:rPr>
          <w:rFonts w:cs="Arial"/>
        </w:rPr>
        <w:t>1</w:t>
      </w:r>
      <w:r w:rsidRPr="00D6605E">
        <w:rPr>
          <w:rFonts w:cs="Arial"/>
        </w:rPr>
        <w:t>: Debt Ratio (Source: Author)</w:t>
      </w:r>
    </w:p>
    <w:p w14:paraId="2AF299DE" w14:textId="77777777" w:rsidR="005571E6" w:rsidRDefault="005571E6" w:rsidP="0094326B">
      <w:r w:rsidRPr="005571E6">
        <w:t>Figure 11 shows that Marriott International has reduced its debt and leverage from the previous year. There is less of a chance of the firm going bankrupt in 2021, and more of the money has come from shareholders.</w:t>
      </w:r>
    </w:p>
    <w:p w14:paraId="17BB2C51" w14:textId="37CF68C2" w:rsidR="0094326B" w:rsidRPr="00D6605E" w:rsidRDefault="0094326B" w:rsidP="0094326B">
      <w:pPr>
        <w:rPr>
          <w:i/>
          <w:iCs/>
        </w:rPr>
      </w:pPr>
      <w:r w:rsidRPr="00D6605E">
        <w:rPr>
          <w:i/>
          <w:iCs/>
        </w:rPr>
        <w:t>2. Debt to Equity Ratio</w:t>
      </w:r>
    </w:p>
    <w:p w14:paraId="029FE543" w14:textId="256D2E4B" w:rsidR="0094326B" w:rsidRPr="00D6605E" w:rsidRDefault="005571E6" w:rsidP="0094326B">
      <w:r w:rsidRPr="005571E6">
        <w:t>It reflects the degree to which a company must rely on debt financing, as opposed to its own finances, to maintain its everyday operations (Brigham &amp; Ehrhardt, 2020).</w:t>
      </w:r>
    </w:p>
    <w:tbl>
      <w:tblPr>
        <w:tblStyle w:val="TableGrid"/>
        <w:tblW w:w="9355" w:type="dxa"/>
        <w:tblLook w:val="04A0" w:firstRow="1" w:lastRow="0" w:firstColumn="1" w:lastColumn="0" w:noHBand="0" w:noVBand="1"/>
      </w:tblPr>
      <w:tblGrid>
        <w:gridCol w:w="4045"/>
        <w:gridCol w:w="2520"/>
        <w:gridCol w:w="2790"/>
      </w:tblGrid>
      <w:tr w:rsidR="0094326B" w:rsidRPr="00D6605E" w14:paraId="2E2D64E6" w14:textId="77777777" w:rsidTr="005571E6">
        <w:tc>
          <w:tcPr>
            <w:tcW w:w="4045" w:type="dxa"/>
            <w:shd w:val="clear" w:color="auto" w:fill="D9E2F3" w:themeFill="accent1" w:themeFillTint="33"/>
            <w:vAlign w:val="center"/>
          </w:tcPr>
          <w:p w14:paraId="4B2AF9E8" w14:textId="77777777" w:rsidR="0094326B" w:rsidRPr="00D6605E" w:rsidRDefault="0094326B" w:rsidP="00687E84">
            <w:pPr>
              <w:jc w:val="center"/>
            </w:pPr>
            <w:r w:rsidRPr="00D6605E">
              <w:t>Formula</w:t>
            </w:r>
          </w:p>
        </w:tc>
        <w:tc>
          <w:tcPr>
            <w:tcW w:w="2520" w:type="dxa"/>
            <w:shd w:val="clear" w:color="auto" w:fill="D9E2F3" w:themeFill="accent1" w:themeFillTint="33"/>
            <w:vAlign w:val="center"/>
          </w:tcPr>
          <w:p w14:paraId="4AC20676" w14:textId="27B0B84E" w:rsidR="0094326B" w:rsidRPr="00D6605E" w:rsidRDefault="0094326B" w:rsidP="00687E84">
            <w:pPr>
              <w:jc w:val="center"/>
            </w:pPr>
            <w:r w:rsidRPr="00D6605E">
              <w:t>[202</w:t>
            </w:r>
            <w:r w:rsidR="005571E6">
              <w:t>1</w:t>
            </w:r>
            <w:r w:rsidRPr="00D6605E">
              <w:t>Y]</w:t>
            </w:r>
          </w:p>
          <w:p w14:paraId="107EAACC" w14:textId="77777777" w:rsidR="0094326B" w:rsidRPr="00D6605E" w:rsidRDefault="0094326B" w:rsidP="00687E84">
            <w:pPr>
              <w:jc w:val="center"/>
            </w:pPr>
            <w:r w:rsidRPr="00D6605E">
              <w:t>($</w:t>
            </w:r>
            <w:r w:rsidRPr="00D6605E">
              <w:rPr>
                <w:rFonts w:cs="Arial"/>
              </w:rPr>
              <w:t>m)</w:t>
            </w:r>
          </w:p>
        </w:tc>
        <w:tc>
          <w:tcPr>
            <w:tcW w:w="2790" w:type="dxa"/>
            <w:shd w:val="clear" w:color="auto" w:fill="D9E2F3" w:themeFill="accent1" w:themeFillTint="33"/>
            <w:vAlign w:val="center"/>
          </w:tcPr>
          <w:p w14:paraId="666B03FD" w14:textId="7C3E21A0" w:rsidR="0094326B" w:rsidRPr="00D6605E" w:rsidRDefault="0094326B" w:rsidP="00687E84">
            <w:pPr>
              <w:jc w:val="center"/>
            </w:pPr>
            <w:r w:rsidRPr="00D6605E">
              <w:t>[202</w:t>
            </w:r>
            <w:r w:rsidR="005571E6">
              <w:t>0</w:t>
            </w:r>
            <w:r w:rsidRPr="00D6605E">
              <w:t>Y]</w:t>
            </w:r>
          </w:p>
          <w:p w14:paraId="3284DD5F" w14:textId="77777777" w:rsidR="0094326B" w:rsidRPr="00D6605E" w:rsidRDefault="0094326B" w:rsidP="00687E84">
            <w:pPr>
              <w:jc w:val="center"/>
            </w:pPr>
            <w:r w:rsidRPr="00D6605E">
              <w:t>($m)</w:t>
            </w:r>
          </w:p>
        </w:tc>
      </w:tr>
      <w:tr w:rsidR="005571E6" w:rsidRPr="00D6605E" w14:paraId="077A9E7C" w14:textId="77777777" w:rsidTr="005571E6">
        <w:tc>
          <w:tcPr>
            <w:tcW w:w="4045" w:type="dxa"/>
            <w:shd w:val="clear" w:color="auto" w:fill="FFFFFF" w:themeFill="background1"/>
            <w:vAlign w:val="center"/>
          </w:tcPr>
          <w:p w14:paraId="1E8487CD" w14:textId="44071369" w:rsidR="005571E6" w:rsidRPr="00D6605E" w:rsidRDefault="00D364A4" w:rsidP="005571E6">
            <w:pPr>
              <w:jc w:val="center"/>
            </w:pPr>
            <m:oMathPara>
              <m:oMath>
                <m:f>
                  <m:fPr>
                    <m:ctrlPr>
                      <w:rPr>
                        <w:rFonts w:ascii="Cambria Math" w:hAnsi="Cambria Math"/>
                        <w:i/>
                      </w:rPr>
                    </m:ctrlPr>
                  </m:fPr>
                  <m:num>
                    <m:r>
                      <m:rPr>
                        <m:nor/>
                      </m:rPr>
                      <w:rPr>
                        <w:rFonts w:ascii="Cambria Math"/>
                      </w:rPr>
                      <m:t>[</m:t>
                    </m:r>
                    <m:r>
                      <m:rPr>
                        <m:nor/>
                      </m:rPr>
                      <m:t>Total Debt</m:t>
                    </m:r>
                    <m:r>
                      <m:rPr>
                        <m:nor/>
                      </m:rPr>
                      <w:rPr>
                        <w:rFonts w:ascii="Cambria Math"/>
                      </w:rPr>
                      <m:t>]</m:t>
                    </m:r>
                  </m:num>
                  <m:den>
                    <m:r>
                      <m:rPr>
                        <m:nor/>
                      </m:rPr>
                      <w:rPr>
                        <w:rFonts w:ascii="Cambria Math"/>
                      </w:rPr>
                      <m:t>[</m:t>
                    </m:r>
                    <m:r>
                      <m:rPr>
                        <m:nor/>
                      </m:rPr>
                      <m:t>Total Equity</m:t>
                    </m:r>
                    <m:r>
                      <m:rPr>
                        <m:nor/>
                      </m:rPr>
                      <w:rPr>
                        <w:rFonts w:ascii="Cambria Math"/>
                      </w:rPr>
                      <m:t>]</m:t>
                    </m:r>
                  </m:den>
                </m:f>
              </m:oMath>
            </m:oMathPara>
          </w:p>
        </w:tc>
        <w:tc>
          <w:tcPr>
            <w:tcW w:w="2520" w:type="dxa"/>
          </w:tcPr>
          <w:p w14:paraId="5D5A7872" w14:textId="2E87B2D5" w:rsidR="005571E6" w:rsidRPr="00D6605E" w:rsidRDefault="005571E6" w:rsidP="005571E6">
            <w:r w:rsidRPr="00D6605E">
              <w:t>[24,139÷1414]</w:t>
            </w:r>
          </w:p>
        </w:tc>
        <w:tc>
          <w:tcPr>
            <w:tcW w:w="2790" w:type="dxa"/>
          </w:tcPr>
          <w:p w14:paraId="72CB975C" w14:textId="414333A2" w:rsidR="005571E6" w:rsidRPr="00D6605E" w:rsidRDefault="005571E6" w:rsidP="005571E6">
            <w:r>
              <w:t>[24,271</w:t>
            </w:r>
            <w:r>
              <w:rPr>
                <w:rFonts w:cs="Arial"/>
              </w:rPr>
              <w:t>÷430]</w:t>
            </w:r>
          </w:p>
        </w:tc>
      </w:tr>
      <w:tr w:rsidR="005571E6" w:rsidRPr="00D6605E" w14:paraId="5B786944" w14:textId="77777777" w:rsidTr="005571E6">
        <w:tc>
          <w:tcPr>
            <w:tcW w:w="4045" w:type="dxa"/>
            <w:shd w:val="clear" w:color="auto" w:fill="FFFFFF" w:themeFill="background1"/>
          </w:tcPr>
          <w:p w14:paraId="061EAA7B" w14:textId="77777777" w:rsidR="005571E6" w:rsidRPr="00D6605E" w:rsidRDefault="005571E6" w:rsidP="005571E6">
            <w:pPr>
              <w:jc w:val="center"/>
              <w:rPr>
                <w:b/>
                <w:bCs/>
              </w:rPr>
            </w:pPr>
            <w:r w:rsidRPr="00D6605E">
              <w:rPr>
                <w:b/>
                <w:bCs/>
              </w:rPr>
              <w:t>Ratio</w:t>
            </w:r>
          </w:p>
        </w:tc>
        <w:tc>
          <w:tcPr>
            <w:tcW w:w="2520" w:type="dxa"/>
          </w:tcPr>
          <w:p w14:paraId="617EE355" w14:textId="21A02AA4" w:rsidR="005571E6" w:rsidRPr="00D6605E" w:rsidRDefault="005571E6" w:rsidP="005571E6">
            <w:pPr>
              <w:jc w:val="center"/>
              <w:rPr>
                <w:b/>
                <w:bCs/>
              </w:rPr>
            </w:pPr>
            <w:r w:rsidRPr="00D6605E">
              <w:rPr>
                <w:b/>
                <w:bCs/>
              </w:rPr>
              <w:t>17.07</w:t>
            </w:r>
          </w:p>
        </w:tc>
        <w:tc>
          <w:tcPr>
            <w:tcW w:w="2790" w:type="dxa"/>
          </w:tcPr>
          <w:p w14:paraId="5BE42BFD" w14:textId="5FDF9937" w:rsidR="005571E6" w:rsidRPr="00D6605E" w:rsidRDefault="005571E6" w:rsidP="005571E6">
            <w:pPr>
              <w:jc w:val="center"/>
              <w:rPr>
                <w:b/>
                <w:bCs/>
              </w:rPr>
            </w:pPr>
            <w:r>
              <w:rPr>
                <w:b/>
                <w:bCs/>
              </w:rPr>
              <w:t>56.44</w:t>
            </w:r>
          </w:p>
        </w:tc>
      </w:tr>
    </w:tbl>
    <w:p w14:paraId="356B462C" w14:textId="176FE72F" w:rsidR="0094326B" w:rsidRPr="00D6605E" w:rsidRDefault="0094326B" w:rsidP="0094326B">
      <w:pPr>
        <w:jc w:val="center"/>
        <w:rPr>
          <w:rFonts w:cs="Arial"/>
        </w:rPr>
      </w:pPr>
      <w:r w:rsidRPr="00D6605E">
        <w:rPr>
          <w:rFonts w:cs="Arial"/>
        </w:rPr>
        <w:t>Figure 1</w:t>
      </w:r>
      <w:r w:rsidR="005571E6">
        <w:rPr>
          <w:rFonts w:cs="Arial"/>
        </w:rPr>
        <w:t>2</w:t>
      </w:r>
      <w:r w:rsidRPr="00D6605E">
        <w:rPr>
          <w:rFonts w:cs="Arial"/>
        </w:rPr>
        <w:t>: Debt to Equity Ratio (Source: Author)</w:t>
      </w:r>
    </w:p>
    <w:p w14:paraId="2FDC6AFE" w14:textId="63ECFD9E" w:rsidR="0094326B" w:rsidRPr="00D6605E" w:rsidRDefault="005571E6" w:rsidP="0094326B">
      <w:r w:rsidRPr="005571E6">
        <w:t>Figure 12 shows a reduction in the debt-to-equity ratio for 2021. The falling ratio is an indication that the firm is paying down its debt and increasing its reliance on equity investment to meet its capital needs.</w:t>
      </w:r>
    </w:p>
    <w:p w14:paraId="36015EA0" w14:textId="77777777" w:rsidR="0094326B" w:rsidRPr="00D6605E" w:rsidRDefault="0094326B" w:rsidP="0094326B">
      <w:pPr>
        <w:rPr>
          <w:i/>
          <w:iCs/>
        </w:rPr>
      </w:pPr>
      <w:r w:rsidRPr="00D6605E">
        <w:rPr>
          <w:i/>
          <w:iCs/>
        </w:rPr>
        <w:t>3. Interest Coverage Ratio</w:t>
      </w:r>
    </w:p>
    <w:p w14:paraId="6D97FD7C" w14:textId="52443D5E" w:rsidR="0094326B" w:rsidRDefault="005571E6" w:rsidP="0094326B">
      <w:r w:rsidRPr="005571E6">
        <w:t>Investors and debtors alike place a high value on a company's solvency or gearing ratio since it demonstrates the firm's capacity to cover its interest expenses with cash flow before interest and taxes (Brigham and Houston, 2012).</w:t>
      </w:r>
    </w:p>
    <w:p w14:paraId="1EF31D7C" w14:textId="6FBEEBD2" w:rsidR="005571E6" w:rsidRDefault="005571E6" w:rsidP="0094326B"/>
    <w:p w14:paraId="0A69C5F6" w14:textId="77777777" w:rsidR="005571E6" w:rsidRPr="00D6605E" w:rsidRDefault="005571E6" w:rsidP="0094326B"/>
    <w:tbl>
      <w:tblPr>
        <w:tblStyle w:val="TableGrid"/>
        <w:tblW w:w="9355" w:type="dxa"/>
        <w:tblLook w:val="04A0" w:firstRow="1" w:lastRow="0" w:firstColumn="1" w:lastColumn="0" w:noHBand="0" w:noVBand="1"/>
      </w:tblPr>
      <w:tblGrid>
        <w:gridCol w:w="4045"/>
        <w:gridCol w:w="2520"/>
        <w:gridCol w:w="2790"/>
      </w:tblGrid>
      <w:tr w:rsidR="0094326B" w:rsidRPr="00D6605E" w14:paraId="2ED29033" w14:textId="77777777" w:rsidTr="005571E6">
        <w:tc>
          <w:tcPr>
            <w:tcW w:w="4045" w:type="dxa"/>
            <w:shd w:val="clear" w:color="auto" w:fill="D9E2F3" w:themeFill="accent1" w:themeFillTint="33"/>
            <w:vAlign w:val="center"/>
          </w:tcPr>
          <w:p w14:paraId="7AE46452" w14:textId="77777777" w:rsidR="0094326B" w:rsidRPr="00D6605E" w:rsidRDefault="0094326B" w:rsidP="00687E84">
            <w:pPr>
              <w:jc w:val="center"/>
            </w:pPr>
            <w:r w:rsidRPr="00D6605E">
              <w:lastRenderedPageBreak/>
              <w:t>Formula</w:t>
            </w:r>
          </w:p>
        </w:tc>
        <w:tc>
          <w:tcPr>
            <w:tcW w:w="2520" w:type="dxa"/>
            <w:shd w:val="clear" w:color="auto" w:fill="D9E2F3" w:themeFill="accent1" w:themeFillTint="33"/>
            <w:vAlign w:val="center"/>
          </w:tcPr>
          <w:p w14:paraId="26E99BBF" w14:textId="1B17546C" w:rsidR="0094326B" w:rsidRPr="00D6605E" w:rsidRDefault="0094326B" w:rsidP="00687E84">
            <w:pPr>
              <w:jc w:val="center"/>
            </w:pPr>
            <w:r w:rsidRPr="00D6605E">
              <w:t>[202</w:t>
            </w:r>
            <w:r w:rsidR="005571E6">
              <w:t>1</w:t>
            </w:r>
            <w:r w:rsidRPr="00D6605E">
              <w:t>Y]</w:t>
            </w:r>
          </w:p>
          <w:p w14:paraId="6B08AEE6" w14:textId="77777777" w:rsidR="0094326B" w:rsidRPr="00D6605E" w:rsidRDefault="0094326B" w:rsidP="00687E84">
            <w:pPr>
              <w:jc w:val="center"/>
            </w:pPr>
            <w:r w:rsidRPr="00D6605E">
              <w:t>($</w:t>
            </w:r>
            <w:r w:rsidRPr="00D6605E">
              <w:rPr>
                <w:rFonts w:cs="Arial"/>
              </w:rPr>
              <w:t>m)</w:t>
            </w:r>
          </w:p>
        </w:tc>
        <w:tc>
          <w:tcPr>
            <w:tcW w:w="2790" w:type="dxa"/>
            <w:shd w:val="clear" w:color="auto" w:fill="D9E2F3" w:themeFill="accent1" w:themeFillTint="33"/>
            <w:vAlign w:val="center"/>
          </w:tcPr>
          <w:p w14:paraId="472A9674" w14:textId="6C5B59B0" w:rsidR="0094326B" w:rsidRPr="00D6605E" w:rsidRDefault="0094326B" w:rsidP="00687E84">
            <w:pPr>
              <w:jc w:val="center"/>
            </w:pPr>
            <w:r w:rsidRPr="00D6605E">
              <w:t>[202</w:t>
            </w:r>
            <w:r w:rsidR="005571E6">
              <w:t>0</w:t>
            </w:r>
            <w:r w:rsidRPr="00D6605E">
              <w:t>Y]</w:t>
            </w:r>
          </w:p>
          <w:p w14:paraId="47DAC55E" w14:textId="77777777" w:rsidR="0094326B" w:rsidRPr="00D6605E" w:rsidRDefault="0094326B" w:rsidP="00687E84">
            <w:pPr>
              <w:jc w:val="center"/>
            </w:pPr>
            <w:r w:rsidRPr="00D6605E">
              <w:t>($m)</w:t>
            </w:r>
          </w:p>
        </w:tc>
      </w:tr>
      <w:tr w:rsidR="005571E6" w:rsidRPr="00D6605E" w14:paraId="23C03028" w14:textId="77777777" w:rsidTr="005571E6">
        <w:tc>
          <w:tcPr>
            <w:tcW w:w="4045" w:type="dxa"/>
            <w:shd w:val="clear" w:color="auto" w:fill="FFFFFF" w:themeFill="background1"/>
            <w:vAlign w:val="center"/>
          </w:tcPr>
          <w:p w14:paraId="5EF2C154" w14:textId="77777777" w:rsidR="005571E6" w:rsidRPr="00D6605E" w:rsidRDefault="00D364A4" w:rsidP="005571E6">
            <w:pPr>
              <w:jc w:val="center"/>
            </w:pPr>
            <m:oMathPara>
              <m:oMath>
                <m:f>
                  <m:fPr>
                    <m:ctrlPr>
                      <w:rPr>
                        <w:rFonts w:ascii="Cambria Math" w:hAnsi="Cambria Math"/>
                        <w:i/>
                      </w:rPr>
                    </m:ctrlPr>
                  </m:fPr>
                  <m:num>
                    <m:r>
                      <m:rPr>
                        <m:nor/>
                      </m:rPr>
                      <w:rPr>
                        <w:rFonts w:ascii="Cambria Math"/>
                      </w:rPr>
                      <m:t>{</m:t>
                    </m:r>
                    <m:r>
                      <m:rPr>
                        <m:nor/>
                      </m:rPr>
                      <m:t>Profit Before Interest</m:t>
                    </m:r>
                    <m:r>
                      <m:rPr>
                        <m:nor/>
                      </m:rPr>
                      <w:rPr>
                        <w:rFonts w:ascii="Cambria Math"/>
                      </w:rPr>
                      <m:t xml:space="preserve"> and Taxes}</m:t>
                    </m:r>
                  </m:num>
                  <m:den>
                    <m:r>
                      <m:rPr>
                        <m:nor/>
                      </m:rPr>
                      <w:rPr>
                        <w:rFonts w:ascii="Cambria Math"/>
                      </w:rPr>
                      <m:t>{</m:t>
                    </m:r>
                    <m:r>
                      <m:rPr>
                        <m:nor/>
                      </m:rPr>
                      <m:t>Interest Expense</m:t>
                    </m:r>
                    <m:r>
                      <m:rPr>
                        <m:nor/>
                      </m:rPr>
                      <w:rPr>
                        <w:rFonts w:ascii="Cambria Math"/>
                      </w:rPr>
                      <m:t>}</m:t>
                    </m:r>
                  </m:den>
                </m:f>
              </m:oMath>
            </m:oMathPara>
          </w:p>
        </w:tc>
        <w:tc>
          <w:tcPr>
            <w:tcW w:w="2520" w:type="dxa"/>
          </w:tcPr>
          <w:p w14:paraId="21EF9453" w14:textId="4CA95855" w:rsidR="005571E6" w:rsidRPr="00D6605E" w:rsidRDefault="005571E6" w:rsidP="005571E6">
            <w:r w:rsidRPr="00D6605E">
              <w:t>[1900÷420]</w:t>
            </w:r>
          </w:p>
        </w:tc>
        <w:tc>
          <w:tcPr>
            <w:tcW w:w="2790" w:type="dxa"/>
          </w:tcPr>
          <w:p w14:paraId="7F1A01B3" w14:textId="52365F96" w:rsidR="005571E6" w:rsidRPr="00D6605E" w:rsidRDefault="005571E6" w:rsidP="005571E6">
            <w:r>
              <w:t>[-21</w:t>
            </w:r>
            <w:r>
              <w:rPr>
                <w:rFonts w:cs="Arial"/>
              </w:rPr>
              <w:t>÷445]</w:t>
            </w:r>
          </w:p>
        </w:tc>
      </w:tr>
      <w:tr w:rsidR="005571E6" w:rsidRPr="00D6605E" w14:paraId="507B34E7" w14:textId="77777777" w:rsidTr="005571E6">
        <w:tc>
          <w:tcPr>
            <w:tcW w:w="4045" w:type="dxa"/>
            <w:shd w:val="clear" w:color="auto" w:fill="FFFFFF" w:themeFill="background1"/>
          </w:tcPr>
          <w:p w14:paraId="1F043963" w14:textId="77777777" w:rsidR="005571E6" w:rsidRPr="00D6605E" w:rsidRDefault="005571E6" w:rsidP="005571E6">
            <w:pPr>
              <w:jc w:val="center"/>
              <w:rPr>
                <w:b/>
                <w:bCs/>
              </w:rPr>
            </w:pPr>
            <w:r w:rsidRPr="00D6605E">
              <w:rPr>
                <w:b/>
                <w:bCs/>
              </w:rPr>
              <w:t>Ratio</w:t>
            </w:r>
          </w:p>
        </w:tc>
        <w:tc>
          <w:tcPr>
            <w:tcW w:w="2520" w:type="dxa"/>
          </w:tcPr>
          <w:p w14:paraId="001A500E" w14:textId="1CFC8DA9" w:rsidR="005571E6" w:rsidRPr="00D6605E" w:rsidRDefault="005571E6" w:rsidP="005571E6">
            <w:pPr>
              <w:jc w:val="center"/>
              <w:rPr>
                <w:b/>
                <w:bCs/>
              </w:rPr>
            </w:pPr>
            <w:r w:rsidRPr="00D6605E">
              <w:rPr>
                <w:b/>
                <w:bCs/>
              </w:rPr>
              <w:t>4.52</w:t>
            </w:r>
          </w:p>
        </w:tc>
        <w:tc>
          <w:tcPr>
            <w:tcW w:w="2790" w:type="dxa"/>
          </w:tcPr>
          <w:p w14:paraId="0C7DC856" w14:textId="46043785" w:rsidR="005571E6" w:rsidRPr="00D6605E" w:rsidRDefault="005571E6" w:rsidP="005571E6">
            <w:pPr>
              <w:jc w:val="center"/>
              <w:rPr>
                <w:b/>
                <w:bCs/>
              </w:rPr>
            </w:pPr>
            <w:r>
              <w:rPr>
                <w:b/>
                <w:bCs/>
              </w:rPr>
              <w:t>-0.47</w:t>
            </w:r>
          </w:p>
        </w:tc>
      </w:tr>
    </w:tbl>
    <w:p w14:paraId="21A969D6" w14:textId="703A025C" w:rsidR="0094326B" w:rsidRPr="00D6605E" w:rsidRDefault="0094326B" w:rsidP="0094326B">
      <w:pPr>
        <w:jc w:val="center"/>
        <w:rPr>
          <w:rFonts w:cs="Arial"/>
        </w:rPr>
      </w:pPr>
      <w:r w:rsidRPr="00D6605E">
        <w:rPr>
          <w:rFonts w:cs="Arial"/>
        </w:rPr>
        <w:t>Figure 1</w:t>
      </w:r>
      <w:r w:rsidR="005571E6">
        <w:rPr>
          <w:rFonts w:cs="Arial"/>
        </w:rPr>
        <w:t>3</w:t>
      </w:r>
      <w:r w:rsidRPr="00D6605E">
        <w:rPr>
          <w:rFonts w:cs="Arial"/>
        </w:rPr>
        <w:t>: Interest Coverage Ratio (Source: Author)</w:t>
      </w:r>
    </w:p>
    <w:p w14:paraId="34ED2FEA" w14:textId="7FB5DE39" w:rsidR="0094326B" w:rsidRDefault="005571E6" w:rsidP="00D6605E">
      <w:r w:rsidRPr="005571E6">
        <w:t>Figure 13 shows that in 2021, the company's interest coverage ratio improved, suggesting that it will be better able to repay its interest expenditures with profits.</w:t>
      </w:r>
    </w:p>
    <w:p w14:paraId="6A36C9FC" w14:textId="6512EA2A" w:rsidR="00D6605E" w:rsidRDefault="00D6605E" w:rsidP="00D6605E">
      <w:pPr>
        <w:rPr>
          <w:b/>
          <w:bCs/>
        </w:rPr>
      </w:pPr>
      <w:r w:rsidRPr="00D6605E">
        <w:rPr>
          <w:b/>
          <w:bCs/>
        </w:rPr>
        <w:t>2.</w:t>
      </w:r>
      <w:r w:rsidR="0094326B">
        <w:rPr>
          <w:b/>
          <w:bCs/>
        </w:rPr>
        <w:t>5</w:t>
      </w:r>
      <w:r w:rsidRPr="00D6605E">
        <w:rPr>
          <w:b/>
          <w:bCs/>
        </w:rPr>
        <w:t xml:space="preserve"> Liquidity </w:t>
      </w:r>
      <w:bookmarkEnd w:id="21"/>
      <w:bookmarkEnd w:id="22"/>
      <w:r w:rsidRPr="00D6605E">
        <w:rPr>
          <w:b/>
          <w:bCs/>
        </w:rPr>
        <w:t>Analysis</w:t>
      </w:r>
    </w:p>
    <w:p w14:paraId="7931A338" w14:textId="007EC574" w:rsidR="00066A96" w:rsidRPr="00D6605E" w:rsidRDefault="00066A96" w:rsidP="00066A96">
      <w:pPr>
        <w:rPr>
          <w:rFonts w:cs="Arial"/>
          <w:i/>
          <w:iCs/>
        </w:rPr>
      </w:pPr>
      <w:r>
        <w:rPr>
          <w:rFonts w:cs="Arial"/>
          <w:i/>
          <w:iCs/>
        </w:rPr>
        <w:t>1</w:t>
      </w:r>
      <w:r w:rsidRPr="00D6605E">
        <w:rPr>
          <w:rFonts w:cs="Arial"/>
          <w:i/>
          <w:iCs/>
        </w:rPr>
        <w:t>. Quick Ratio</w:t>
      </w:r>
    </w:p>
    <w:p w14:paraId="004F8153" w14:textId="0AA75DA8" w:rsidR="00066A96" w:rsidRPr="00D6605E" w:rsidRDefault="00066A96" w:rsidP="00066A96">
      <w:bookmarkStart w:id="25" w:name="_Hlk118526563"/>
      <w:r w:rsidRPr="00066A96">
        <w:t xml:space="preserve">The quick ratio is a variation </w:t>
      </w:r>
      <w:r w:rsidR="005571E6">
        <w:t>of</w:t>
      </w:r>
      <w:r w:rsidRPr="00066A96">
        <w:t xml:space="preserve"> the current ratio that measures a company's ability to meet its short-term commitments from its readily available cash and short-term investments (Berk &amp; Demarzo, 2020).</w:t>
      </w:r>
    </w:p>
    <w:tbl>
      <w:tblPr>
        <w:tblStyle w:val="TableGrid"/>
        <w:tblW w:w="0" w:type="auto"/>
        <w:tblLook w:val="04A0" w:firstRow="1" w:lastRow="0" w:firstColumn="1" w:lastColumn="0" w:noHBand="0" w:noVBand="1"/>
      </w:tblPr>
      <w:tblGrid>
        <w:gridCol w:w="4037"/>
        <w:gridCol w:w="2528"/>
        <w:gridCol w:w="2780"/>
      </w:tblGrid>
      <w:tr w:rsidR="00066A96" w:rsidRPr="00D6605E" w14:paraId="349B2BFC" w14:textId="77777777" w:rsidTr="00687E84">
        <w:trPr>
          <w:trHeight w:val="832"/>
        </w:trPr>
        <w:tc>
          <w:tcPr>
            <w:tcW w:w="4037" w:type="dxa"/>
            <w:shd w:val="clear" w:color="auto" w:fill="D9E2F3" w:themeFill="accent1" w:themeFillTint="33"/>
          </w:tcPr>
          <w:p w14:paraId="052108E0" w14:textId="77777777" w:rsidR="00066A96" w:rsidRPr="00D6605E" w:rsidRDefault="00066A96" w:rsidP="00687E84">
            <w:pPr>
              <w:jc w:val="center"/>
            </w:pPr>
            <w:bookmarkStart w:id="26" w:name="_Hlk107576872"/>
            <w:bookmarkEnd w:id="25"/>
            <w:r w:rsidRPr="00D6605E">
              <w:t>Formula</w:t>
            </w:r>
          </w:p>
        </w:tc>
        <w:tc>
          <w:tcPr>
            <w:tcW w:w="2528" w:type="dxa"/>
            <w:shd w:val="clear" w:color="auto" w:fill="D9E2F3" w:themeFill="accent1" w:themeFillTint="33"/>
          </w:tcPr>
          <w:p w14:paraId="5F5E23EF" w14:textId="7DBE8335" w:rsidR="00066A96" w:rsidRPr="00D6605E" w:rsidRDefault="00066A96" w:rsidP="00687E84">
            <w:pPr>
              <w:jc w:val="center"/>
            </w:pPr>
            <w:r w:rsidRPr="00D6605E">
              <w:t>[202</w:t>
            </w:r>
            <w:r>
              <w:t>1</w:t>
            </w:r>
            <w:r w:rsidRPr="00D6605E">
              <w:t>Y]</w:t>
            </w:r>
          </w:p>
          <w:p w14:paraId="399576A1" w14:textId="77777777" w:rsidR="00066A96" w:rsidRPr="00D6605E" w:rsidRDefault="00066A96" w:rsidP="00687E84">
            <w:pPr>
              <w:jc w:val="center"/>
            </w:pPr>
            <w:r w:rsidRPr="00D6605E">
              <w:t>($</w:t>
            </w:r>
            <w:r w:rsidRPr="00D6605E">
              <w:rPr>
                <w:rFonts w:cs="Arial"/>
              </w:rPr>
              <w:t>m)</w:t>
            </w:r>
          </w:p>
        </w:tc>
        <w:tc>
          <w:tcPr>
            <w:tcW w:w="2780" w:type="dxa"/>
            <w:shd w:val="clear" w:color="auto" w:fill="D9E2F3" w:themeFill="accent1" w:themeFillTint="33"/>
          </w:tcPr>
          <w:p w14:paraId="35F4DA47" w14:textId="78531277" w:rsidR="00066A96" w:rsidRPr="00D6605E" w:rsidRDefault="00066A96" w:rsidP="00687E84">
            <w:pPr>
              <w:jc w:val="center"/>
            </w:pPr>
            <w:r w:rsidRPr="00D6605E">
              <w:t>[202</w:t>
            </w:r>
            <w:r>
              <w:t>0</w:t>
            </w:r>
            <w:r w:rsidRPr="00D6605E">
              <w:t>Y]</w:t>
            </w:r>
          </w:p>
          <w:p w14:paraId="0D669CD4" w14:textId="77777777" w:rsidR="00066A96" w:rsidRPr="00D6605E" w:rsidRDefault="00066A96" w:rsidP="00687E84">
            <w:pPr>
              <w:jc w:val="center"/>
            </w:pPr>
            <w:r w:rsidRPr="00D6605E">
              <w:t>($m)</w:t>
            </w:r>
          </w:p>
        </w:tc>
      </w:tr>
      <w:tr w:rsidR="00066A96" w:rsidRPr="00D6605E" w14:paraId="343FEC77" w14:textId="77777777" w:rsidTr="00687E84">
        <w:trPr>
          <w:trHeight w:val="832"/>
        </w:trPr>
        <w:tc>
          <w:tcPr>
            <w:tcW w:w="4037" w:type="dxa"/>
            <w:shd w:val="clear" w:color="auto" w:fill="FFFFFF" w:themeFill="background1"/>
          </w:tcPr>
          <w:p w14:paraId="3FF33A83" w14:textId="08FB01BC" w:rsidR="00066A96" w:rsidRPr="00D6605E" w:rsidRDefault="00D364A4" w:rsidP="00066A96">
            <m:oMathPara>
              <m:oMath>
                <m:f>
                  <m:fPr>
                    <m:ctrlPr>
                      <w:rPr>
                        <w:rFonts w:ascii="Cambria Math" w:hAnsi="Cambria Math"/>
                      </w:rPr>
                    </m:ctrlPr>
                  </m:fPr>
                  <m:num>
                    <m:r>
                      <m:rPr>
                        <m:nor/>
                      </m:rPr>
                      <w:rPr>
                        <w:rFonts w:ascii="Cambria Math"/>
                      </w:rPr>
                      <m:t>[</m:t>
                    </m:r>
                    <m:r>
                      <m:rPr>
                        <m:nor/>
                      </m:rPr>
                      <m:t>Current Assets-Inventories</m:t>
                    </m:r>
                    <m:r>
                      <m:rPr>
                        <m:nor/>
                      </m:rPr>
                      <w:rPr>
                        <w:rFonts w:ascii="Cambria Math"/>
                      </w:rPr>
                      <m:t>]</m:t>
                    </m:r>
                  </m:num>
                  <m:den>
                    <m:r>
                      <m:rPr>
                        <m:nor/>
                      </m:rPr>
                      <w:rPr>
                        <w:rFonts w:ascii="Cambria Math"/>
                      </w:rPr>
                      <m:t>[</m:t>
                    </m:r>
                    <m:r>
                      <m:rPr>
                        <m:nor/>
                      </m:rPr>
                      <m:t>Current Liabilities</m:t>
                    </m:r>
                    <m:r>
                      <m:rPr>
                        <m:nor/>
                      </m:rPr>
                      <w:rPr>
                        <w:rFonts w:ascii="Cambria Math"/>
                      </w:rPr>
                      <m:t>]</m:t>
                    </m:r>
                  </m:den>
                </m:f>
              </m:oMath>
            </m:oMathPara>
          </w:p>
        </w:tc>
        <w:tc>
          <w:tcPr>
            <w:tcW w:w="2528" w:type="dxa"/>
          </w:tcPr>
          <w:p w14:paraId="711896DE" w14:textId="7E11B494" w:rsidR="00066A96" w:rsidRPr="00D6605E" w:rsidRDefault="00066A96" w:rsidP="00066A96">
            <w:pPr>
              <w:rPr>
                <w:rFonts w:cs="Arial"/>
              </w:rPr>
            </w:pPr>
            <w:r w:rsidRPr="00D6605E">
              <w:t>{(3626-0)÷ 6407}</w:t>
            </w:r>
          </w:p>
        </w:tc>
        <w:tc>
          <w:tcPr>
            <w:tcW w:w="2780" w:type="dxa"/>
          </w:tcPr>
          <w:p w14:paraId="5760B656" w14:textId="36A39F51" w:rsidR="00066A96" w:rsidRPr="00D6605E" w:rsidRDefault="00066A96" w:rsidP="00066A96">
            <w:r>
              <w:t>{(2825-0)</w:t>
            </w:r>
            <w:r>
              <w:rPr>
                <w:rFonts w:cs="Arial"/>
              </w:rPr>
              <w:t>÷</w:t>
            </w:r>
            <w:r>
              <w:t>5752}</w:t>
            </w:r>
          </w:p>
        </w:tc>
      </w:tr>
      <w:tr w:rsidR="00066A96" w:rsidRPr="00D6605E" w14:paraId="607ECB73" w14:textId="77777777" w:rsidTr="00687E84">
        <w:trPr>
          <w:trHeight w:val="410"/>
        </w:trPr>
        <w:tc>
          <w:tcPr>
            <w:tcW w:w="4037" w:type="dxa"/>
            <w:shd w:val="clear" w:color="auto" w:fill="FFFFFF" w:themeFill="background1"/>
          </w:tcPr>
          <w:p w14:paraId="135F684D" w14:textId="77777777" w:rsidR="00066A96" w:rsidRPr="00D6605E" w:rsidRDefault="00066A96" w:rsidP="00066A96">
            <w:pPr>
              <w:jc w:val="center"/>
              <w:rPr>
                <w:b/>
                <w:bCs/>
              </w:rPr>
            </w:pPr>
            <w:r w:rsidRPr="00D6605E">
              <w:rPr>
                <w:b/>
                <w:bCs/>
              </w:rPr>
              <w:t>Ratio</w:t>
            </w:r>
          </w:p>
        </w:tc>
        <w:tc>
          <w:tcPr>
            <w:tcW w:w="2528" w:type="dxa"/>
          </w:tcPr>
          <w:p w14:paraId="4E3107FF" w14:textId="07DC5B27" w:rsidR="00066A96" w:rsidRPr="00D6605E" w:rsidRDefault="00066A96" w:rsidP="00066A96">
            <w:pPr>
              <w:jc w:val="center"/>
              <w:rPr>
                <w:b/>
                <w:bCs/>
              </w:rPr>
            </w:pPr>
            <w:r w:rsidRPr="00D6605E">
              <w:rPr>
                <w:b/>
                <w:bCs/>
              </w:rPr>
              <w:t>0.57</w:t>
            </w:r>
          </w:p>
        </w:tc>
        <w:tc>
          <w:tcPr>
            <w:tcW w:w="2780" w:type="dxa"/>
          </w:tcPr>
          <w:p w14:paraId="4A0C9A0D" w14:textId="7DA1F637" w:rsidR="00066A96" w:rsidRPr="00D6605E" w:rsidRDefault="00066A96" w:rsidP="00066A96">
            <w:pPr>
              <w:jc w:val="center"/>
              <w:rPr>
                <w:b/>
                <w:bCs/>
              </w:rPr>
            </w:pPr>
            <w:r>
              <w:rPr>
                <w:b/>
                <w:bCs/>
              </w:rPr>
              <w:t>0.49</w:t>
            </w:r>
          </w:p>
        </w:tc>
      </w:tr>
    </w:tbl>
    <w:bookmarkEnd w:id="26"/>
    <w:p w14:paraId="7B4FD5BD" w14:textId="2B8320E0" w:rsidR="00066A96" w:rsidRPr="00D6605E" w:rsidRDefault="00066A96" w:rsidP="00066A96">
      <w:pPr>
        <w:jc w:val="center"/>
        <w:rPr>
          <w:rFonts w:cs="Arial"/>
        </w:rPr>
      </w:pPr>
      <w:r w:rsidRPr="00D6605E">
        <w:rPr>
          <w:rFonts w:cs="Arial"/>
        </w:rPr>
        <w:t xml:space="preserve">Figure </w:t>
      </w:r>
      <w:r w:rsidR="005571E6">
        <w:rPr>
          <w:rFonts w:cs="Arial"/>
        </w:rPr>
        <w:t>14</w:t>
      </w:r>
      <w:r w:rsidRPr="00D6605E">
        <w:rPr>
          <w:rFonts w:cs="Arial"/>
        </w:rPr>
        <w:t>: Quick Ratio (Source: Author)</w:t>
      </w:r>
    </w:p>
    <w:p w14:paraId="22E96B7A" w14:textId="02B6A559" w:rsidR="00066A96" w:rsidRPr="00D6605E" w:rsidRDefault="00066A96" w:rsidP="00D6605E">
      <w:r w:rsidRPr="00066A96">
        <w:t>Inventory is unnecessary for Marriot International. In 2020, the quick ratio is 0.49, and in 2021, it rises to 0.57, showing a little increase in liquidity.</w:t>
      </w:r>
    </w:p>
    <w:p w14:paraId="52EFB9B0" w14:textId="59269010" w:rsidR="00D6605E" w:rsidRPr="00D6605E" w:rsidRDefault="00066A96" w:rsidP="00D6605E">
      <w:pPr>
        <w:rPr>
          <w:rFonts w:cs="Arial"/>
          <w:bCs/>
          <w:i/>
          <w:iCs/>
        </w:rPr>
      </w:pPr>
      <w:r>
        <w:rPr>
          <w:rFonts w:cs="Arial"/>
          <w:bCs/>
          <w:i/>
          <w:iCs/>
        </w:rPr>
        <w:t>2</w:t>
      </w:r>
      <w:r w:rsidR="00D6605E" w:rsidRPr="00D6605E">
        <w:rPr>
          <w:rFonts w:cs="Arial"/>
          <w:bCs/>
          <w:i/>
          <w:iCs/>
        </w:rPr>
        <w:t>. Current Ratio</w:t>
      </w:r>
    </w:p>
    <w:p w14:paraId="51B3796A" w14:textId="7F1B304E" w:rsidR="00D6605E" w:rsidRDefault="00066A96" w:rsidP="00D6605E">
      <w:r w:rsidRPr="00066A96">
        <w:t>The current ratio is a measure of a company's liquidity that indicates whether or not it has enough short-term assets to cover its short-term debts, especially those having maturities within the next 12 months (Brigham &amp; Ehrhardt, 2020).</w:t>
      </w:r>
    </w:p>
    <w:p w14:paraId="51192D6D" w14:textId="4DF089A3" w:rsidR="005571E6" w:rsidRDefault="005571E6" w:rsidP="00D6605E"/>
    <w:p w14:paraId="1FDD004B" w14:textId="77777777" w:rsidR="005571E6" w:rsidRPr="00D6605E" w:rsidRDefault="005571E6" w:rsidP="00D6605E"/>
    <w:tbl>
      <w:tblPr>
        <w:tblStyle w:val="TableGrid"/>
        <w:tblW w:w="9355" w:type="dxa"/>
        <w:tblLook w:val="04A0" w:firstRow="1" w:lastRow="0" w:firstColumn="1" w:lastColumn="0" w:noHBand="0" w:noVBand="1"/>
      </w:tblPr>
      <w:tblGrid>
        <w:gridCol w:w="4045"/>
        <w:gridCol w:w="2520"/>
        <w:gridCol w:w="2790"/>
      </w:tblGrid>
      <w:tr w:rsidR="00D6605E" w:rsidRPr="00D6605E" w14:paraId="5A8C6FD0" w14:textId="77777777" w:rsidTr="00066A96">
        <w:tc>
          <w:tcPr>
            <w:tcW w:w="4045" w:type="dxa"/>
            <w:shd w:val="clear" w:color="auto" w:fill="D9E2F3" w:themeFill="accent1" w:themeFillTint="33"/>
            <w:vAlign w:val="center"/>
          </w:tcPr>
          <w:p w14:paraId="6D45C799" w14:textId="77777777" w:rsidR="00D6605E" w:rsidRPr="00D6605E" w:rsidRDefault="00D6605E" w:rsidP="00D6605E">
            <w:pPr>
              <w:jc w:val="center"/>
            </w:pPr>
            <w:bookmarkStart w:id="27" w:name="_Hlk107576194"/>
            <w:r w:rsidRPr="00D6605E">
              <w:lastRenderedPageBreak/>
              <w:t>Formula</w:t>
            </w:r>
          </w:p>
        </w:tc>
        <w:tc>
          <w:tcPr>
            <w:tcW w:w="2520" w:type="dxa"/>
            <w:shd w:val="clear" w:color="auto" w:fill="D9E2F3" w:themeFill="accent1" w:themeFillTint="33"/>
            <w:vAlign w:val="center"/>
          </w:tcPr>
          <w:p w14:paraId="29072E99" w14:textId="01E1281F" w:rsidR="00D6605E" w:rsidRPr="00D6605E" w:rsidRDefault="00D6605E" w:rsidP="00D6605E">
            <w:pPr>
              <w:jc w:val="center"/>
            </w:pPr>
            <w:r w:rsidRPr="00D6605E">
              <w:t>[202</w:t>
            </w:r>
            <w:r w:rsidR="00066A96">
              <w:t>1</w:t>
            </w:r>
            <w:r w:rsidRPr="00D6605E">
              <w:t>Y]</w:t>
            </w:r>
          </w:p>
          <w:p w14:paraId="13935A5C" w14:textId="77777777" w:rsidR="00D6605E" w:rsidRPr="00D6605E" w:rsidRDefault="00D6605E" w:rsidP="00D6605E">
            <w:pPr>
              <w:jc w:val="center"/>
            </w:pPr>
            <w:r w:rsidRPr="00D6605E">
              <w:t>($</w:t>
            </w:r>
            <w:r w:rsidRPr="00D6605E">
              <w:rPr>
                <w:rFonts w:cs="Arial"/>
              </w:rPr>
              <w:t>m)</w:t>
            </w:r>
          </w:p>
        </w:tc>
        <w:tc>
          <w:tcPr>
            <w:tcW w:w="2790" w:type="dxa"/>
            <w:shd w:val="clear" w:color="auto" w:fill="D9E2F3" w:themeFill="accent1" w:themeFillTint="33"/>
            <w:vAlign w:val="center"/>
          </w:tcPr>
          <w:p w14:paraId="16FE266F" w14:textId="0DD6DB5C" w:rsidR="00D6605E" w:rsidRPr="00D6605E" w:rsidRDefault="00D6605E" w:rsidP="00D6605E">
            <w:pPr>
              <w:jc w:val="center"/>
            </w:pPr>
            <w:r w:rsidRPr="00D6605E">
              <w:t>[202</w:t>
            </w:r>
            <w:r w:rsidR="00066A96">
              <w:t>0</w:t>
            </w:r>
            <w:r w:rsidRPr="00D6605E">
              <w:t>Y]</w:t>
            </w:r>
          </w:p>
          <w:p w14:paraId="2F152DD7" w14:textId="77777777" w:rsidR="00D6605E" w:rsidRPr="00D6605E" w:rsidRDefault="00D6605E" w:rsidP="00D6605E">
            <w:pPr>
              <w:jc w:val="center"/>
            </w:pPr>
            <w:r w:rsidRPr="00D6605E">
              <w:t>($m)</w:t>
            </w:r>
          </w:p>
        </w:tc>
      </w:tr>
      <w:tr w:rsidR="00066A96" w:rsidRPr="00D6605E" w14:paraId="4215AB41" w14:textId="77777777" w:rsidTr="00066A96">
        <w:tc>
          <w:tcPr>
            <w:tcW w:w="4045" w:type="dxa"/>
            <w:shd w:val="clear" w:color="auto" w:fill="FFFFFF" w:themeFill="background1"/>
            <w:vAlign w:val="center"/>
          </w:tcPr>
          <w:p w14:paraId="58AA6F2E" w14:textId="366CD2AF" w:rsidR="00066A96" w:rsidRPr="00D6605E" w:rsidRDefault="00D364A4" w:rsidP="00066A96">
            <w:pPr>
              <w:jc w:val="center"/>
            </w:pPr>
            <m:oMathPara>
              <m:oMath>
                <m:f>
                  <m:fPr>
                    <m:ctrlPr>
                      <w:rPr>
                        <w:rFonts w:ascii="Cambria Math" w:hAnsi="Cambria Math"/>
                        <w:i/>
                      </w:rPr>
                    </m:ctrlPr>
                  </m:fPr>
                  <m:num>
                    <m:r>
                      <m:rPr>
                        <m:nor/>
                      </m:rPr>
                      <w:rPr>
                        <w:rFonts w:ascii="Cambria Math"/>
                      </w:rPr>
                      <m:t>[</m:t>
                    </m:r>
                    <m:r>
                      <m:rPr>
                        <m:nor/>
                      </m:rPr>
                      <m:t>Current Assets</m:t>
                    </m:r>
                    <m:r>
                      <m:rPr>
                        <m:nor/>
                      </m:rPr>
                      <w:rPr>
                        <w:rFonts w:ascii="Cambria Math"/>
                      </w:rPr>
                      <m:t>]</m:t>
                    </m:r>
                  </m:num>
                  <m:den>
                    <m:r>
                      <m:rPr>
                        <m:nor/>
                      </m:rPr>
                      <w:rPr>
                        <w:rFonts w:ascii="Cambria Math"/>
                      </w:rPr>
                      <m:t>[</m:t>
                    </m:r>
                    <m:r>
                      <m:rPr>
                        <m:nor/>
                      </m:rPr>
                      <m:t>Current Liabilities</m:t>
                    </m:r>
                    <m:r>
                      <m:rPr>
                        <m:nor/>
                      </m:rPr>
                      <w:rPr>
                        <w:rFonts w:ascii="Cambria Math"/>
                      </w:rPr>
                      <m:t>]</m:t>
                    </m:r>
                  </m:den>
                </m:f>
              </m:oMath>
            </m:oMathPara>
          </w:p>
        </w:tc>
        <w:tc>
          <w:tcPr>
            <w:tcW w:w="2520" w:type="dxa"/>
          </w:tcPr>
          <w:p w14:paraId="1D7811C7" w14:textId="47550980" w:rsidR="00066A96" w:rsidRPr="00D6605E" w:rsidRDefault="00066A96" w:rsidP="00066A96">
            <w:r w:rsidRPr="00D6605E">
              <w:t>[3626÷6407]</w:t>
            </w:r>
          </w:p>
        </w:tc>
        <w:tc>
          <w:tcPr>
            <w:tcW w:w="2790" w:type="dxa"/>
          </w:tcPr>
          <w:p w14:paraId="224EBF82" w14:textId="5144F4B2" w:rsidR="00066A96" w:rsidRPr="00D6605E" w:rsidRDefault="00066A96" w:rsidP="00066A96">
            <w:r>
              <w:t>[2825</w:t>
            </w:r>
            <w:r>
              <w:rPr>
                <w:rFonts w:cs="Arial"/>
              </w:rPr>
              <w:t>÷5752]</w:t>
            </w:r>
          </w:p>
        </w:tc>
      </w:tr>
      <w:tr w:rsidR="00066A96" w:rsidRPr="00D6605E" w14:paraId="064E8F7B" w14:textId="77777777" w:rsidTr="00066A96">
        <w:tc>
          <w:tcPr>
            <w:tcW w:w="4045" w:type="dxa"/>
            <w:shd w:val="clear" w:color="auto" w:fill="FFFFFF" w:themeFill="background1"/>
          </w:tcPr>
          <w:p w14:paraId="5457ABF6" w14:textId="77777777" w:rsidR="00066A96" w:rsidRPr="00D6605E" w:rsidRDefault="00066A96" w:rsidP="00066A96">
            <w:pPr>
              <w:jc w:val="center"/>
              <w:rPr>
                <w:b/>
                <w:bCs/>
              </w:rPr>
            </w:pPr>
            <w:r w:rsidRPr="00D6605E">
              <w:rPr>
                <w:b/>
                <w:bCs/>
              </w:rPr>
              <w:t>Ratio</w:t>
            </w:r>
          </w:p>
        </w:tc>
        <w:tc>
          <w:tcPr>
            <w:tcW w:w="2520" w:type="dxa"/>
          </w:tcPr>
          <w:p w14:paraId="426CE3EB" w14:textId="368C9D55" w:rsidR="00066A96" w:rsidRPr="00D6605E" w:rsidRDefault="00066A96" w:rsidP="00066A96">
            <w:pPr>
              <w:jc w:val="center"/>
              <w:rPr>
                <w:b/>
                <w:bCs/>
              </w:rPr>
            </w:pPr>
            <w:r w:rsidRPr="00D6605E">
              <w:rPr>
                <w:b/>
                <w:bCs/>
              </w:rPr>
              <w:t>0.57</w:t>
            </w:r>
          </w:p>
        </w:tc>
        <w:tc>
          <w:tcPr>
            <w:tcW w:w="2790" w:type="dxa"/>
          </w:tcPr>
          <w:p w14:paraId="66708942" w14:textId="1B2E56F3" w:rsidR="00066A96" w:rsidRPr="00D6605E" w:rsidRDefault="00066A96" w:rsidP="00066A96">
            <w:pPr>
              <w:jc w:val="center"/>
              <w:rPr>
                <w:b/>
                <w:bCs/>
              </w:rPr>
            </w:pPr>
            <w:r>
              <w:rPr>
                <w:b/>
                <w:bCs/>
              </w:rPr>
              <w:t>0.49</w:t>
            </w:r>
          </w:p>
        </w:tc>
      </w:tr>
    </w:tbl>
    <w:bookmarkEnd w:id="27"/>
    <w:p w14:paraId="0EE327BF" w14:textId="4C9383E5" w:rsidR="00D6605E" w:rsidRPr="00D6605E" w:rsidRDefault="00D6605E" w:rsidP="00D6605E">
      <w:pPr>
        <w:jc w:val="center"/>
        <w:rPr>
          <w:rFonts w:cs="Arial"/>
        </w:rPr>
      </w:pPr>
      <w:r w:rsidRPr="00D6605E">
        <w:rPr>
          <w:rFonts w:cs="Arial"/>
        </w:rPr>
        <w:t xml:space="preserve">Figure </w:t>
      </w:r>
      <w:r w:rsidR="005571E6">
        <w:rPr>
          <w:rFonts w:cs="Arial"/>
        </w:rPr>
        <w:t>15</w:t>
      </w:r>
      <w:r w:rsidRPr="00D6605E">
        <w:rPr>
          <w:rFonts w:cs="Arial"/>
        </w:rPr>
        <w:t>: Current Ratio (Source: Author)</w:t>
      </w:r>
    </w:p>
    <w:p w14:paraId="7118A774" w14:textId="271EF324" w:rsidR="00066A96" w:rsidRPr="00D6605E" w:rsidRDefault="00C717BE" w:rsidP="00D6605E">
      <w:r w:rsidRPr="00C717BE">
        <w:t xml:space="preserve">Figure </w:t>
      </w:r>
      <w:r w:rsidR="005571E6">
        <w:t>15</w:t>
      </w:r>
      <w:r w:rsidRPr="00C717BE">
        <w:t xml:space="preserve"> shows that Marriott International's liquidity has increased, allowing it to meet its financial commitments. In 2020, the current ratio is 0.49, and in 2021, it rises to 0.57, showing a minor increase in liquidity.</w:t>
      </w:r>
    </w:p>
    <w:p w14:paraId="31C37E86" w14:textId="77777777" w:rsidR="00D6605E" w:rsidRPr="00D6605E" w:rsidRDefault="00D6605E" w:rsidP="00AE5D64">
      <w:pPr>
        <w:pStyle w:val="Heading1"/>
        <w:rPr>
          <w:rFonts w:cs="Arial"/>
        </w:rPr>
      </w:pPr>
      <w:bookmarkStart w:id="28" w:name="_Toc94728147"/>
      <w:bookmarkStart w:id="29" w:name="_Toc104625880"/>
      <w:bookmarkStart w:id="30" w:name="_Toc118535072"/>
      <w:bookmarkStart w:id="31" w:name="_Toc118541789"/>
      <w:r w:rsidRPr="00D6605E">
        <w:t>3.0 Financial Analysis Trend</w:t>
      </w:r>
      <w:bookmarkEnd w:id="28"/>
      <w:bookmarkEnd w:id="29"/>
      <w:bookmarkEnd w:id="30"/>
      <w:bookmarkEnd w:id="31"/>
    </w:p>
    <w:p w14:paraId="14E7613D" w14:textId="224BEEBA" w:rsidR="005571E6" w:rsidRDefault="005571E6" w:rsidP="00D6605E">
      <w:pPr>
        <w:rPr>
          <w:rFonts w:cs="Arial"/>
        </w:rPr>
      </w:pPr>
      <w:bookmarkStart w:id="32" w:name="_Toc94728148"/>
      <w:bookmarkStart w:id="33" w:name="_Toc104625881"/>
      <w:r w:rsidRPr="005571E6">
        <w:rPr>
          <w:rFonts w:cs="Arial"/>
        </w:rPr>
        <w:t>Efficiency, profitability, liquidity, and gearing are all factors that were taken into account in the previous horizontal ratio analysis, and the resulting trend is shown here.</w:t>
      </w:r>
    </w:p>
    <w:p w14:paraId="041F35FE" w14:textId="0C86ABC1" w:rsidR="00D8119F" w:rsidRPr="00D6605E" w:rsidRDefault="00D8119F" w:rsidP="00D8119F">
      <w:pPr>
        <w:rPr>
          <w:b/>
          <w:bCs/>
        </w:rPr>
      </w:pPr>
      <w:r w:rsidRPr="00D6605E">
        <w:rPr>
          <w:b/>
          <w:bCs/>
        </w:rPr>
        <w:t>3.</w:t>
      </w:r>
      <w:r>
        <w:rPr>
          <w:b/>
          <w:bCs/>
        </w:rPr>
        <w:t>1</w:t>
      </w:r>
      <w:r w:rsidRPr="00D6605E">
        <w:rPr>
          <w:b/>
          <w:bCs/>
        </w:rPr>
        <w:t xml:space="preserve"> Solvency Analysis</w:t>
      </w:r>
    </w:p>
    <w:tbl>
      <w:tblPr>
        <w:tblStyle w:val="TableGrid"/>
        <w:tblW w:w="10309" w:type="dxa"/>
        <w:tblInd w:w="-272" w:type="dxa"/>
        <w:tblCellMar>
          <w:left w:w="58" w:type="dxa"/>
          <w:right w:w="58" w:type="dxa"/>
        </w:tblCellMar>
        <w:tblLook w:val="04A0" w:firstRow="1" w:lastRow="0" w:firstColumn="1" w:lastColumn="0" w:noHBand="0" w:noVBand="1"/>
      </w:tblPr>
      <w:tblGrid>
        <w:gridCol w:w="2157"/>
        <w:gridCol w:w="4230"/>
        <w:gridCol w:w="1350"/>
        <w:gridCol w:w="1231"/>
        <w:gridCol w:w="1341"/>
      </w:tblGrid>
      <w:tr w:rsidR="00D8119F" w:rsidRPr="00D6605E" w14:paraId="564815C4" w14:textId="77777777" w:rsidTr="00687E84">
        <w:trPr>
          <w:trHeight w:val="437"/>
        </w:trPr>
        <w:tc>
          <w:tcPr>
            <w:tcW w:w="10309" w:type="dxa"/>
            <w:gridSpan w:val="5"/>
            <w:shd w:val="clear" w:color="auto" w:fill="D9E2F3" w:themeFill="accent1" w:themeFillTint="33"/>
            <w:vAlign w:val="center"/>
          </w:tcPr>
          <w:p w14:paraId="3C66FEC1" w14:textId="77777777" w:rsidR="00D8119F" w:rsidRPr="00D6605E" w:rsidRDefault="00D8119F" w:rsidP="00687E84">
            <w:pPr>
              <w:jc w:val="center"/>
              <w:rPr>
                <w:b/>
                <w:bCs/>
              </w:rPr>
            </w:pPr>
            <w:r w:rsidRPr="00D6605E">
              <w:rPr>
                <w:b/>
                <w:bCs/>
              </w:rPr>
              <w:t>Solvency Analysis</w:t>
            </w:r>
          </w:p>
        </w:tc>
      </w:tr>
      <w:tr w:rsidR="00D8119F" w:rsidRPr="00D6605E" w14:paraId="43F4C74F" w14:textId="77777777" w:rsidTr="00687E84">
        <w:trPr>
          <w:trHeight w:val="877"/>
        </w:trPr>
        <w:tc>
          <w:tcPr>
            <w:tcW w:w="2157" w:type="dxa"/>
            <w:shd w:val="clear" w:color="auto" w:fill="FFFFFF" w:themeFill="background1"/>
          </w:tcPr>
          <w:p w14:paraId="2677F05F" w14:textId="77777777" w:rsidR="00D8119F" w:rsidRPr="00D6605E" w:rsidRDefault="00D8119F" w:rsidP="00687E84">
            <w:pPr>
              <w:jc w:val="left"/>
              <w:rPr>
                <w:b/>
                <w:bCs/>
              </w:rPr>
            </w:pPr>
          </w:p>
        </w:tc>
        <w:tc>
          <w:tcPr>
            <w:tcW w:w="4230" w:type="dxa"/>
          </w:tcPr>
          <w:p w14:paraId="624D4321" w14:textId="77777777" w:rsidR="00D8119F" w:rsidRPr="00D6605E" w:rsidRDefault="00D8119F" w:rsidP="00687E84">
            <w:pPr>
              <w:jc w:val="center"/>
              <w:rPr>
                <w:rFonts w:eastAsia="Calibri" w:cs="Times New Roman"/>
              </w:rPr>
            </w:pPr>
          </w:p>
        </w:tc>
        <w:tc>
          <w:tcPr>
            <w:tcW w:w="1350" w:type="dxa"/>
          </w:tcPr>
          <w:p w14:paraId="491521EE" w14:textId="77777777" w:rsidR="00D8119F" w:rsidRPr="00D6605E" w:rsidRDefault="00D8119F" w:rsidP="00687E84">
            <w:pPr>
              <w:jc w:val="center"/>
            </w:pPr>
            <w:r w:rsidRPr="00D6605E">
              <w:t>202</w:t>
            </w:r>
            <w:r>
              <w:t>1</w:t>
            </w:r>
          </w:p>
        </w:tc>
        <w:tc>
          <w:tcPr>
            <w:tcW w:w="1231" w:type="dxa"/>
          </w:tcPr>
          <w:p w14:paraId="4AC3723D" w14:textId="77777777" w:rsidR="00D8119F" w:rsidRPr="00D6605E" w:rsidRDefault="00D8119F" w:rsidP="00687E84">
            <w:pPr>
              <w:jc w:val="center"/>
            </w:pPr>
            <w:r w:rsidRPr="00D6605E">
              <w:t>202</w:t>
            </w:r>
            <w:r>
              <w:t>0</w:t>
            </w:r>
          </w:p>
        </w:tc>
        <w:tc>
          <w:tcPr>
            <w:tcW w:w="1341" w:type="dxa"/>
          </w:tcPr>
          <w:p w14:paraId="470272A4" w14:textId="77777777" w:rsidR="00D8119F" w:rsidRPr="00D6605E" w:rsidRDefault="00D8119F" w:rsidP="00687E84">
            <w:pPr>
              <w:jc w:val="center"/>
            </w:pPr>
            <w:r w:rsidRPr="00D6605E">
              <w:t>Change</w:t>
            </w:r>
          </w:p>
        </w:tc>
      </w:tr>
      <w:tr w:rsidR="00D8119F" w:rsidRPr="00D6605E" w14:paraId="0DECA07D" w14:textId="77777777" w:rsidTr="00687E84">
        <w:trPr>
          <w:trHeight w:val="877"/>
        </w:trPr>
        <w:tc>
          <w:tcPr>
            <w:tcW w:w="2157" w:type="dxa"/>
            <w:shd w:val="clear" w:color="auto" w:fill="FFFFFF" w:themeFill="background1"/>
          </w:tcPr>
          <w:p w14:paraId="208EF15A" w14:textId="77777777" w:rsidR="00D8119F" w:rsidRPr="00D6605E" w:rsidRDefault="00D8119F" w:rsidP="00687E84">
            <w:pPr>
              <w:jc w:val="left"/>
              <w:rPr>
                <w:b/>
                <w:bCs/>
              </w:rPr>
            </w:pPr>
            <w:r w:rsidRPr="00D6605E">
              <w:rPr>
                <w:b/>
                <w:bCs/>
              </w:rPr>
              <w:t>Interest Coverage Ratio</w:t>
            </w:r>
          </w:p>
        </w:tc>
        <w:tc>
          <w:tcPr>
            <w:tcW w:w="4230" w:type="dxa"/>
          </w:tcPr>
          <w:p w14:paraId="26CDC065" w14:textId="77777777" w:rsidR="00D8119F" w:rsidRPr="00D6605E" w:rsidRDefault="00D364A4" w:rsidP="00687E84">
            <w:pPr>
              <w:jc w:val="center"/>
            </w:pPr>
            <m:oMathPara>
              <m:oMath>
                <m:f>
                  <m:fPr>
                    <m:ctrlPr>
                      <w:rPr>
                        <w:rFonts w:ascii="Cambria Math" w:hAnsi="Cambria Math"/>
                        <w:i/>
                      </w:rPr>
                    </m:ctrlPr>
                  </m:fPr>
                  <m:num>
                    <m:r>
                      <m:rPr>
                        <m:nor/>
                      </m:rPr>
                      <w:rPr>
                        <w:rFonts w:ascii="Cambria Math"/>
                      </w:rPr>
                      <m:t>(</m:t>
                    </m:r>
                    <m:r>
                      <m:rPr>
                        <m:nor/>
                      </m:rPr>
                      <m:t>Profit Before Interest</m:t>
                    </m:r>
                    <m:r>
                      <m:rPr>
                        <m:nor/>
                      </m:rPr>
                      <w:rPr>
                        <w:rFonts w:ascii="Cambria Math"/>
                      </w:rPr>
                      <m:t>)</m:t>
                    </m:r>
                  </m:num>
                  <m:den>
                    <m:r>
                      <m:rPr>
                        <m:nor/>
                      </m:rPr>
                      <w:rPr>
                        <w:rFonts w:ascii="Cambria Math"/>
                      </w:rPr>
                      <m:t>(</m:t>
                    </m:r>
                    <m:r>
                      <m:rPr>
                        <m:nor/>
                      </m:rPr>
                      <m:t>Interest Expense</m:t>
                    </m:r>
                    <m:r>
                      <m:rPr>
                        <m:nor/>
                      </m:rPr>
                      <w:rPr>
                        <w:rFonts w:ascii="Cambria Math"/>
                      </w:rPr>
                      <m:t>)</m:t>
                    </m:r>
                  </m:den>
                </m:f>
              </m:oMath>
            </m:oMathPara>
          </w:p>
        </w:tc>
        <w:tc>
          <w:tcPr>
            <w:tcW w:w="1350" w:type="dxa"/>
          </w:tcPr>
          <w:p w14:paraId="3E5AAD18" w14:textId="77777777" w:rsidR="00D8119F" w:rsidRPr="00D6605E" w:rsidRDefault="00D8119F" w:rsidP="00687E84">
            <w:pPr>
              <w:jc w:val="center"/>
            </w:pPr>
            <w:r w:rsidRPr="00D6605E">
              <w:t>4.52</w:t>
            </w:r>
          </w:p>
        </w:tc>
        <w:tc>
          <w:tcPr>
            <w:tcW w:w="1231" w:type="dxa"/>
          </w:tcPr>
          <w:p w14:paraId="37AF59B8" w14:textId="77777777" w:rsidR="00D8119F" w:rsidRPr="00D6605E" w:rsidRDefault="00D8119F" w:rsidP="00687E84">
            <w:pPr>
              <w:jc w:val="center"/>
            </w:pPr>
            <w:r>
              <w:t>-0.47</w:t>
            </w:r>
          </w:p>
        </w:tc>
        <w:tc>
          <w:tcPr>
            <w:tcW w:w="1341" w:type="dxa"/>
          </w:tcPr>
          <w:p w14:paraId="5D11C62D" w14:textId="77777777" w:rsidR="00D8119F" w:rsidRPr="00D6605E" w:rsidRDefault="00D8119F" w:rsidP="00687E84">
            <w:pPr>
              <w:jc w:val="center"/>
            </w:pPr>
            <w:r w:rsidRPr="00D6605E">
              <w:t>4.99</w:t>
            </w:r>
          </w:p>
        </w:tc>
      </w:tr>
      <w:tr w:rsidR="00D8119F" w:rsidRPr="00D6605E" w14:paraId="6D569925" w14:textId="77777777" w:rsidTr="00687E84">
        <w:trPr>
          <w:trHeight w:val="777"/>
        </w:trPr>
        <w:tc>
          <w:tcPr>
            <w:tcW w:w="2157" w:type="dxa"/>
            <w:shd w:val="clear" w:color="auto" w:fill="FFFFFF" w:themeFill="background1"/>
          </w:tcPr>
          <w:p w14:paraId="49D5A3B7" w14:textId="77777777" w:rsidR="00D8119F" w:rsidRPr="00D6605E" w:rsidRDefault="00D8119F" w:rsidP="00687E84">
            <w:pPr>
              <w:jc w:val="left"/>
              <w:rPr>
                <w:b/>
                <w:bCs/>
              </w:rPr>
            </w:pPr>
            <w:r w:rsidRPr="00D6605E">
              <w:rPr>
                <w:b/>
                <w:bCs/>
              </w:rPr>
              <w:t>Debt To Equity Ratio</w:t>
            </w:r>
          </w:p>
        </w:tc>
        <w:tc>
          <w:tcPr>
            <w:tcW w:w="4230" w:type="dxa"/>
          </w:tcPr>
          <w:p w14:paraId="23F68830" w14:textId="77777777" w:rsidR="00D8119F" w:rsidRPr="00D6605E" w:rsidRDefault="00D364A4" w:rsidP="00687E84">
            <w:pPr>
              <w:jc w:val="center"/>
            </w:pPr>
            <m:oMathPara>
              <m:oMath>
                <m:f>
                  <m:fPr>
                    <m:ctrlPr>
                      <w:rPr>
                        <w:rFonts w:ascii="Cambria Math" w:hAnsi="Cambria Math"/>
                        <w:i/>
                      </w:rPr>
                    </m:ctrlPr>
                  </m:fPr>
                  <m:num>
                    <m:r>
                      <m:rPr>
                        <m:nor/>
                      </m:rPr>
                      <w:rPr>
                        <w:rFonts w:ascii="Cambria Math"/>
                      </w:rPr>
                      <m:t>(</m:t>
                    </m:r>
                    <m:r>
                      <m:rPr>
                        <m:nor/>
                      </m:rPr>
                      <m:t>Total Debt</m:t>
                    </m:r>
                    <m:r>
                      <m:rPr>
                        <m:nor/>
                      </m:rPr>
                      <w:rPr>
                        <w:rFonts w:ascii="Cambria Math"/>
                      </w:rPr>
                      <m:t>)</m:t>
                    </m:r>
                  </m:num>
                  <m:den>
                    <m:r>
                      <m:rPr>
                        <m:nor/>
                      </m:rPr>
                      <w:rPr>
                        <w:rFonts w:ascii="Cambria Math"/>
                      </w:rPr>
                      <m:t>[</m:t>
                    </m:r>
                    <m:r>
                      <m:rPr>
                        <m:nor/>
                      </m:rPr>
                      <m:t>Total Equity</m:t>
                    </m:r>
                    <m:r>
                      <m:rPr>
                        <m:nor/>
                      </m:rPr>
                      <w:rPr>
                        <w:rFonts w:ascii="Cambria Math"/>
                      </w:rPr>
                      <m:t>]</m:t>
                    </m:r>
                  </m:den>
                </m:f>
              </m:oMath>
            </m:oMathPara>
          </w:p>
        </w:tc>
        <w:tc>
          <w:tcPr>
            <w:tcW w:w="1350" w:type="dxa"/>
          </w:tcPr>
          <w:p w14:paraId="43D351B5" w14:textId="77777777" w:rsidR="00D8119F" w:rsidRPr="00D6605E" w:rsidRDefault="00D8119F" w:rsidP="00687E84">
            <w:pPr>
              <w:jc w:val="center"/>
            </w:pPr>
            <w:r w:rsidRPr="00D6605E">
              <w:t>17.07</w:t>
            </w:r>
          </w:p>
        </w:tc>
        <w:tc>
          <w:tcPr>
            <w:tcW w:w="1231" w:type="dxa"/>
          </w:tcPr>
          <w:p w14:paraId="1CF27668" w14:textId="77777777" w:rsidR="00D8119F" w:rsidRPr="00D6605E" w:rsidRDefault="00D8119F" w:rsidP="00687E84">
            <w:pPr>
              <w:jc w:val="center"/>
            </w:pPr>
            <w:r>
              <w:t>56.44</w:t>
            </w:r>
          </w:p>
        </w:tc>
        <w:tc>
          <w:tcPr>
            <w:tcW w:w="1341" w:type="dxa"/>
          </w:tcPr>
          <w:p w14:paraId="1CB52B9B" w14:textId="77777777" w:rsidR="00D8119F" w:rsidRPr="00D6605E" w:rsidRDefault="00D8119F" w:rsidP="00687E84">
            <w:pPr>
              <w:jc w:val="center"/>
            </w:pPr>
            <w:r w:rsidRPr="00D6605E">
              <w:t>-39.37</w:t>
            </w:r>
          </w:p>
        </w:tc>
      </w:tr>
      <w:tr w:rsidR="00D8119F" w:rsidRPr="00D6605E" w14:paraId="5717C8BA" w14:textId="77777777" w:rsidTr="00687E84">
        <w:trPr>
          <w:trHeight w:val="777"/>
        </w:trPr>
        <w:tc>
          <w:tcPr>
            <w:tcW w:w="2157" w:type="dxa"/>
            <w:shd w:val="clear" w:color="auto" w:fill="FFFFFF" w:themeFill="background1"/>
          </w:tcPr>
          <w:p w14:paraId="2E3E175B" w14:textId="77777777" w:rsidR="00D8119F" w:rsidRPr="00D6605E" w:rsidRDefault="00D8119F" w:rsidP="00687E84">
            <w:pPr>
              <w:jc w:val="left"/>
              <w:rPr>
                <w:b/>
                <w:bCs/>
              </w:rPr>
            </w:pPr>
            <w:r w:rsidRPr="00D6605E">
              <w:rPr>
                <w:b/>
                <w:bCs/>
              </w:rPr>
              <w:t>Debt Ratio</w:t>
            </w:r>
          </w:p>
        </w:tc>
        <w:tc>
          <w:tcPr>
            <w:tcW w:w="4230" w:type="dxa"/>
          </w:tcPr>
          <w:p w14:paraId="1F12BBBA" w14:textId="77777777" w:rsidR="00D8119F" w:rsidRPr="00D6605E" w:rsidRDefault="00D364A4" w:rsidP="00687E84">
            <w:pPr>
              <w:jc w:val="center"/>
              <w:rPr>
                <w:rFonts w:eastAsia="Calibri" w:cs="Times New Roman"/>
              </w:rPr>
            </w:pPr>
            <m:oMathPara>
              <m:oMath>
                <m:f>
                  <m:fPr>
                    <m:ctrlPr>
                      <w:rPr>
                        <w:rFonts w:ascii="Cambria Math" w:hAnsi="Cambria Math"/>
                        <w:i/>
                      </w:rPr>
                    </m:ctrlPr>
                  </m:fPr>
                  <m:num>
                    <m:r>
                      <m:rPr>
                        <m:nor/>
                      </m:rPr>
                      <w:rPr>
                        <w:rFonts w:ascii="Cambria Math"/>
                      </w:rPr>
                      <m:t>(</m:t>
                    </m:r>
                    <m:r>
                      <m:rPr>
                        <m:nor/>
                      </m:rPr>
                      <m:t>Total Debt</m:t>
                    </m:r>
                    <m:r>
                      <m:rPr>
                        <m:nor/>
                      </m:rPr>
                      <w:rPr>
                        <w:rFonts w:ascii="Cambria Math"/>
                      </w:rPr>
                      <m:t>)</m:t>
                    </m:r>
                  </m:num>
                  <m:den>
                    <m:r>
                      <m:rPr>
                        <m:nor/>
                      </m:rPr>
                      <w:rPr>
                        <w:rFonts w:ascii="Cambria Math"/>
                      </w:rPr>
                      <m:t>(</m:t>
                    </m:r>
                    <m:r>
                      <m:rPr>
                        <m:nor/>
                      </m:rPr>
                      <m:t>Total Assets</m:t>
                    </m:r>
                    <m:r>
                      <m:rPr>
                        <m:nor/>
                      </m:rPr>
                      <w:rPr>
                        <w:rFonts w:ascii="Cambria Math"/>
                      </w:rPr>
                      <m:t>)</m:t>
                    </m:r>
                  </m:den>
                </m:f>
              </m:oMath>
            </m:oMathPara>
          </w:p>
        </w:tc>
        <w:tc>
          <w:tcPr>
            <w:tcW w:w="1350" w:type="dxa"/>
          </w:tcPr>
          <w:p w14:paraId="2CB894DB" w14:textId="77777777" w:rsidR="00D8119F" w:rsidRPr="00D6605E" w:rsidRDefault="00D8119F" w:rsidP="00687E84">
            <w:pPr>
              <w:jc w:val="center"/>
            </w:pPr>
            <w:r w:rsidRPr="00D6605E">
              <w:t>0.94</w:t>
            </w:r>
          </w:p>
        </w:tc>
        <w:tc>
          <w:tcPr>
            <w:tcW w:w="1231" w:type="dxa"/>
          </w:tcPr>
          <w:p w14:paraId="40335792" w14:textId="77777777" w:rsidR="00D8119F" w:rsidRPr="00D6605E" w:rsidRDefault="00D8119F" w:rsidP="00687E84">
            <w:pPr>
              <w:jc w:val="center"/>
            </w:pPr>
            <w:r>
              <w:t>0.98</w:t>
            </w:r>
          </w:p>
        </w:tc>
        <w:tc>
          <w:tcPr>
            <w:tcW w:w="1341" w:type="dxa"/>
          </w:tcPr>
          <w:p w14:paraId="0CB356DB" w14:textId="77777777" w:rsidR="00D8119F" w:rsidRPr="00D6605E" w:rsidRDefault="00D8119F" w:rsidP="00687E84">
            <w:pPr>
              <w:jc w:val="center"/>
            </w:pPr>
            <w:r w:rsidRPr="00D6605E">
              <w:t>-0.04</w:t>
            </w:r>
          </w:p>
        </w:tc>
      </w:tr>
    </w:tbl>
    <w:p w14:paraId="467C781D" w14:textId="0066DB0C" w:rsidR="00D8119F" w:rsidRPr="00D6605E" w:rsidRDefault="00D8119F" w:rsidP="00D8119F">
      <w:pPr>
        <w:jc w:val="center"/>
      </w:pPr>
      <w:r w:rsidRPr="00D6605E">
        <w:t>Figure 1</w:t>
      </w:r>
      <w:r>
        <w:t>6</w:t>
      </w:r>
      <w:r w:rsidRPr="00D6605E">
        <w:t>: Trend in Solvency Analysis (Source: Author)</w:t>
      </w:r>
    </w:p>
    <w:p w14:paraId="56122CCA" w14:textId="2E57CFE7" w:rsidR="00D8119F" w:rsidRDefault="00D8119F" w:rsidP="00D6605E">
      <w:r w:rsidRPr="00D8119F">
        <w:t>By settling its debts, Marriott International has strengthened its financial position, as seen in Figure 16. The firm has eliminated its debt and is meeting its current capital needs from internal resources. Also, the interest coverage ratio has gone up, which means that the money available for interest payments is higher.</w:t>
      </w:r>
    </w:p>
    <w:p w14:paraId="79CFA0F0" w14:textId="77777777" w:rsidR="00D8119F" w:rsidRDefault="00D8119F" w:rsidP="00D6605E">
      <w:pPr>
        <w:rPr>
          <w:rFonts w:cs="Arial"/>
        </w:rPr>
      </w:pPr>
    </w:p>
    <w:p w14:paraId="41E9643F" w14:textId="20B8E0F2" w:rsidR="00D6605E" w:rsidRPr="00D6605E" w:rsidRDefault="00D6605E" w:rsidP="00D6605E">
      <w:pPr>
        <w:rPr>
          <w:b/>
          <w:bCs/>
        </w:rPr>
      </w:pPr>
      <w:r w:rsidRPr="00D6605E">
        <w:rPr>
          <w:b/>
          <w:bCs/>
        </w:rPr>
        <w:lastRenderedPageBreak/>
        <w:t>3.</w:t>
      </w:r>
      <w:r w:rsidR="00D8119F">
        <w:rPr>
          <w:b/>
          <w:bCs/>
        </w:rPr>
        <w:t>2</w:t>
      </w:r>
      <w:r w:rsidRPr="00D6605E">
        <w:rPr>
          <w:b/>
          <w:bCs/>
        </w:rPr>
        <w:t xml:space="preserve"> Profitability</w:t>
      </w:r>
      <w:bookmarkEnd w:id="32"/>
      <w:bookmarkEnd w:id="33"/>
      <w:r w:rsidRPr="00D6605E">
        <w:rPr>
          <w:b/>
          <w:bCs/>
        </w:rPr>
        <w:t xml:space="preserve"> Analysis</w:t>
      </w:r>
    </w:p>
    <w:p w14:paraId="31B7A685" w14:textId="117E3C53" w:rsidR="00D6605E" w:rsidRPr="00D6605E" w:rsidRDefault="00D6605E" w:rsidP="00D6605E">
      <w:r w:rsidRPr="00D6605E">
        <w:t xml:space="preserve">Here </w:t>
      </w:r>
      <w:r w:rsidR="005571E6">
        <w:t>is</w:t>
      </w:r>
      <w:r w:rsidRPr="00D6605E">
        <w:t xml:space="preserve"> the summarized values</w:t>
      </w:r>
      <w:r w:rsidR="005571E6">
        <w:t xml:space="preserve"> of profitability ratio</w:t>
      </w:r>
      <w:r w:rsidRPr="00D6605E">
        <w:t xml:space="preserve"> for 202</w:t>
      </w:r>
      <w:r w:rsidR="005571E6">
        <w:t>1</w:t>
      </w:r>
      <w:r w:rsidRPr="00D6605E">
        <w:t xml:space="preserve"> and 20</w:t>
      </w:r>
      <w:r w:rsidR="005571E6">
        <w:t>20</w:t>
      </w:r>
      <w:r w:rsidRPr="00D6605E">
        <w:t>:</w:t>
      </w:r>
    </w:p>
    <w:tbl>
      <w:tblPr>
        <w:tblStyle w:val="TableGrid"/>
        <w:tblW w:w="10309" w:type="dxa"/>
        <w:tblInd w:w="-272" w:type="dxa"/>
        <w:tblCellMar>
          <w:left w:w="58" w:type="dxa"/>
          <w:right w:w="58" w:type="dxa"/>
        </w:tblCellMar>
        <w:tblLook w:val="04A0" w:firstRow="1" w:lastRow="0" w:firstColumn="1" w:lastColumn="0" w:noHBand="0" w:noVBand="1"/>
      </w:tblPr>
      <w:tblGrid>
        <w:gridCol w:w="1581"/>
        <w:gridCol w:w="4806"/>
        <w:gridCol w:w="1350"/>
        <w:gridCol w:w="1231"/>
        <w:gridCol w:w="1341"/>
      </w:tblGrid>
      <w:tr w:rsidR="00D6605E" w:rsidRPr="00D6605E" w14:paraId="4A90838B" w14:textId="77777777" w:rsidTr="005571E6">
        <w:trPr>
          <w:trHeight w:val="437"/>
        </w:trPr>
        <w:tc>
          <w:tcPr>
            <w:tcW w:w="10309" w:type="dxa"/>
            <w:gridSpan w:val="5"/>
            <w:shd w:val="clear" w:color="auto" w:fill="D9E2F3" w:themeFill="accent1" w:themeFillTint="33"/>
            <w:vAlign w:val="center"/>
          </w:tcPr>
          <w:p w14:paraId="6D7C09CA" w14:textId="77777777" w:rsidR="00D6605E" w:rsidRPr="00D6605E" w:rsidRDefault="00D6605E" w:rsidP="00D6605E">
            <w:pPr>
              <w:jc w:val="center"/>
              <w:rPr>
                <w:b/>
                <w:bCs/>
              </w:rPr>
            </w:pPr>
            <w:bookmarkStart w:id="34" w:name="_Hlk118522232"/>
            <w:r w:rsidRPr="00D6605E">
              <w:rPr>
                <w:b/>
                <w:bCs/>
              </w:rPr>
              <w:t>Profitability Analysis</w:t>
            </w:r>
          </w:p>
        </w:tc>
      </w:tr>
      <w:tr w:rsidR="00D6605E" w:rsidRPr="00D6605E" w14:paraId="71868F2B" w14:textId="77777777" w:rsidTr="005571E6">
        <w:trPr>
          <w:trHeight w:val="877"/>
        </w:trPr>
        <w:tc>
          <w:tcPr>
            <w:tcW w:w="1581" w:type="dxa"/>
            <w:shd w:val="clear" w:color="auto" w:fill="FFFFFF" w:themeFill="background1"/>
          </w:tcPr>
          <w:p w14:paraId="25133A66" w14:textId="77777777" w:rsidR="00D6605E" w:rsidRPr="00D6605E" w:rsidRDefault="00D6605E" w:rsidP="00D6605E">
            <w:pPr>
              <w:jc w:val="left"/>
              <w:rPr>
                <w:b/>
                <w:bCs/>
              </w:rPr>
            </w:pPr>
          </w:p>
        </w:tc>
        <w:tc>
          <w:tcPr>
            <w:tcW w:w="4806" w:type="dxa"/>
          </w:tcPr>
          <w:p w14:paraId="6DB418CB" w14:textId="77777777" w:rsidR="00D6605E" w:rsidRPr="00D6605E" w:rsidRDefault="00D6605E" w:rsidP="00D6605E">
            <w:pPr>
              <w:jc w:val="center"/>
              <w:rPr>
                <w:rFonts w:eastAsia="Calibri" w:cs="Times New Roman"/>
              </w:rPr>
            </w:pPr>
          </w:p>
        </w:tc>
        <w:tc>
          <w:tcPr>
            <w:tcW w:w="1350" w:type="dxa"/>
          </w:tcPr>
          <w:p w14:paraId="3128175D" w14:textId="4B68405B" w:rsidR="00D6605E" w:rsidRPr="00D6605E" w:rsidRDefault="00D6605E" w:rsidP="00D6605E">
            <w:pPr>
              <w:jc w:val="center"/>
            </w:pPr>
            <w:r w:rsidRPr="00D6605E">
              <w:t>202</w:t>
            </w:r>
            <w:r w:rsidR="005571E6">
              <w:t>1</w:t>
            </w:r>
          </w:p>
        </w:tc>
        <w:tc>
          <w:tcPr>
            <w:tcW w:w="1231" w:type="dxa"/>
          </w:tcPr>
          <w:p w14:paraId="6A1508C0" w14:textId="4B21C9AF" w:rsidR="00D6605E" w:rsidRPr="00D6605E" w:rsidRDefault="00D6605E" w:rsidP="00D6605E">
            <w:pPr>
              <w:jc w:val="center"/>
            </w:pPr>
            <w:r w:rsidRPr="00D6605E">
              <w:t>202</w:t>
            </w:r>
            <w:r w:rsidR="005571E6">
              <w:t>0</w:t>
            </w:r>
          </w:p>
        </w:tc>
        <w:tc>
          <w:tcPr>
            <w:tcW w:w="1341" w:type="dxa"/>
          </w:tcPr>
          <w:p w14:paraId="43FD8FE8" w14:textId="77777777" w:rsidR="00D6605E" w:rsidRPr="00D6605E" w:rsidRDefault="00D6605E" w:rsidP="00D6605E">
            <w:pPr>
              <w:jc w:val="center"/>
            </w:pPr>
            <w:r w:rsidRPr="00D6605E">
              <w:t>Change</w:t>
            </w:r>
          </w:p>
        </w:tc>
      </w:tr>
      <w:tr w:rsidR="005571E6" w:rsidRPr="00D6605E" w14:paraId="0D6CB40B" w14:textId="77777777" w:rsidTr="005571E6">
        <w:trPr>
          <w:trHeight w:val="877"/>
        </w:trPr>
        <w:tc>
          <w:tcPr>
            <w:tcW w:w="1581" w:type="dxa"/>
            <w:shd w:val="clear" w:color="auto" w:fill="FFFFFF" w:themeFill="background1"/>
          </w:tcPr>
          <w:p w14:paraId="522F674C" w14:textId="5B15ECC1" w:rsidR="005571E6" w:rsidRPr="00D6605E" w:rsidRDefault="005571E6" w:rsidP="005571E6">
            <w:pPr>
              <w:jc w:val="left"/>
              <w:rPr>
                <w:b/>
                <w:bCs/>
              </w:rPr>
            </w:pPr>
            <w:r w:rsidRPr="00D6605E">
              <w:rPr>
                <w:b/>
                <w:bCs/>
              </w:rPr>
              <w:t>Net Margin</w:t>
            </w:r>
          </w:p>
        </w:tc>
        <w:tc>
          <w:tcPr>
            <w:tcW w:w="4806" w:type="dxa"/>
          </w:tcPr>
          <w:p w14:paraId="7F9AA00E" w14:textId="590B4C6C" w:rsidR="005571E6" w:rsidRPr="00D6605E" w:rsidRDefault="00D364A4" w:rsidP="005571E6">
            <w:pPr>
              <w:jc w:val="center"/>
            </w:pPr>
            <m:oMathPara>
              <m:oMath>
                <m:f>
                  <m:fPr>
                    <m:ctrlPr>
                      <w:rPr>
                        <w:rFonts w:ascii="Cambria Math" w:hAnsi="Cambria Math"/>
                      </w:rPr>
                    </m:ctrlPr>
                  </m:fPr>
                  <m:num>
                    <m:r>
                      <m:rPr>
                        <m:nor/>
                      </m:rPr>
                      <w:rPr>
                        <w:rFonts w:ascii="Cambria Math"/>
                      </w:rPr>
                      <m:t>[</m:t>
                    </m:r>
                    <m:r>
                      <m:rPr>
                        <m:nor/>
                      </m:rPr>
                      <m:t>Net Profit</m:t>
                    </m:r>
                    <m:r>
                      <m:rPr>
                        <m:nor/>
                      </m:rPr>
                      <w:rPr>
                        <w:rFonts w:ascii="Cambria Math"/>
                      </w:rPr>
                      <m:t>]</m:t>
                    </m:r>
                  </m:num>
                  <m:den>
                    <m:r>
                      <m:rPr>
                        <m:nor/>
                      </m:rPr>
                      <w:rPr>
                        <w:rFonts w:ascii="Cambria Math"/>
                      </w:rPr>
                      <m:t>[</m:t>
                    </m:r>
                    <m:r>
                      <m:rPr>
                        <m:nor/>
                      </m:rPr>
                      <m:t>Revenue</m:t>
                    </m:r>
                    <m:r>
                      <m:rPr>
                        <m:nor/>
                      </m:rPr>
                      <w:rPr>
                        <w:rFonts w:ascii="Cambria Math"/>
                      </w:rPr>
                      <m:t>]</m:t>
                    </m:r>
                  </m:den>
                </m:f>
                <m:r>
                  <m:rPr>
                    <m:nor/>
                  </m:rPr>
                  <m:t xml:space="preserve"> × 100</m:t>
                </m:r>
              </m:oMath>
            </m:oMathPara>
          </w:p>
        </w:tc>
        <w:tc>
          <w:tcPr>
            <w:tcW w:w="1350" w:type="dxa"/>
          </w:tcPr>
          <w:p w14:paraId="69FB23EE" w14:textId="77C5B481" w:rsidR="005571E6" w:rsidRPr="00D6605E" w:rsidRDefault="005571E6" w:rsidP="005571E6">
            <w:r w:rsidRPr="00D6605E">
              <w:t>7.93%</w:t>
            </w:r>
          </w:p>
        </w:tc>
        <w:tc>
          <w:tcPr>
            <w:tcW w:w="1231" w:type="dxa"/>
          </w:tcPr>
          <w:p w14:paraId="629E6290" w14:textId="76AAA355" w:rsidR="005571E6" w:rsidRPr="00D6605E" w:rsidRDefault="005571E6" w:rsidP="005571E6">
            <w:r>
              <w:t>-2.53%</w:t>
            </w:r>
          </w:p>
        </w:tc>
        <w:tc>
          <w:tcPr>
            <w:tcW w:w="1341" w:type="dxa"/>
          </w:tcPr>
          <w:p w14:paraId="713806E0" w14:textId="0B48F86E" w:rsidR="005571E6" w:rsidRPr="00D6605E" w:rsidRDefault="005571E6" w:rsidP="005571E6">
            <w:pPr>
              <w:jc w:val="center"/>
            </w:pPr>
            <w:r w:rsidRPr="00D6605E">
              <w:t>10.76%</w:t>
            </w:r>
          </w:p>
        </w:tc>
      </w:tr>
      <w:tr w:rsidR="005571E6" w:rsidRPr="00D6605E" w14:paraId="0CE8A8E6" w14:textId="77777777" w:rsidTr="005571E6">
        <w:trPr>
          <w:trHeight w:val="777"/>
        </w:trPr>
        <w:tc>
          <w:tcPr>
            <w:tcW w:w="1581" w:type="dxa"/>
            <w:shd w:val="clear" w:color="auto" w:fill="FFFFFF" w:themeFill="background1"/>
          </w:tcPr>
          <w:p w14:paraId="1E43B66E" w14:textId="096F53E1" w:rsidR="005571E6" w:rsidRPr="00D6605E" w:rsidRDefault="005571E6" w:rsidP="005571E6">
            <w:pPr>
              <w:jc w:val="left"/>
              <w:rPr>
                <w:b/>
                <w:bCs/>
              </w:rPr>
            </w:pPr>
            <w:r w:rsidRPr="00D6605E">
              <w:rPr>
                <w:b/>
                <w:bCs/>
              </w:rPr>
              <w:t>Gross Margin</w:t>
            </w:r>
          </w:p>
        </w:tc>
        <w:tc>
          <w:tcPr>
            <w:tcW w:w="4806" w:type="dxa"/>
          </w:tcPr>
          <w:p w14:paraId="26BA68CA" w14:textId="190806B2" w:rsidR="005571E6" w:rsidRPr="00D6605E" w:rsidRDefault="00D364A4" w:rsidP="005571E6">
            <w:pPr>
              <w:jc w:val="center"/>
            </w:pPr>
            <m:oMathPara>
              <m:oMath>
                <m:f>
                  <m:fPr>
                    <m:ctrlPr>
                      <w:rPr>
                        <w:rFonts w:ascii="Cambria Math" w:hAnsi="Cambria Math"/>
                      </w:rPr>
                    </m:ctrlPr>
                  </m:fPr>
                  <m:num>
                    <m:r>
                      <m:rPr>
                        <m:nor/>
                      </m:rPr>
                      <w:rPr>
                        <w:rFonts w:ascii="Cambria Math"/>
                      </w:rPr>
                      <m:t>[</m:t>
                    </m:r>
                    <m:r>
                      <m:rPr>
                        <m:nor/>
                      </m:rPr>
                      <m:t>Gross Profit</m:t>
                    </m:r>
                    <m:r>
                      <m:rPr>
                        <m:nor/>
                      </m:rPr>
                      <w:rPr>
                        <w:rFonts w:ascii="Cambria Math"/>
                      </w:rPr>
                      <m:t>]</m:t>
                    </m:r>
                  </m:num>
                  <m:den>
                    <m:r>
                      <m:rPr>
                        <m:nor/>
                      </m:rPr>
                      <w:rPr>
                        <w:rFonts w:ascii="Cambria Math"/>
                      </w:rPr>
                      <m:t>[</m:t>
                    </m:r>
                    <m:r>
                      <m:rPr>
                        <m:nor/>
                      </m:rPr>
                      <m:t>Revenue</m:t>
                    </m:r>
                    <m:r>
                      <m:rPr>
                        <m:nor/>
                      </m:rPr>
                      <w:rPr>
                        <w:rFonts w:ascii="Cambria Math"/>
                      </w:rPr>
                      <m:t>]</m:t>
                    </m:r>
                  </m:den>
                </m:f>
                <m:r>
                  <m:rPr>
                    <m:nor/>
                  </m:rPr>
                  <m:t xml:space="preserve"> × 100</m:t>
                </m:r>
              </m:oMath>
            </m:oMathPara>
          </w:p>
        </w:tc>
        <w:tc>
          <w:tcPr>
            <w:tcW w:w="1350" w:type="dxa"/>
          </w:tcPr>
          <w:p w14:paraId="5852C427" w14:textId="6429FDA9" w:rsidR="005571E6" w:rsidRPr="00D6605E" w:rsidRDefault="005571E6" w:rsidP="005571E6">
            <w:r w:rsidRPr="00D6605E">
              <w:t>20.16%</w:t>
            </w:r>
          </w:p>
        </w:tc>
        <w:tc>
          <w:tcPr>
            <w:tcW w:w="1231" w:type="dxa"/>
          </w:tcPr>
          <w:p w14:paraId="7A3C03E6" w14:textId="39F52273" w:rsidR="005571E6" w:rsidRPr="00D6605E" w:rsidRDefault="005571E6" w:rsidP="005571E6">
            <w:r>
              <w:t>11.28</w:t>
            </w:r>
            <w:r w:rsidRPr="00AE020C">
              <w:t>%</w:t>
            </w:r>
          </w:p>
        </w:tc>
        <w:tc>
          <w:tcPr>
            <w:tcW w:w="1341" w:type="dxa"/>
          </w:tcPr>
          <w:p w14:paraId="6B6E98CC" w14:textId="0C375864" w:rsidR="005571E6" w:rsidRPr="00D6605E" w:rsidRDefault="005571E6" w:rsidP="005571E6">
            <w:pPr>
              <w:jc w:val="center"/>
            </w:pPr>
            <w:r w:rsidRPr="00D6605E">
              <w:t>8.91%</w:t>
            </w:r>
          </w:p>
        </w:tc>
      </w:tr>
      <w:tr w:rsidR="005571E6" w:rsidRPr="00D6605E" w14:paraId="5F120782" w14:textId="77777777" w:rsidTr="005571E6">
        <w:trPr>
          <w:trHeight w:val="777"/>
        </w:trPr>
        <w:tc>
          <w:tcPr>
            <w:tcW w:w="1581" w:type="dxa"/>
            <w:shd w:val="clear" w:color="auto" w:fill="FFFFFF" w:themeFill="background1"/>
          </w:tcPr>
          <w:p w14:paraId="199FAE01" w14:textId="3F4E2901" w:rsidR="005571E6" w:rsidRPr="00D6605E" w:rsidRDefault="005571E6" w:rsidP="005571E6">
            <w:pPr>
              <w:jc w:val="left"/>
              <w:rPr>
                <w:b/>
                <w:bCs/>
              </w:rPr>
            </w:pPr>
            <w:r w:rsidRPr="00D6605E">
              <w:rPr>
                <w:b/>
                <w:bCs/>
              </w:rPr>
              <w:t>ROCE</w:t>
            </w:r>
          </w:p>
        </w:tc>
        <w:tc>
          <w:tcPr>
            <w:tcW w:w="4806" w:type="dxa"/>
          </w:tcPr>
          <w:p w14:paraId="1DE3128A" w14:textId="29763BED" w:rsidR="005571E6" w:rsidRPr="00D6605E" w:rsidRDefault="00D364A4" w:rsidP="005571E6">
            <w:pPr>
              <w:jc w:val="center"/>
              <w:rPr>
                <w:rFonts w:eastAsia="Calibri" w:cs="Times New Roman"/>
              </w:rPr>
            </w:pPr>
            <m:oMathPara>
              <m:oMath>
                <m:f>
                  <m:fPr>
                    <m:ctrlPr>
                      <w:rPr>
                        <w:rFonts w:ascii="Cambria Math" w:hAnsi="Cambria Math" w:cs="Arial"/>
                      </w:rPr>
                    </m:ctrlPr>
                  </m:fPr>
                  <m:num>
                    <m:r>
                      <m:rPr>
                        <m:nor/>
                      </m:rPr>
                      <w:rPr>
                        <w:rFonts w:cs="Arial"/>
                      </w:rPr>
                      <m:t>[Operating Profit]</m:t>
                    </m:r>
                  </m:num>
                  <m:den>
                    <m:r>
                      <m:rPr>
                        <m:nor/>
                      </m:rPr>
                      <w:rPr>
                        <w:rFonts w:cs="Arial"/>
                      </w:rPr>
                      <m:t>[Total Assets Less Current Liabilities]</m:t>
                    </m:r>
                  </m:den>
                </m:f>
                <m:r>
                  <m:rPr>
                    <m:nor/>
                  </m:rPr>
                  <w:rPr>
                    <w:rFonts w:cs="Arial"/>
                  </w:rPr>
                  <m:t xml:space="preserve"> × 100</m:t>
                </m:r>
              </m:oMath>
            </m:oMathPara>
          </w:p>
        </w:tc>
        <w:tc>
          <w:tcPr>
            <w:tcW w:w="1350" w:type="dxa"/>
          </w:tcPr>
          <w:p w14:paraId="2B4AF820" w14:textId="5D23058B" w:rsidR="005571E6" w:rsidRPr="00D6605E" w:rsidRDefault="005571E6" w:rsidP="005571E6">
            <w:r w:rsidRPr="00D6605E">
              <w:t>9.14%</w:t>
            </w:r>
          </w:p>
        </w:tc>
        <w:tc>
          <w:tcPr>
            <w:tcW w:w="1231" w:type="dxa"/>
          </w:tcPr>
          <w:p w14:paraId="761D9BBE" w14:textId="23988BED" w:rsidR="005571E6" w:rsidRDefault="005571E6" w:rsidP="005571E6">
            <w:r>
              <w:t>0.44</w:t>
            </w:r>
            <w:r w:rsidRPr="00AE020C">
              <w:t>%</w:t>
            </w:r>
          </w:p>
        </w:tc>
        <w:tc>
          <w:tcPr>
            <w:tcW w:w="1341" w:type="dxa"/>
          </w:tcPr>
          <w:p w14:paraId="68ECCA19" w14:textId="2E3CC230" w:rsidR="005571E6" w:rsidRPr="00D6605E" w:rsidRDefault="005571E6" w:rsidP="005571E6">
            <w:pPr>
              <w:jc w:val="center"/>
            </w:pPr>
            <w:r w:rsidRPr="00D6605E">
              <w:t>8.7%</w:t>
            </w:r>
          </w:p>
        </w:tc>
      </w:tr>
      <w:tr w:rsidR="005571E6" w:rsidRPr="00D6605E" w14:paraId="48BF4814" w14:textId="77777777" w:rsidTr="005571E6">
        <w:trPr>
          <w:trHeight w:val="791"/>
        </w:trPr>
        <w:tc>
          <w:tcPr>
            <w:tcW w:w="1581" w:type="dxa"/>
            <w:shd w:val="clear" w:color="auto" w:fill="FFFFFF" w:themeFill="background1"/>
          </w:tcPr>
          <w:p w14:paraId="54A42A7D" w14:textId="65D28BDB" w:rsidR="005571E6" w:rsidRPr="00D6605E" w:rsidRDefault="005571E6" w:rsidP="005571E6">
            <w:pPr>
              <w:jc w:val="left"/>
              <w:rPr>
                <w:b/>
                <w:bCs/>
              </w:rPr>
            </w:pPr>
            <w:r w:rsidRPr="00D6605E">
              <w:rPr>
                <w:b/>
                <w:bCs/>
              </w:rPr>
              <w:t>ROE</w:t>
            </w:r>
          </w:p>
        </w:tc>
        <w:tc>
          <w:tcPr>
            <w:tcW w:w="4806" w:type="dxa"/>
          </w:tcPr>
          <w:p w14:paraId="38FEDA52" w14:textId="144C1A66" w:rsidR="005571E6" w:rsidRPr="00D6605E" w:rsidRDefault="00D364A4" w:rsidP="005571E6">
            <w:pPr>
              <w:jc w:val="center"/>
            </w:pPr>
            <m:oMathPara>
              <m:oMath>
                <m:f>
                  <m:fPr>
                    <m:ctrlPr>
                      <w:rPr>
                        <w:rFonts w:ascii="Cambria Math" w:hAnsi="Cambria Math"/>
                      </w:rPr>
                    </m:ctrlPr>
                  </m:fPr>
                  <m:num>
                    <m:r>
                      <m:rPr>
                        <m:nor/>
                      </m:rPr>
                      <w:rPr>
                        <w:rFonts w:ascii="Cambria Math"/>
                      </w:rPr>
                      <m:t>[</m:t>
                    </m:r>
                    <m:r>
                      <m:rPr>
                        <m:nor/>
                      </m:rPr>
                      <m:t>Net Income</m:t>
                    </m:r>
                    <m:r>
                      <m:rPr>
                        <m:nor/>
                      </m:rPr>
                      <w:rPr>
                        <w:rFonts w:ascii="Cambria Math"/>
                      </w:rPr>
                      <m:t>]</m:t>
                    </m:r>
                  </m:num>
                  <m:den>
                    <m:r>
                      <m:rPr>
                        <m:nor/>
                      </m:rPr>
                      <w:rPr>
                        <w:rFonts w:ascii="Cambria Math"/>
                      </w:rPr>
                      <m:t>[</m:t>
                    </m:r>
                    <m:r>
                      <m:rPr>
                        <m:nor/>
                      </m:rPr>
                      <m:t>Total Equity</m:t>
                    </m:r>
                    <m:r>
                      <m:rPr>
                        <m:nor/>
                      </m:rPr>
                      <w:rPr>
                        <w:rFonts w:ascii="Cambria Math"/>
                      </w:rPr>
                      <m:t>]</m:t>
                    </m:r>
                  </m:den>
                </m:f>
                <m:r>
                  <m:rPr>
                    <m:nor/>
                  </m:rPr>
                  <m:t xml:space="preserve"> × 100</m:t>
                </m:r>
              </m:oMath>
            </m:oMathPara>
          </w:p>
        </w:tc>
        <w:tc>
          <w:tcPr>
            <w:tcW w:w="1350" w:type="dxa"/>
          </w:tcPr>
          <w:p w14:paraId="240A5E9F" w14:textId="5E1C8D85" w:rsidR="005571E6" w:rsidRPr="00D6605E" w:rsidRDefault="005571E6" w:rsidP="005571E6">
            <w:r w:rsidRPr="00D6605E">
              <w:t>166.29%</w:t>
            </w:r>
          </w:p>
        </w:tc>
        <w:tc>
          <w:tcPr>
            <w:tcW w:w="1231" w:type="dxa"/>
          </w:tcPr>
          <w:p w14:paraId="3CDCC3A4" w14:textId="086E1F0E" w:rsidR="005571E6" w:rsidRPr="00D6605E" w:rsidRDefault="005571E6" w:rsidP="005571E6">
            <w:r>
              <w:t>-60.48%</w:t>
            </w:r>
          </w:p>
        </w:tc>
        <w:tc>
          <w:tcPr>
            <w:tcW w:w="1341" w:type="dxa"/>
          </w:tcPr>
          <w:p w14:paraId="7C4A4829" w14:textId="03AA199B" w:rsidR="005571E6" w:rsidRPr="00D6605E" w:rsidRDefault="005571E6" w:rsidP="005571E6">
            <w:pPr>
              <w:jc w:val="center"/>
            </w:pPr>
            <w:r w:rsidRPr="00D6605E">
              <w:t>226.77%</w:t>
            </w:r>
          </w:p>
        </w:tc>
      </w:tr>
      <w:tr w:rsidR="005571E6" w:rsidRPr="00D6605E" w14:paraId="7F4D35BE" w14:textId="77777777" w:rsidTr="005571E6">
        <w:trPr>
          <w:trHeight w:val="877"/>
        </w:trPr>
        <w:tc>
          <w:tcPr>
            <w:tcW w:w="1581" w:type="dxa"/>
            <w:shd w:val="clear" w:color="auto" w:fill="FFFFFF" w:themeFill="background1"/>
          </w:tcPr>
          <w:p w14:paraId="6D3CF26B" w14:textId="77777777" w:rsidR="005571E6" w:rsidRPr="00D6605E" w:rsidRDefault="005571E6" w:rsidP="005571E6">
            <w:pPr>
              <w:jc w:val="left"/>
              <w:rPr>
                <w:b/>
                <w:bCs/>
              </w:rPr>
            </w:pPr>
            <w:r w:rsidRPr="00D6605E">
              <w:rPr>
                <w:b/>
                <w:bCs/>
              </w:rPr>
              <w:t>Operating Margin</w:t>
            </w:r>
          </w:p>
        </w:tc>
        <w:tc>
          <w:tcPr>
            <w:tcW w:w="4806" w:type="dxa"/>
          </w:tcPr>
          <w:p w14:paraId="562CD3D4" w14:textId="46D260F0" w:rsidR="005571E6" w:rsidRPr="00D6605E" w:rsidRDefault="00D364A4" w:rsidP="005571E6">
            <w:pPr>
              <w:jc w:val="center"/>
            </w:pPr>
            <m:oMathPara>
              <m:oMath>
                <m:f>
                  <m:fPr>
                    <m:ctrlPr>
                      <w:rPr>
                        <w:rFonts w:ascii="Cambria Math" w:hAnsi="Cambria Math" w:cs="Arial"/>
                        <w:iCs/>
                      </w:rPr>
                    </m:ctrlPr>
                  </m:fPr>
                  <m:num>
                    <m:r>
                      <m:rPr>
                        <m:nor/>
                      </m:rPr>
                      <w:rPr>
                        <w:rFonts w:ascii="Cambria Math" w:cs="Arial"/>
                        <w:iCs/>
                      </w:rPr>
                      <m:t>[</m:t>
                    </m:r>
                    <m:r>
                      <m:rPr>
                        <m:nor/>
                      </m:rPr>
                      <w:rPr>
                        <w:rFonts w:cs="Arial"/>
                        <w:iCs/>
                      </w:rPr>
                      <m:t>Operating Profit</m:t>
                    </m:r>
                    <m:r>
                      <m:rPr>
                        <m:nor/>
                      </m:rPr>
                      <w:rPr>
                        <w:rFonts w:ascii="Cambria Math" w:cs="Arial"/>
                        <w:iCs/>
                      </w:rPr>
                      <m:t>]</m:t>
                    </m:r>
                  </m:num>
                  <m:den>
                    <m:r>
                      <m:rPr>
                        <m:nor/>
                      </m:rPr>
                      <w:rPr>
                        <w:rFonts w:ascii="Cambria Math" w:cs="Arial"/>
                        <w:iCs/>
                      </w:rPr>
                      <m:t>[</m:t>
                    </m:r>
                    <m:r>
                      <m:rPr>
                        <m:nor/>
                      </m:rPr>
                      <w:rPr>
                        <w:rFonts w:cs="Arial"/>
                        <w:iCs/>
                      </w:rPr>
                      <m:t>Revenue</m:t>
                    </m:r>
                    <m:r>
                      <m:rPr>
                        <m:nor/>
                      </m:rPr>
                      <w:rPr>
                        <w:rFonts w:ascii="Cambria Math" w:cs="Arial"/>
                        <w:iCs/>
                      </w:rPr>
                      <m:t>]</m:t>
                    </m:r>
                  </m:den>
                </m:f>
                <m:r>
                  <m:rPr>
                    <m:nor/>
                  </m:rPr>
                  <w:rPr>
                    <w:rFonts w:cs="Arial"/>
                    <w:iCs/>
                  </w:rPr>
                  <m:t xml:space="preserve"> × 100</m:t>
                </m:r>
              </m:oMath>
            </m:oMathPara>
          </w:p>
        </w:tc>
        <w:tc>
          <w:tcPr>
            <w:tcW w:w="1350" w:type="dxa"/>
          </w:tcPr>
          <w:p w14:paraId="10C747A8" w14:textId="5964A612" w:rsidR="005571E6" w:rsidRPr="00D6605E" w:rsidRDefault="005571E6" w:rsidP="005571E6">
            <w:r w:rsidRPr="00D6605E">
              <w:t>12.63%</w:t>
            </w:r>
          </w:p>
        </w:tc>
        <w:tc>
          <w:tcPr>
            <w:tcW w:w="1231" w:type="dxa"/>
          </w:tcPr>
          <w:p w14:paraId="4814B120" w14:textId="02F56A11" w:rsidR="005571E6" w:rsidRPr="00D6605E" w:rsidRDefault="005571E6" w:rsidP="005571E6">
            <w:r>
              <w:t>0.79</w:t>
            </w:r>
            <w:r w:rsidRPr="00AE020C">
              <w:t>%</w:t>
            </w:r>
          </w:p>
        </w:tc>
        <w:tc>
          <w:tcPr>
            <w:tcW w:w="1341" w:type="dxa"/>
          </w:tcPr>
          <w:p w14:paraId="5CDC0233" w14:textId="77777777" w:rsidR="005571E6" w:rsidRPr="00D6605E" w:rsidRDefault="005571E6" w:rsidP="005571E6">
            <w:pPr>
              <w:jc w:val="center"/>
            </w:pPr>
            <w:r w:rsidRPr="00D6605E">
              <w:t>11.84%</w:t>
            </w:r>
          </w:p>
        </w:tc>
      </w:tr>
    </w:tbl>
    <w:bookmarkEnd w:id="34"/>
    <w:p w14:paraId="61EC6DB6" w14:textId="0DA8A998" w:rsidR="00D6605E" w:rsidRPr="00D6605E" w:rsidRDefault="00D6605E" w:rsidP="00D6605E">
      <w:pPr>
        <w:jc w:val="center"/>
      </w:pPr>
      <w:r w:rsidRPr="00D6605E">
        <w:t>Figure 1</w:t>
      </w:r>
      <w:r w:rsidR="00D8119F">
        <w:t>7</w:t>
      </w:r>
      <w:r w:rsidRPr="00D6605E">
        <w:t>: Trend in Profitability Analysis (Source: Author)</w:t>
      </w:r>
    </w:p>
    <w:p w14:paraId="4D9ED1D9" w14:textId="13CAF9A3" w:rsidR="00105A56" w:rsidRDefault="00105A56" w:rsidP="00D6605E">
      <w:r w:rsidRPr="00105A56">
        <w:t>Clearly, as seen in Figure 1</w:t>
      </w:r>
      <w:r w:rsidR="00D8119F">
        <w:t>7</w:t>
      </w:r>
      <w:r w:rsidRPr="00105A56">
        <w:t>, Marriot International's profit margins are on the rise. Generally speaking, profitability has increased in 2021 as seen by the rising profitability ratios.</w:t>
      </w:r>
    </w:p>
    <w:p w14:paraId="34D762DC" w14:textId="0F79249B" w:rsidR="00D6605E" w:rsidRPr="00D6605E" w:rsidRDefault="00D6605E" w:rsidP="00D6605E">
      <w:pPr>
        <w:rPr>
          <w:b/>
          <w:bCs/>
        </w:rPr>
      </w:pPr>
      <w:r w:rsidRPr="00D6605E">
        <w:rPr>
          <w:b/>
          <w:bCs/>
        </w:rPr>
        <w:t>3.</w:t>
      </w:r>
      <w:r w:rsidR="00D8119F">
        <w:rPr>
          <w:b/>
          <w:bCs/>
        </w:rPr>
        <w:t>3</w:t>
      </w:r>
      <w:r w:rsidRPr="00D6605E">
        <w:rPr>
          <w:b/>
          <w:bCs/>
        </w:rPr>
        <w:t xml:space="preserve"> Liquidity  Analysis</w:t>
      </w:r>
    </w:p>
    <w:tbl>
      <w:tblPr>
        <w:tblStyle w:val="TableGrid"/>
        <w:tblW w:w="10309" w:type="dxa"/>
        <w:tblInd w:w="-272" w:type="dxa"/>
        <w:tblCellMar>
          <w:left w:w="58" w:type="dxa"/>
          <w:right w:w="58" w:type="dxa"/>
        </w:tblCellMar>
        <w:tblLook w:val="04A0" w:firstRow="1" w:lastRow="0" w:firstColumn="1" w:lastColumn="0" w:noHBand="0" w:noVBand="1"/>
      </w:tblPr>
      <w:tblGrid>
        <w:gridCol w:w="1582"/>
        <w:gridCol w:w="4805"/>
        <w:gridCol w:w="1350"/>
        <w:gridCol w:w="1231"/>
        <w:gridCol w:w="1341"/>
      </w:tblGrid>
      <w:tr w:rsidR="00D6605E" w:rsidRPr="00D6605E" w14:paraId="643A014E" w14:textId="77777777" w:rsidTr="00105A56">
        <w:trPr>
          <w:trHeight w:val="437"/>
        </w:trPr>
        <w:tc>
          <w:tcPr>
            <w:tcW w:w="10309" w:type="dxa"/>
            <w:gridSpan w:val="5"/>
            <w:shd w:val="clear" w:color="auto" w:fill="D9E2F3" w:themeFill="accent1" w:themeFillTint="33"/>
            <w:vAlign w:val="center"/>
          </w:tcPr>
          <w:p w14:paraId="45F85DF9" w14:textId="77777777" w:rsidR="00D6605E" w:rsidRPr="00D6605E" w:rsidRDefault="00D6605E" w:rsidP="00D6605E">
            <w:pPr>
              <w:jc w:val="center"/>
              <w:rPr>
                <w:b/>
                <w:bCs/>
              </w:rPr>
            </w:pPr>
            <w:r w:rsidRPr="00D6605E">
              <w:rPr>
                <w:b/>
                <w:bCs/>
              </w:rPr>
              <w:t>Liquidity Analysis</w:t>
            </w:r>
          </w:p>
        </w:tc>
      </w:tr>
      <w:tr w:rsidR="00D6605E" w:rsidRPr="00D6605E" w14:paraId="69CDE78C" w14:textId="77777777" w:rsidTr="00105A56">
        <w:trPr>
          <w:trHeight w:val="576"/>
        </w:trPr>
        <w:tc>
          <w:tcPr>
            <w:tcW w:w="1582" w:type="dxa"/>
            <w:shd w:val="clear" w:color="auto" w:fill="FFFFFF" w:themeFill="background1"/>
          </w:tcPr>
          <w:p w14:paraId="20510419" w14:textId="77777777" w:rsidR="00D6605E" w:rsidRPr="00D6605E" w:rsidRDefault="00D6605E" w:rsidP="00D6605E">
            <w:pPr>
              <w:jc w:val="left"/>
              <w:rPr>
                <w:b/>
                <w:bCs/>
              </w:rPr>
            </w:pPr>
          </w:p>
        </w:tc>
        <w:tc>
          <w:tcPr>
            <w:tcW w:w="4805" w:type="dxa"/>
          </w:tcPr>
          <w:p w14:paraId="5F170919" w14:textId="77777777" w:rsidR="00D6605E" w:rsidRPr="00D6605E" w:rsidRDefault="00D6605E" w:rsidP="00D6605E">
            <w:pPr>
              <w:jc w:val="center"/>
              <w:rPr>
                <w:rFonts w:eastAsia="Calibri" w:cs="Times New Roman"/>
              </w:rPr>
            </w:pPr>
          </w:p>
        </w:tc>
        <w:tc>
          <w:tcPr>
            <w:tcW w:w="1350" w:type="dxa"/>
          </w:tcPr>
          <w:p w14:paraId="11C4F201" w14:textId="04F2EB4D" w:rsidR="00D6605E" w:rsidRPr="00D6605E" w:rsidRDefault="00D6605E" w:rsidP="00D6605E">
            <w:pPr>
              <w:jc w:val="center"/>
            </w:pPr>
            <w:r w:rsidRPr="00D6605E">
              <w:t>202</w:t>
            </w:r>
            <w:r w:rsidR="00105A56">
              <w:t>1</w:t>
            </w:r>
          </w:p>
        </w:tc>
        <w:tc>
          <w:tcPr>
            <w:tcW w:w="1231" w:type="dxa"/>
          </w:tcPr>
          <w:p w14:paraId="4B84D5BF" w14:textId="18BE35C6" w:rsidR="00D6605E" w:rsidRPr="00D6605E" w:rsidRDefault="00D6605E" w:rsidP="00D6605E">
            <w:pPr>
              <w:jc w:val="center"/>
            </w:pPr>
            <w:r w:rsidRPr="00D6605E">
              <w:t>202</w:t>
            </w:r>
            <w:r w:rsidR="00105A56">
              <w:t>0</w:t>
            </w:r>
          </w:p>
        </w:tc>
        <w:tc>
          <w:tcPr>
            <w:tcW w:w="1341" w:type="dxa"/>
          </w:tcPr>
          <w:p w14:paraId="4208E1DE" w14:textId="77777777" w:rsidR="00D6605E" w:rsidRPr="00D6605E" w:rsidRDefault="00D6605E" w:rsidP="00D6605E">
            <w:pPr>
              <w:jc w:val="center"/>
            </w:pPr>
            <w:r w:rsidRPr="00D6605E">
              <w:t>Change</w:t>
            </w:r>
          </w:p>
        </w:tc>
      </w:tr>
      <w:tr w:rsidR="00105A56" w:rsidRPr="00D6605E" w14:paraId="3D874A36" w14:textId="77777777" w:rsidTr="00105A56">
        <w:trPr>
          <w:trHeight w:val="877"/>
        </w:trPr>
        <w:tc>
          <w:tcPr>
            <w:tcW w:w="1582" w:type="dxa"/>
            <w:shd w:val="clear" w:color="auto" w:fill="FFFFFF" w:themeFill="background1"/>
          </w:tcPr>
          <w:p w14:paraId="1B38E743" w14:textId="5CD76896" w:rsidR="00105A56" w:rsidRPr="00D6605E" w:rsidRDefault="00105A56" w:rsidP="00105A56">
            <w:pPr>
              <w:jc w:val="left"/>
              <w:rPr>
                <w:b/>
                <w:bCs/>
              </w:rPr>
            </w:pPr>
            <w:r w:rsidRPr="00D6605E">
              <w:rPr>
                <w:b/>
                <w:bCs/>
              </w:rPr>
              <w:t>Quick Ratio</w:t>
            </w:r>
          </w:p>
        </w:tc>
        <w:tc>
          <w:tcPr>
            <w:tcW w:w="4805" w:type="dxa"/>
          </w:tcPr>
          <w:p w14:paraId="710CC36A" w14:textId="4ED437E7" w:rsidR="00105A56" w:rsidRPr="00D6605E" w:rsidRDefault="00D364A4" w:rsidP="00105A56">
            <w:pPr>
              <w:jc w:val="center"/>
            </w:pPr>
            <m:oMathPara>
              <m:oMath>
                <m:f>
                  <m:fPr>
                    <m:ctrlPr>
                      <w:rPr>
                        <w:rFonts w:ascii="Cambria Math" w:hAnsi="Cambria Math"/>
                      </w:rPr>
                    </m:ctrlPr>
                  </m:fPr>
                  <m:num>
                    <m:r>
                      <m:rPr>
                        <m:nor/>
                      </m:rPr>
                      <w:rPr>
                        <w:rFonts w:ascii="Cambria Math"/>
                      </w:rPr>
                      <m:t>[</m:t>
                    </m:r>
                    <m:r>
                      <m:rPr>
                        <m:nor/>
                      </m:rPr>
                      <m:t>Current Assets-Inventories</m:t>
                    </m:r>
                    <m:r>
                      <m:rPr>
                        <m:nor/>
                      </m:rPr>
                      <w:rPr>
                        <w:rFonts w:ascii="Cambria Math"/>
                      </w:rPr>
                      <m:t>]</m:t>
                    </m:r>
                  </m:num>
                  <m:den>
                    <m:r>
                      <m:rPr>
                        <m:nor/>
                      </m:rPr>
                      <w:rPr>
                        <w:rFonts w:ascii="Cambria Math"/>
                      </w:rPr>
                      <m:t>[</m:t>
                    </m:r>
                    <m:r>
                      <m:rPr>
                        <m:nor/>
                      </m:rPr>
                      <m:t>Current Liabilities</m:t>
                    </m:r>
                    <m:r>
                      <m:rPr>
                        <m:nor/>
                      </m:rPr>
                      <w:rPr>
                        <w:rFonts w:ascii="Cambria Math"/>
                      </w:rPr>
                      <m:t>]</m:t>
                    </m:r>
                  </m:den>
                </m:f>
              </m:oMath>
            </m:oMathPara>
          </w:p>
        </w:tc>
        <w:tc>
          <w:tcPr>
            <w:tcW w:w="1350" w:type="dxa"/>
          </w:tcPr>
          <w:p w14:paraId="11B19DB1" w14:textId="3E718AF6" w:rsidR="00105A56" w:rsidRPr="00D6605E" w:rsidRDefault="00105A56" w:rsidP="00105A56">
            <w:pPr>
              <w:jc w:val="center"/>
            </w:pPr>
            <w:r w:rsidRPr="00D6605E">
              <w:t>0.57</w:t>
            </w:r>
          </w:p>
        </w:tc>
        <w:tc>
          <w:tcPr>
            <w:tcW w:w="1231" w:type="dxa"/>
          </w:tcPr>
          <w:p w14:paraId="65FB3D3B" w14:textId="24ECC461" w:rsidR="00105A56" w:rsidRPr="00D6605E" w:rsidRDefault="00105A56" w:rsidP="00105A56">
            <w:pPr>
              <w:jc w:val="center"/>
            </w:pPr>
            <w:r w:rsidRPr="00D6605E">
              <w:t>0.</w:t>
            </w:r>
            <w:r>
              <w:t>49</w:t>
            </w:r>
          </w:p>
        </w:tc>
        <w:tc>
          <w:tcPr>
            <w:tcW w:w="1341" w:type="dxa"/>
          </w:tcPr>
          <w:p w14:paraId="7268E788" w14:textId="2A367BE1" w:rsidR="00105A56" w:rsidRPr="00D6605E" w:rsidRDefault="00105A56" w:rsidP="00105A56">
            <w:pPr>
              <w:jc w:val="center"/>
            </w:pPr>
            <w:r w:rsidRPr="00D6605E">
              <w:t>0.08</w:t>
            </w:r>
          </w:p>
        </w:tc>
      </w:tr>
      <w:tr w:rsidR="00105A56" w:rsidRPr="00D6605E" w14:paraId="367AD37D" w14:textId="77777777" w:rsidTr="00105A56">
        <w:trPr>
          <w:trHeight w:val="877"/>
        </w:trPr>
        <w:tc>
          <w:tcPr>
            <w:tcW w:w="1582" w:type="dxa"/>
            <w:shd w:val="clear" w:color="auto" w:fill="FFFFFF" w:themeFill="background1"/>
          </w:tcPr>
          <w:p w14:paraId="03280BF4" w14:textId="311A5D5C" w:rsidR="00105A56" w:rsidRPr="00D6605E" w:rsidRDefault="00105A56" w:rsidP="00105A56">
            <w:pPr>
              <w:jc w:val="left"/>
              <w:rPr>
                <w:b/>
                <w:bCs/>
              </w:rPr>
            </w:pPr>
            <w:r w:rsidRPr="00D6605E">
              <w:rPr>
                <w:b/>
                <w:bCs/>
              </w:rPr>
              <w:t>Current Ratio</w:t>
            </w:r>
          </w:p>
        </w:tc>
        <w:tc>
          <w:tcPr>
            <w:tcW w:w="4805" w:type="dxa"/>
          </w:tcPr>
          <w:p w14:paraId="325F45BE" w14:textId="5B7C6CB6" w:rsidR="00105A56" w:rsidRPr="00D6605E" w:rsidRDefault="00D364A4" w:rsidP="00105A56">
            <w:pPr>
              <w:jc w:val="center"/>
              <w:rPr>
                <w:rFonts w:eastAsia="Calibri" w:cs="Times New Roman"/>
              </w:rPr>
            </w:pPr>
            <m:oMathPara>
              <m:oMath>
                <m:f>
                  <m:fPr>
                    <m:ctrlPr>
                      <w:rPr>
                        <w:rFonts w:ascii="Cambria Math" w:hAnsi="Cambria Math"/>
                        <w:i/>
                      </w:rPr>
                    </m:ctrlPr>
                  </m:fPr>
                  <m:num>
                    <m:r>
                      <m:rPr>
                        <m:nor/>
                      </m:rPr>
                      <w:rPr>
                        <w:rFonts w:ascii="Cambria Math"/>
                      </w:rPr>
                      <m:t>[</m:t>
                    </m:r>
                    <m:r>
                      <m:rPr>
                        <m:nor/>
                      </m:rPr>
                      <m:t>Current Assets</m:t>
                    </m:r>
                    <m:r>
                      <m:rPr>
                        <m:nor/>
                      </m:rPr>
                      <w:rPr>
                        <w:rFonts w:ascii="Cambria Math"/>
                      </w:rPr>
                      <m:t>]</m:t>
                    </m:r>
                  </m:num>
                  <m:den>
                    <m:r>
                      <m:rPr>
                        <m:nor/>
                      </m:rPr>
                      <w:rPr>
                        <w:rFonts w:ascii="Cambria Math"/>
                      </w:rPr>
                      <m:t>[</m:t>
                    </m:r>
                    <m:r>
                      <m:rPr>
                        <m:nor/>
                      </m:rPr>
                      <m:t>Current Liabilities</m:t>
                    </m:r>
                    <m:r>
                      <m:rPr>
                        <m:nor/>
                      </m:rPr>
                      <w:rPr>
                        <w:rFonts w:ascii="Cambria Math"/>
                      </w:rPr>
                      <m:t>]</m:t>
                    </m:r>
                  </m:den>
                </m:f>
              </m:oMath>
            </m:oMathPara>
          </w:p>
        </w:tc>
        <w:tc>
          <w:tcPr>
            <w:tcW w:w="1350" w:type="dxa"/>
          </w:tcPr>
          <w:p w14:paraId="0C035A0C" w14:textId="4F63573C" w:rsidR="00105A56" w:rsidRPr="00D6605E" w:rsidRDefault="00105A56" w:rsidP="00105A56">
            <w:pPr>
              <w:jc w:val="center"/>
            </w:pPr>
            <w:r w:rsidRPr="00D6605E">
              <w:t>0.57</w:t>
            </w:r>
          </w:p>
        </w:tc>
        <w:tc>
          <w:tcPr>
            <w:tcW w:w="1231" w:type="dxa"/>
          </w:tcPr>
          <w:p w14:paraId="77A229E4" w14:textId="31167FD3" w:rsidR="00105A56" w:rsidRPr="00D6605E" w:rsidRDefault="00105A56" w:rsidP="00105A56">
            <w:pPr>
              <w:jc w:val="center"/>
            </w:pPr>
            <w:r w:rsidRPr="00D6605E">
              <w:t>0.</w:t>
            </w:r>
            <w:r>
              <w:t>49</w:t>
            </w:r>
          </w:p>
        </w:tc>
        <w:tc>
          <w:tcPr>
            <w:tcW w:w="1341" w:type="dxa"/>
          </w:tcPr>
          <w:p w14:paraId="232DFE20" w14:textId="47329220" w:rsidR="00105A56" w:rsidRPr="00D6605E" w:rsidRDefault="00105A56" w:rsidP="00105A56">
            <w:pPr>
              <w:jc w:val="center"/>
            </w:pPr>
            <w:r w:rsidRPr="00D6605E">
              <w:t>0.08</w:t>
            </w:r>
          </w:p>
        </w:tc>
      </w:tr>
    </w:tbl>
    <w:p w14:paraId="0D190D06" w14:textId="25A4D854" w:rsidR="00D6605E" w:rsidRPr="00D6605E" w:rsidRDefault="00D6605E" w:rsidP="00D6605E">
      <w:pPr>
        <w:jc w:val="center"/>
      </w:pPr>
      <w:r w:rsidRPr="00D6605E">
        <w:t>Figure 1</w:t>
      </w:r>
      <w:r w:rsidR="00D8119F">
        <w:t>8</w:t>
      </w:r>
      <w:r w:rsidRPr="00D6605E">
        <w:t>: Trend in Liquidity Analysis (Source: Author)</w:t>
      </w:r>
    </w:p>
    <w:p w14:paraId="5945EF14" w14:textId="4005B773" w:rsidR="00105A56" w:rsidRDefault="00105A56" w:rsidP="00D6605E">
      <w:r w:rsidRPr="00105A56">
        <w:lastRenderedPageBreak/>
        <w:t>As of the year 2021, both Marriott International's current ratio and quick ratio show considerable improvements. Figure 1</w:t>
      </w:r>
      <w:r w:rsidR="00D8119F">
        <w:t>8</w:t>
      </w:r>
      <w:r w:rsidRPr="00105A56">
        <w:t xml:space="preserve"> displays a positive shift in the liquidity ratio, which is indicative of an upward trend in the firm's liquidity.</w:t>
      </w:r>
    </w:p>
    <w:p w14:paraId="6FA8F656" w14:textId="235043CE" w:rsidR="00D6605E" w:rsidRPr="00D6605E" w:rsidRDefault="00D6605E" w:rsidP="00D6605E">
      <w:pPr>
        <w:rPr>
          <w:b/>
          <w:bCs/>
        </w:rPr>
      </w:pPr>
      <w:r w:rsidRPr="00D6605E">
        <w:rPr>
          <w:b/>
          <w:bCs/>
        </w:rPr>
        <w:t>3.3 Efficiency Analysis</w:t>
      </w:r>
    </w:p>
    <w:tbl>
      <w:tblPr>
        <w:tblStyle w:val="TableGrid"/>
        <w:tblW w:w="10309" w:type="dxa"/>
        <w:tblInd w:w="-272" w:type="dxa"/>
        <w:tblCellMar>
          <w:left w:w="58" w:type="dxa"/>
          <w:right w:w="58" w:type="dxa"/>
        </w:tblCellMar>
        <w:tblLook w:val="04A0" w:firstRow="1" w:lastRow="0" w:firstColumn="1" w:lastColumn="0" w:noHBand="0" w:noVBand="1"/>
      </w:tblPr>
      <w:tblGrid>
        <w:gridCol w:w="2157"/>
        <w:gridCol w:w="4230"/>
        <w:gridCol w:w="1350"/>
        <w:gridCol w:w="1231"/>
        <w:gridCol w:w="1341"/>
      </w:tblGrid>
      <w:tr w:rsidR="00D6605E" w:rsidRPr="00D6605E" w14:paraId="3CF795C0" w14:textId="77777777" w:rsidTr="00105A56">
        <w:trPr>
          <w:trHeight w:val="437"/>
        </w:trPr>
        <w:tc>
          <w:tcPr>
            <w:tcW w:w="10309" w:type="dxa"/>
            <w:gridSpan w:val="5"/>
            <w:shd w:val="clear" w:color="auto" w:fill="D9E2F3" w:themeFill="accent1" w:themeFillTint="33"/>
            <w:vAlign w:val="center"/>
          </w:tcPr>
          <w:p w14:paraId="3FFF3741" w14:textId="77777777" w:rsidR="00D6605E" w:rsidRPr="00D6605E" w:rsidRDefault="00D6605E" w:rsidP="00D6605E">
            <w:pPr>
              <w:jc w:val="center"/>
              <w:rPr>
                <w:b/>
                <w:bCs/>
              </w:rPr>
            </w:pPr>
            <w:r w:rsidRPr="00D6605E">
              <w:rPr>
                <w:b/>
                <w:bCs/>
              </w:rPr>
              <w:t>Efficiency Analysis</w:t>
            </w:r>
          </w:p>
        </w:tc>
      </w:tr>
      <w:tr w:rsidR="00D6605E" w:rsidRPr="00D6605E" w14:paraId="4B2F4F88" w14:textId="77777777" w:rsidTr="00105A56">
        <w:trPr>
          <w:trHeight w:val="877"/>
        </w:trPr>
        <w:tc>
          <w:tcPr>
            <w:tcW w:w="2157" w:type="dxa"/>
            <w:shd w:val="clear" w:color="auto" w:fill="FFFFFF" w:themeFill="background1"/>
          </w:tcPr>
          <w:p w14:paraId="0138B820" w14:textId="77777777" w:rsidR="00D6605E" w:rsidRPr="00D6605E" w:rsidRDefault="00D6605E" w:rsidP="00D6605E">
            <w:pPr>
              <w:jc w:val="left"/>
              <w:rPr>
                <w:b/>
                <w:bCs/>
              </w:rPr>
            </w:pPr>
          </w:p>
        </w:tc>
        <w:tc>
          <w:tcPr>
            <w:tcW w:w="4230" w:type="dxa"/>
          </w:tcPr>
          <w:p w14:paraId="77FC6123" w14:textId="77777777" w:rsidR="00D6605E" w:rsidRPr="00D6605E" w:rsidRDefault="00D6605E" w:rsidP="00D6605E">
            <w:pPr>
              <w:jc w:val="center"/>
              <w:rPr>
                <w:rFonts w:eastAsia="Calibri" w:cs="Times New Roman"/>
              </w:rPr>
            </w:pPr>
          </w:p>
        </w:tc>
        <w:tc>
          <w:tcPr>
            <w:tcW w:w="1350" w:type="dxa"/>
          </w:tcPr>
          <w:p w14:paraId="282780CA" w14:textId="71438D51" w:rsidR="00D6605E" w:rsidRPr="00D6605E" w:rsidRDefault="00D6605E" w:rsidP="00D6605E">
            <w:pPr>
              <w:jc w:val="center"/>
            </w:pPr>
            <w:r w:rsidRPr="00D6605E">
              <w:t>202</w:t>
            </w:r>
            <w:r w:rsidR="00105A56">
              <w:t>1</w:t>
            </w:r>
          </w:p>
        </w:tc>
        <w:tc>
          <w:tcPr>
            <w:tcW w:w="1231" w:type="dxa"/>
          </w:tcPr>
          <w:p w14:paraId="0E849B2E" w14:textId="2A4E6FB2" w:rsidR="00D6605E" w:rsidRPr="00D6605E" w:rsidRDefault="00D6605E" w:rsidP="00D6605E">
            <w:pPr>
              <w:jc w:val="center"/>
            </w:pPr>
            <w:r w:rsidRPr="00D6605E">
              <w:t>202</w:t>
            </w:r>
            <w:r w:rsidR="00105A56">
              <w:t>0</w:t>
            </w:r>
          </w:p>
        </w:tc>
        <w:tc>
          <w:tcPr>
            <w:tcW w:w="1341" w:type="dxa"/>
          </w:tcPr>
          <w:p w14:paraId="1041E65E" w14:textId="77777777" w:rsidR="00D6605E" w:rsidRPr="00D6605E" w:rsidRDefault="00D6605E" w:rsidP="00D6605E">
            <w:pPr>
              <w:jc w:val="center"/>
            </w:pPr>
            <w:r w:rsidRPr="00D6605E">
              <w:t>Change</w:t>
            </w:r>
          </w:p>
        </w:tc>
      </w:tr>
      <w:tr w:rsidR="00105A56" w:rsidRPr="00D6605E" w14:paraId="0261673C" w14:textId="77777777" w:rsidTr="00105A56">
        <w:trPr>
          <w:trHeight w:val="877"/>
        </w:trPr>
        <w:tc>
          <w:tcPr>
            <w:tcW w:w="2157" w:type="dxa"/>
            <w:shd w:val="clear" w:color="auto" w:fill="FFFFFF" w:themeFill="background1"/>
          </w:tcPr>
          <w:p w14:paraId="0C9CD1DA" w14:textId="3891B36F" w:rsidR="00105A56" w:rsidRPr="00D6605E" w:rsidRDefault="00105A56" w:rsidP="00105A56">
            <w:pPr>
              <w:jc w:val="left"/>
              <w:rPr>
                <w:b/>
                <w:bCs/>
              </w:rPr>
            </w:pPr>
            <w:r w:rsidRPr="00D6605E">
              <w:rPr>
                <w:b/>
                <w:bCs/>
              </w:rPr>
              <w:t>Days of Sales in Receivables</w:t>
            </w:r>
          </w:p>
        </w:tc>
        <w:tc>
          <w:tcPr>
            <w:tcW w:w="4230" w:type="dxa"/>
          </w:tcPr>
          <w:p w14:paraId="772B53D6" w14:textId="489D6F4F" w:rsidR="00105A56" w:rsidRPr="00D6605E" w:rsidRDefault="00105A56" w:rsidP="00105A56">
            <w:pPr>
              <w:jc w:val="center"/>
              <w:rPr>
                <w:rFonts w:eastAsia="Calibri" w:cs="Times New Roman"/>
              </w:rPr>
            </w:pPr>
            <m:oMathPara>
              <m:oMath>
                <m:r>
                  <m:rPr>
                    <m:nor/>
                  </m:rPr>
                  <w:rPr>
                    <w:rFonts w:cs="Arial"/>
                  </w:rPr>
                  <m:t>365 ÷</m:t>
                </m:r>
                <m:f>
                  <m:fPr>
                    <m:ctrlPr>
                      <w:rPr>
                        <w:rFonts w:ascii="Cambria Math" w:hAnsi="Cambria Math"/>
                        <w:i/>
                      </w:rPr>
                    </m:ctrlPr>
                  </m:fPr>
                  <m:num>
                    <m:r>
                      <m:rPr>
                        <m:nor/>
                      </m:rPr>
                      <w:rPr>
                        <w:rFonts w:ascii="Cambria Math"/>
                      </w:rPr>
                      <m:t>[</m:t>
                    </m:r>
                    <m:r>
                      <m:rPr>
                        <m:nor/>
                      </m:rPr>
                      <m:t>Revenue</m:t>
                    </m:r>
                    <m:r>
                      <m:rPr>
                        <m:nor/>
                      </m:rPr>
                      <w:rPr>
                        <w:rFonts w:ascii="Cambria Math"/>
                      </w:rPr>
                      <m:t>]</m:t>
                    </m:r>
                  </m:num>
                  <m:den>
                    <m:r>
                      <m:rPr>
                        <m:nor/>
                      </m:rPr>
                      <w:rPr>
                        <w:rFonts w:ascii="Cambria Math"/>
                      </w:rPr>
                      <m:t>[</m:t>
                    </m:r>
                    <m:r>
                      <m:rPr>
                        <m:nor/>
                      </m:rPr>
                      <m:t>Receivables</m:t>
                    </m:r>
                    <m:r>
                      <m:rPr>
                        <m:nor/>
                      </m:rPr>
                      <w:rPr>
                        <w:rFonts w:ascii="Cambria Math"/>
                      </w:rPr>
                      <m:t>]</m:t>
                    </m:r>
                  </m:den>
                </m:f>
              </m:oMath>
            </m:oMathPara>
          </w:p>
        </w:tc>
        <w:tc>
          <w:tcPr>
            <w:tcW w:w="1350" w:type="dxa"/>
          </w:tcPr>
          <w:p w14:paraId="543C290F" w14:textId="5AC3F633" w:rsidR="00105A56" w:rsidRPr="00D6605E" w:rsidRDefault="00105A56" w:rsidP="00105A56">
            <w:pPr>
              <w:jc w:val="center"/>
            </w:pPr>
            <w:r w:rsidRPr="00D6605E">
              <w:t>52.21</w:t>
            </w:r>
          </w:p>
        </w:tc>
        <w:tc>
          <w:tcPr>
            <w:tcW w:w="1231" w:type="dxa"/>
          </w:tcPr>
          <w:p w14:paraId="23000914" w14:textId="2AC8EDD4" w:rsidR="00105A56" w:rsidRDefault="00105A56" w:rsidP="00105A56">
            <w:pPr>
              <w:jc w:val="center"/>
            </w:pPr>
            <w:r>
              <w:t>61.05</w:t>
            </w:r>
          </w:p>
        </w:tc>
        <w:tc>
          <w:tcPr>
            <w:tcW w:w="1341" w:type="dxa"/>
          </w:tcPr>
          <w:p w14:paraId="53691BEE" w14:textId="795895AF" w:rsidR="00105A56" w:rsidRPr="00D6605E" w:rsidRDefault="00105A56" w:rsidP="00105A56">
            <w:pPr>
              <w:jc w:val="center"/>
            </w:pPr>
            <w:r w:rsidRPr="00D6605E">
              <w:t>-8.79</w:t>
            </w:r>
          </w:p>
        </w:tc>
      </w:tr>
      <w:tr w:rsidR="00105A56" w:rsidRPr="00D6605E" w14:paraId="6D8ADA9E" w14:textId="77777777" w:rsidTr="00105A56">
        <w:trPr>
          <w:trHeight w:val="777"/>
        </w:trPr>
        <w:tc>
          <w:tcPr>
            <w:tcW w:w="2157" w:type="dxa"/>
            <w:shd w:val="clear" w:color="auto" w:fill="FFFFFF" w:themeFill="background1"/>
          </w:tcPr>
          <w:p w14:paraId="6CE0A134" w14:textId="56735934" w:rsidR="00105A56" w:rsidRPr="00D6605E" w:rsidRDefault="00105A56" w:rsidP="00105A56">
            <w:pPr>
              <w:jc w:val="left"/>
              <w:rPr>
                <w:b/>
                <w:bCs/>
              </w:rPr>
            </w:pPr>
            <w:r w:rsidRPr="00D6605E">
              <w:rPr>
                <w:b/>
                <w:bCs/>
              </w:rPr>
              <w:t>Days of Purchase in Payables</w:t>
            </w:r>
          </w:p>
        </w:tc>
        <w:tc>
          <w:tcPr>
            <w:tcW w:w="4230" w:type="dxa"/>
          </w:tcPr>
          <w:p w14:paraId="009530CB" w14:textId="2231F8D5" w:rsidR="00105A56" w:rsidRPr="00D6605E" w:rsidRDefault="00105A56" w:rsidP="00105A56">
            <w:pPr>
              <w:jc w:val="center"/>
            </w:pPr>
            <m:oMathPara>
              <m:oMath>
                <m:r>
                  <m:rPr>
                    <m:nor/>
                  </m:rPr>
                  <w:rPr>
                    <w:rFonts w:cs="Arial"/>
                  </w:rPr>
                  <m:t>365 ÷</m:t>
                </m:r>
                <m:f>
                  <m:fPr>
                    <m:ctrlPr>
                      <w:rPr>
                        <w:rFonts w:ascii="Cambria Math" w:hAnsi="Cambria Math"/>
                        <w:i/>
                      </w:rPr>
                    </m:ctrlPr>
                  </m:fPr>
                  <m:num>
                    <m:r>
                      <m:rPr>
                        <m:nor/>
                      </m:rPr>
                      <w:rPr>
                        <w:rFonts w:ascii="Cambria Math" w:cs="Arial"/>
                      </w:rPr>
                      <m:t>[</m:t>
                    </m:r>
                    <m:r>
                      <m:rPr>
                        <m:nor/>
                      </m:rPr>
                      <w:rPr>
                        <w:rFonts w:cs="Arial"/>
                      </w:rPr>
                      <m:t>Cost of</m:t>
                    </m:r>
                    <m:r>
                      <m:rPr>
                        <m:nor/>
                      </m:rPr>
                      <w:rPr>
                        <w:rFonts w:ascii="Cambria Math"/>
                      </w:rPr>
                      <m:t xml:space="preserve"> </m:t>
                    </m:r>
                    <m:r>
                      <m:rPr>
                        <m:nor/>
                      </m:rPr>
                      <m:t>Revenue</m:t>
                    </m:r>
                    <m:r>
                      <m:rPr>
                        <m:nor/>
                      </m:rPr>
                      <w:rPr>
                        <w:rFonts w:ascii="Cambria Math"/>
                      </w:rPr>
                      <m:t>]</m:t>
                    </m:r>
                  </m:num>
                  <m:den>
                    <m:r>
                      <m:rPr>
                        <m:nor/>
                      </m:rPr>
                      <w:rPr>
                        <w:rFonts w:ascii="Cambria Math"/>
                      </w:rPr>
                      <m:t>[</m:t>
                    </m:r>
                    <m:r>
                      <m:rPr>
                        <m:nor/>
                      </m:rPr>
                      <m:t>Payables</m:t>
                    </m:r>
                    <m:r>
                      <m:rPr>
                        <m:nor/>
                      </m:rPr>
                      <w:rPr>
                        <w:rFonts w:ascii="Cambria Math"/>
                      </w:rPr>
                      <m:t>]</m:t>
                    </m:r>
                  </m:den>
                </m:f>
              </m:oMath>
            </m:oMathPara>
          </w:p>
        </w:tc>
        <w:tc>
          <w:tcPr>
            <w:tcW w:w="1350" w:type="dxa"/>
          </w:tcPr>
          <w:p w14:paraId="767D9A9C" w14:textId="7223CE28" w:rsidR="00105A56" w:rsidRPr="00D6605E" w:rsidRDefault="00105A56" w:rsidP="00105A56">
            <w:pPr>
              <w:jc w:val="center"/>
            </w:pPr>
            <w:r w:rsidRPr="00D6605E">
              <w:t>23.95</w:t>
            </w:r>
          </w:p>
        </w:tc>
        <w:tc>
          <w:tcPr>
            <w:tcW w:w="1231" w:type="dxa"/>
          </w:tcPr>
          <w:p w14:paraId="4BA13BB9" w14:textId="62A8B902" w:rsidR="00105A56" w:rsidRPr="00D6605E" w:rsidRDefault="00105A56" w:rsidP="00105A56">
            <w:pPr>
              <w:jc w:val="center"/>
            </w:pPr>
            <w:r>
              <w:t>20.51</w:t>
            </w:r>
          </w:p>
        </w:tc>
        <w:tc>
          <w:tcPr>
            <w:tcW w:w="1341" w:type="dxa"/>
          </w:tcPr>
          <w:p w14:paraId="037D008D" w14:textId="7DCE71E4" w:rsidR="00105A56" w:rsidRPr="00D6605E" w:rsidRDefault="00105A56" w:rsidP="00105A56">
            <w:pPr>
              <w:jc w:val="center"/>
            </w:pPr>
            <w:r w:rsidRPr="00D6605E">
              <w:t>3.44</w:t>
            </w:r>
          </w:p>
        </w:tc>
      </w:tr>
      <w:tr w:rsidR="00105A56" w:rsidRPr="00D6605E" w14:paraId="10AB5DBC" w14:textId="77777777" w:rsidTr="00105A56">
        <w:trPr>
          <w:trHeight w:val="777"/>
        </w:trPr>
        <w:tc>
          <w:tcPr>
            <w:tcW w:w="2157" w:type="dxa"/>
            <w:shd w:val="clear" w:color="auto" w:fill="FFFFFF" w:themeFill="background1"/>
          </w:tcPr>
          <w:p w14:paraId="02F1BE7D" w14:textId="580FCF89" w:rsidR="00105A56" w:rsidRPr="00D6605E" w:rsidRDefault="00105A56" w:rsidP="00105A56">
            <w:pPr>
              <w:jc w:val="left"/>
              <w:rPr>
                <w:b/>
                <w:bCs/>
              </w:rPr>
            </w:pPr>
            <w:r w:rsidRPr="00D6605E">
              <w:rPr>
                <w:b/>
                <w:bCs/>
              </w:rPr>
              <w:t>Asset Turnover</w:t>
            </w:r>
          </w:p>
        </w:tc>
        <w:tc>
          <w:tcPr>
            <w:tcW w:w="4230" w:type="dxa"/>
          </w:tcPr>
          <w:p w14:paraId="0F2561DB" w14:textId="7199B054" w:rsidR="00105A56" w:rsidRPr="00D6605E" w:rsidRDefault="00D364A4" w:rsidP="00105A56">
            <w:pPr>
              <w:jc w:val="center"/>
              <w:rPr>
                <w:rFonts w:eastAsia="Calibri" w:cs="Times New Roman"/>
              </w:rPr>
            </w:pPr>
            <m:oMathPara>
              <m:oMath>
                <m:f>
                  <m:fPr>
                    <m:ctrlPr>
                      <w:rPr>
                        <w:rFonts w:ascii="Cambria Math" w:hAnsi="Cambria Math"/>
                        <w:i/>
                      </w:rPr>
                    </m:ctrlPr>
                  </m:fPr>
                  <m:num>
                    <m:r>
                      <m:rPr>
                        <m:nor/>
                      </m:rPr>
                      <w:rPr>
                        <w:rFonts w:ascii="Cambria Math"/>
                      </w:rPr>
                      <m:t>[</m:t>
                    </m:r>
                    <m:r>
                      <m:rPr>
                        <m:nor/>
                      </m:rPr>
                      <m:t>Revenue</m:t>
                    </m:r>
                    <m:r>
                      <m:rPr>
                        <m:nor/>
                      </m:rPr>
                      <w:rPr>
                        <w:rFonts w:ascii="Cambria Math"/>
                      </w:rPr>
                      <m:t>]</m:t>
                    </m:r>
                  </m:num>
                  <m:den>
                    <m:r>
                      <m:rPr>
                        <m:nor/>
                      </m:rPr>
                      <w:rPr>
                        <w:rFonts w:ascii="Cambria Math"/>
                      </w:rPr>
                      <m:t>[</m:t>
                    </m:r>
                    <m:r>
                      <m:rPr>
                        <m:nor/>
                      </m:rPr>
                      <m:t>Total Assets</m:t>
                    </m:r>
                    <m:r>
                      <m:rPr>
                        <m:nor/>
                      </m:rPr>
                      <w:rPr>
                        <w:rFonts w:ascii="Cambria Math"/>
                      </w:rPr>
                      <m:t>]</m:t>
                    </m:r>
                  </m:den>
                </m:f>
              </m:oMath>
            </m:oMathPara>
          </w:p>
        </w:tc>
        <w:tc>
          <w:tcPr>
            <w:tcW w:w="1350" w:type="dxa"/>
          </w:tcPr>
          <w:p w14:paraId="2827DAFD" w14:textId="300E867F" w:rsidR="00105A56" w:rsidRPr="00D6605E" w:rsidRDefault="00105A56" w:rsidP="00105A56">
            <w:pPr>
              <w:jc w:val="center"/>
            </w:pPr>
            <w:r w:rsidRPr="00D6605E">
              <w:t>0.54</w:t>
            </w:r>
          </w:p>
        </w:tc>
        <w:tc>
          <w:tcPr>
            <w:tcW w:w="1231" w:type="dxa"/>
          </w:tcPr>
          <w:p w14:paraId="1C08F0E2" w14:textId="384A72E8" w:rsidR="00105A56" w:rsidRPr="00D6605E" w:rsidRDefault="00105A56" w:rsidP="00105A56">
            <w:pPr>
              <w:jc w:val="center"/>
            </w:pPr>
            <w:r>
              <w:t>0.43</w:t>
            </w:r>
          </w:p>
        </w:tc>
        <w:tc>
          <w:tcPr>
            <w:tcW w:w="1341" w:type="dxa"/>
          </w:tcPr>
          <w:p w14:paraId="1E0DC0D5" w14:textId="1B26EDAC" w:rsidR="00105A56" w:rsidRPr="00D6605E" w:rsidRDefault="00105A56" w:rsidP="00105A56">
            <w:pPr>
              <w:jc w:val="center"/>
            </w:pPr>
            <w:r w:rsidRPr="00D6605E">
              <w:t>0.11</w:t>
            </w:r>
          </w:p>
        </w:tc>
      </w:tr>
    </w:tbl>
    <w:p w14:paraId="13E66057" w14:textId="6EF92F66" w:rsidR="00105A56" w:rsidRDefault="00D6605E" w:rsidP="00105A56">
      <w:pPr>
        <w:jc w:val="center"/>
      </w:pPr>
      <w:r w:rsidRPr="00D6605E">
        <w:t>Figure 1</w:t>
      </w:r>
      <w:r w:rsidR="00D8119F">
        <w:t>9</w:t>
      </w:r>
      <w:r w:rsidRPr="00D6605E">
        <w:t>: Trend in Efficiency Analysis (Source: Author)</w:t>
      </w:r>
    </w:p>
    <w:p w14:paraId="0AC1EE34" w14:textId="50A62C12" w:rsidR="00105A56" w:rsidRDefault="00105A56" w:rsidP="00105A56">
      <w:r w:rsidRPr="00105A56">
        <w:t>This trend in terms of increased productivity is seen in Figure 1</w:t>
      </w:r>
      <w:r w:rsidR="00D8119F">
        <w:t>9</w:t>
      </w:r>
      <w:r w:rsidRPr="00105A56">
        <w:t>. Utilization of assets, management of receivables, and control of payables have all seen progress at Marriott International.</w:t>
      </w:r>
    </w:p>
    <w:p w14:paraId="4A3F5F96" w14:textId="77777777" w:rsidR="00D6605E" w:rsidRPr="00D6605E" w:rsidRDefault="00D6605E" w:rsidP="00AE5D64">
      <w:pPr>
        <w:pStyle w:val="Heading1"/>
      </w:pPr>
      <w:bookmarkStart w:id="35" w:name="_Toc118535073"/>
      <w:bookmarkStart w:id="36" w:name="_Toc118541790"/>
      <w:r w:rsidRPr="00D6605E">
        <w:t>4.0 Importance of Ratio Analysis</w:t>
      </w:r>
      <w:bookmarkEnd w:id="35"/>
      <w:bookmarkEnd w:id="36"/>
    </w:p>
    <w:p w14:paraId="141F3BE2" w14:textId="77777777" w:rsidR="00D8119F" w:rsidRDefault="00D8119F" w:rsidP="00D8119F">
      <w:pPr>
        <w:contextualSpacing/>
      </w:pPr>
      <w:r w:rsidRPr="00D8119F">
        <w:t>As far as global industries go, the hotel industry is right up there among the most cutthroat. Due to the cyclical nature and dependence on economic, social, cultural, and environmental changes, the industry is susceptible to sudden swings in strategy (Al-Wattar et Al., 2019). Therefore, it is crucial for the leading financial analysts in the hotel business to employ ratio analysis to monitor the hotels' development through time. The most significant benefits of ratio analysis include:</w:t>
      </w:r>
    </w:p>
    <w:p w14:paraId="20D607A6" w14:textId="5FB5FF79" w:rsidR="00D8119F" w:rsidRDefault="00D6605E" w:rsidP="00D6605E">
      <w:pPr>
        <w:numPr>
          <w:ilvl w:val="0"/>
          <w:numId w:val="1"/>
        </w:numPr>
        <w:contextualSpacing/>
      </w:pPr>
      <w:r w:rsidRPr="00D6605E">
        <w:rPr>
          <w:b/>
          <w:bCs/>
        </w:rPr>
        <w:t>Planning</w:t>
      </w:r>
      <w:r w:rsidR="00D8119F" w:rsidRPr="00D8119F">
        <w:rPr>
          <w:b/>
          <w:bCs/>
        </w:rPr>
        <w:t xml:space="preserve"> for Management</w:t>
      </w:r>
      <w:r w:rsidRPr="00D6605E">
        <w:rPr>
          <w:b/>
          <w:bCs/>
        </w:rPr>
        <w:t xml:space="preserve">: </w:t>
      </w:r>
      <w:r w:rsidR="00D8119F" w:rsidRPr="00D8119F">
        <w:t>Trend charts are constructed using ratio analysis</w:t>
      </w:r>
      <w:r w:rsidR="00D8119F">
        <w:t xml:space="preserve"> and u</w:t>
      </w:r>
      <w:r w:rsidR="00D8119F" w:rsidRPr="00D8119F">
        <w:t>se these charts to quickly and easily draw comparisons. Our data, for instance, demonstrates that Marriott's profit margin has improved dramatically and rapidly. The findings will help the management team find and execute a winning plan.</w:t>
      </w:r>
    </w:p>
    <w:p w14:paraId="4A998400" w14:textId="77777777" w:rsidR="00D8119F" w:rsidRDefault="00D6605E" w:rsidP="00D6605E">
      <w:pPr>
        <w:numPr>
          <w:ilvl w:val="0"/>
          <w:numId w:val="1"/>
        </w:numPr>
        <w:contextualSpacing/>
      </w:pPr>
      <w:r w:rsidRPr="00D6605E">
        <w:rPr>
          <w:b/>
          <w:bCs/>
        </w:rPr>
        <w:lastRenderedPageBreak/>
        <w:t>True Picture</w:t>
      </w:r>
      <w:r w:rsidR="00D8119F" w:rsidRPr="00D8119F">
        <w:rPr>
          <w:b/>
          <w:bCs/>
        </w:rPr>
        <w:t xml:space="preserve"> of Organization</w:t>
      </w:r>
      <w:r w:rsidRPr="00D6605E">
        <w:rPr>
          <w:b/>
          <w:bCs/>
        </w:rPr>
        <w:t>:</w:t>
      </w:r>
      <w:r w:rsidRPr="00D6605E">
        <w:t xml:space="preserve"> </w:t>
      </w:r>
      <w:r w:rsidR="00D8119F" w:rsidRPr="00D8119F">
        <w:t>Horizontal ratio analysis illustrates percentage-based changes throughout time. As a result, any substantial change may be easily seen, providing opportunities for further investigation.</w:t>
      </w:r>
    </w:p>
    <w:p w14:paraId="766EA6EE" w14:textId="77777777" w:rsidR="00D8119F" w:rsidRDefault="00D6605E" w:rsidP="00D6605E">
      <w:pPr>
        <w:numPr>
          <w:ilvl w:val="0"/>
          <w:numId w:val="1"/>
        </w:numPr>
        <w:contextualSpacing/>
      </w:pPr>
      <w:r w:rsidRPr="00D6605E">
        <w:rPr>
          <w:b/>
          <w:bCs/>
        </w:rPr>
        <w:t>Monitoring</w:t>
      </w:r>
      <w:r w:rsidR="00D8119F" w:rsidRPr="00D8119F">
        <w:rPr>
          <w:b/>
          <w:bCs/>
        </w:rPr>
        <w:t xml:space="preserve"> Constantly</w:t>
      </w:r>
      <w:r w:rsidRPr="00D6605E">
        <w:rPr>
          <w:b/>
          <w:bCs/>
        </w:rPr>
        <w:t>:</w:t>
      </w:r>
      <w:r w:rsidRPr="00D6605E">
        <w:t xml:space="preserve"> </w:t>
      </w:r>
      <w:r w:rsidR="00D8119F" w:rsidRPr="00D8119F">
        <w:t>The ratios are calculated on a yearly basis, and this remains constant. Keeping track of the hotel's past achievements is helpful. Consistently comparing the result to those of other companies and industry averages is very illuminating.</w:t>
      </w:r>
    </w:p>
    <w:p w14:paraId="6D256E8E" w14:textId="0C6B7490" w:rsidR="00D6605E" w:rsidRPr="00D6605E" w:rsidRDefault="00D6605E" w:rsidP="00D6605E">
      <w:pPr>
        <w:numPr>
          <w:ilvl w:val="0"/>
          <w:numId w:val="1"/>
        </w:numPr>
        <w:contextualSpacing/>
      </w:pPr>
      <w:r w:rsidRPr="00D6605E">
        <w:rPr>
          <w:b/>
          <w:bCs/>
        </w:rPr>
        <w:t>Budgeting</w:t>
      </w:r>
      <w:r w:rsidR="00D8119F">
        <w:rPr>
          <w:b/>
          <w:bCs/>
        </w:rPr>
        <w:t xml:space="preserve"> Internally</w:t>
      </w:r>
      <w:r w:rsidRPr="00D6605E">
        <w:rPr>
          <w:b/>
          <w:bCs/>
        </w:rPr>
        <w:t>:</w:t>
      </w:r>
      <w:r w:rsidRPr="00D6605E">
        <w:t xml:space="preserve"> </w:t>
      </w:r>
      <w:r w:rsidR="00D8119F" w:rsidRPr="00D8119F">
        <w:t>An organization's fiscal management may be evaluated with the use of ratios. For instance, if operational costs exceed income, cost cutting may be required.</w:t>
      </w:r>
    </w:p>
    <w:p w14:paraId="500F26EF" w14:textId="2EE15745" w:rsidR="00D6605E" w:rsidRPr="00D6605E" w:rsidRDefault="00D6605E" w:rsidP="00D6605E">
      <w:pPr>
        <w:numPr>
          <w:ilvl w:val="0"/>
          <w:numId w:val="1"/>
        </w:numPr>
        <w:contextualSpacing/>
      </w:pPr>
      <w:r w:rsidRPr="00D6605E">
        <w:rPr>
          <w:b/>
          <w:bCs/>
        </w:rPr>
        <w:t>Efficiency</w:t>
      </w:r>
      <w:r w:rsidR="00D8119F">
        <w:rPr>
          <w:b/>
          <w:bCs/>
        </w:rPr>
        <w:t xml:space="preserve"> Development</w:t>
      </w:r>
      <w:r w:rsidRPr="00D6605E">
        <w:rPr>
          <w:b/>
          <w:bCs/>
        </w:rPr>
        <w:t>:</w:t>
      </w:r>
      <w:r w:rsidRPr="00D6605E">
        <w:t xml:space="preserve"> </w:t>
      </w:r>
      <w:r w:rsidR="00D8119F" w:rsidRPr="00D8119F">
        <w:t>Measures of liquidity and solvency are used to evaluate a company's ability to meet both its current and future financial commitments. Additionally, the asset and liability totals are compared on a continuous basis.</w:t>
      </w:r>
    </w:p>
    <w:p w14:paraId="705587A5" w14:textId="6629F950" w:rsidR="00D6605E" w:rsidRPr="00AE5D64" w:rsidRDefault="00AE5D64" w:rsidP="00AE5D64">
      <w:pPr>
        <w:pStyle w:val="Heading1"/>
      </w:pPr>
      <w:bookmarkStart w:id="37" w:name="_Toc118535074"/>
      <w:bookmarkStart w:id="38" w:name="_Toc118541791"/>
      <w:r w:rsidRPr="00AE5D64">
        <w:t xml:space="preserve">5.0 </w:t>
      </w:r>
      <w:r w:rsidR="00D6605E" w:rsidRPr="00AE5D64">
        <w:t>Limitations of Ratio Analysis</w:t>
      </w:r>
      <w:bookmarkEnd w:id="37"/>
      <w:bookmarkEnd w:id="38"/>
    </w:p>
    <w:p w14:paraId="70C2717B" w14:textId="601A26F7" w:rsidR="00D8119F" w:rsidRDefault="00D8119F" w:rsidP="00D8119F">
      <w:bookmarkStart w:id="39" w:name="_Toc118535075"/>
      <w:r w:rsidRPr="00D8119F">
        <w:t>There are advantages to using ratio analysis, but it does have certain limitations. Analyzing ratios requires a great deal of background knowledge. Reasons in the economy, society, and elsewhere point to the potential for significant shifts in the future (Valaskova et Al., 2018). This implies that it cannot promise anything with absolute certainty. Incorrect ratio calculations might lead to misleading conclusions. Various approaches of bookkeeping are used by businesses. Since this is the case, drawing parallels between them requires an analytical mindset that isn't always at hand, increasing the risk of jumping to the wrong conclusions. It's possible for data to be altered at the source, resulting in erroneous conclusions and predictions.</w:t>
      </w:r>
    </w:p>
    <w:p w14:paraId="73FFBE79" w14:textId="448656F3" w:rsidR="00D6605E" w:rsidRPr="00D6605E" w:rsidRDefault="00D6605E" w:rsidP="00AE5D64">
      <w:pPr>
        <w:pStyle w:val="Heading1"/>
      </w:pPr>
      <w:bookmarkStart w:id="40" w:name="_Toc118541792"/>
      <w:r w:rsidRPr="00D6605E">
        <w:t>6.0 The Necessity of Understanding Ratio Analysis</w:t>
      </w:r>
      <w:bookmarkEnd w:id="39"/>
      <w:bookmarkEnd w:id="40"/>
    </w:p>
    <w:p w14:paraId="3A5E201C" w14:textId="77777777" w:rsidR="00D8119F" w:rsidRDefault="00D8119F" w:rsidP="00D8119F">
      <w:bookmarkStart w:id="41" w:name="_Toc118535076"/>
      <w:r w:rsidRPr="00D8119F">
        <w:t xml:space="preserve">Ratio and trend analysis may be used to foresee potential financial issues in a business and help management prepare for them (Kim, 2018). As one example, the data showed that Marriott places a high premium on equity. They've made the decision, as 2021 winds down, to increase their equity funding from the previous year, 2020. Considerable </w:t>
      </w:r>
      <w:r w:rsidRPr="00D8119F">
        <w:lastRenderedPageBreak/>
        <w:t>information may be gleaned from a company's financials and business practices by using ratio analysis. Changes in industrial activity and trends may be predicted by an analyst in the not-too-distant future. It is possible that professionals may compare their results to those of their colleagues or to statistical data collected in the same area. Every substantial change may be explained away by them. Learning to apply ratio analysis will aid in future planning and gaining support from higher-ups.</w:t>
      </w:r>
    </w:p>
    <w:p w14:paraId="39721F5D" w14:textId="24FDDEEE" w:rsidR="00D6605E" w:rsidRPr="00D6605E" w:rsidRDefault="00D6605E" w:rsidP="00AE5D64">
      <w:pPr>
        <w:pStyle w:val="Heading1"/>
      </w:pPr>
      <w:bookmarkStart w:id="42" w:name="_Toc118541793"/>
      <w:r w:rsidRPr="00D6605E">
        <w:t>07. Conclusion</w:t>
      </w:r>
      <w:bookmarkEnd w:id="41"/>
      <w:bookmarkEnd w:id="42"/>
    </w:p>
    <w:p w14:paraId="698F4F2B" w14:textId="0F7525AA" w:rsidR="00D6605E" w:rsidRDefault="00AE5D64" w:rsidP="00D6605E">
      <w:r w:rsidRPr="00AE5D64">
        <w:t>Recent quarters have seen a surge in the company's profits. In 2021, the statistics indicate a rise in profitability. With a current ratio and quick ratio that point to increased liquidity for Marriott International in 2021. There has been improvement at Marriott International in the areas of asset utilization, receivables management, and payables control. Debt has been paid off, and operating capital requirements are being met via a combination of in-house and external funding options. More money is available to pay interest since the interest coverage ratio is greater. There are advantages to using ratio analysis, but it does have certain limitations</w:t>
      </w:r>
      <w:r>
        <w:t xml:space="preserve">. </w:t>
      </w:r>
      <w:r w:rsidRPr="00AE5D64">
        <w:t>Considerable information may be gleaned from a company's financials and business practices by using ratio analysis.</w:t>
      </w:r>
    </w:p>
    <w:p w14:paraId="51EF2E56" w14:textId="5FD18536" w:rsidR="00AE5D64" w:rsidRDefault="00AE5D64" w:rsidP="00D6605E"/>
    <w:p w14:paraId="03F05F02" w14:textId="377982E7" w:rsidR="00AE5D64" w:rsidRDefault="00AE5D64" w:rsidP="00D6605E"/>
    <w:p w14:paraId="4B9FB414" w14:textId="48CC4D24" w:rsidR="00AE5D64" w:rsidRDefault="00AE5D64" w:rsidP="00D6605E"/>
    <w:p w14:paraId="60B82ACE" w14:textId="144EFAAE" w:rsidR="00AE5D64" w:rsidRDefault="00AE5D64" w:rsidP="00D6605E"/>
    <w:p w14:paraId="34F39085" w14:textId="7EFC17B4" w:rsidR="00AE5D64" w:rsidRDefault="00AE5D64" w:rsidP="00D6605E"/>
    <w:p w14:paraId="282648FB" w14:textId="5FCA90EF" w:rsidR="00AE5D64" w:rsidRDefault="00AE5D64" w:rsidP="00D6605E"/>
    <w:p w14:paraId="79271329" w14:textId="6B171323" w:rsidR="00AE5D64" w:rsidRDefault="00AE5D64" w:rsidP="00D6605E"/>
    <w:p w14:paraId="6F4620AB" w14:textId="7060432B" w:rsidR="00AE5D64" w:rsidRDefault="00AE5D64" w:rsidP="00D6605E"/>
    <w:p w14:paraId="37FDBCFC" w14:textId="1C47ECD6" w:rsidR="00AE5D64" w:rsidRDefault="00AE5D64" w:rsidP="00D6605E"/>
    <w:p w14:paraId="0E5586B1" w14:textId="388A8694" w:rsidR="00AE5D64" w:rsidRDefault="00AE5D64" w:rsidP="00AE5D64">
      <w:pPr>
        <w:pStyle w:val="Heading1"/>
      </w:pPr>
      <w:bookmarkStart w:id="43" w:name="_Toc118541794"/>
      <w:r>
        <w:lastRenderedPageBreak/>
        <w:t>Reference</w:t>
      </w:r>
      <w:bookmarkEnd w:id="43"/>
    </w:p>
    <w:p w14:paraId="62A6F077" w14:textId="0C868350" w:rsidR="00FD2467" w:rsidRDefault="00FD2467" w:rsidP="00AE5D64">
      <w:r w:rsidRPr="00FD2467">
        <w:t>Al-Wattar, Y.M.A., Almagtome, A.H. and Al-Shafeay, K.M. (2019). The role of integrating hotel sustainability reporting practices into an Accounting Information System to enhance Hotel Financial Performance: Evidence from Iraq. African Journal of Hospitality, Tourism and Leisure, 8(5), 1-16.</w:t>
      </w:r>
    </w:p>
    <w:p w14:paraId="1F684E6F" w14:textId="49BF0A85" w:rsidR="00FD2467" w:rsidRDefault="00FD2467" w:rsidP="00AE5D64">
      <w:r w:rsidRPr="00FD2467">
        <w:t>Berk, J., &amp; Demarzo, P. (2020). Corporate finance (5th ed.). Harlow: Pearson Education Limited.</w:t>
      </w:r>
    </w:p>
    <w:p w14:paraId="32193829" w14:textId="77777777" w:rsidR="00AE5D64" w:rsidRDefault="00AE5D64" w:rsidP="00AE5D64">
      <w:r>
        <w:t>Robinson, T.R. (2020). International financial statement analysis. John Wiley &amp; Sons.</w:t>
      </w:r>
    </w:p>
    <w:p w14:paraId="0C8C47FA" w14:textId="77777777" w:rsidR="00AE5D64" w:rsidRDefault="00AE5D64" w:rsidP="00AE5D64">
      <w:r>
        <w:t>Marriott. (2019). About Marriott International | Corporate Information. Retrieved from Marriott.com website: https://www.marriott.com/marriott/aboutmarriott.mi</w:t>
      </w:r>
    </w:p>
    <w:p w14:paraId="7CB1F571" w14:textId="77777777" w:rsidR="00AE5D64" w:rsidRDefault="00AE5D64" w:rsidP="00AE5D64">
      <w:r>
        <w:t>Brigham, E. F., &amp; Houston, J. F. (2012). Fundamentals of financial management: study guide. Mason, Ohio: South-Western Cengage Learning.</w:t>
      </w:r>
    </w:p>
    <w:p w14:paraId="5221F606" w14:textId="77777777" w:rsidR="00AE5D64" w:rsidRDefault="00AE5D64" w:rsidP="00AE5D64">
      <w:r>
        <w:t>Brigham, E. F., &amp; Ehrhardt, M. C. (2020). Financial Management: Theory &amp; Practice. Boston, MA: Cengage.</w:t>
      </w:r>
    </w:p>
    <w:p w14:paraId="7BE81553" w14:textId="023CA6C2" w:rsidR="00AE5D64" w:rsidRDefault="00AE5D64" w:rsidP="00AE5D64">
      <w:r>
        <w:t>Beers, B. (2019). How Is Asset Turnover Calculated? Retrieved from Investopedia website: https://www.investopedia.com/ask/answers/032415/how-asset-turnover-calculated.asp</w:t>
      </w:r>
      <w:r w:rsidR="00FD2467">
        <w:t>.</w:t>
      </w:r>
    </w:p>
    <w:p w14:paraId="0AAB09F4" w14:textId="6A31FEBB" w:rsidR="00FD2467" w:rsidRDefault="00FD2467" w:rsidP="00AE5D64">
      <w:r w:rsidRPr="00FD2467">
        <w:t>Kim, S.Y. (2018). Predicting hospitality financial distress with ensemble models: the case of US hotels, restaurants, and amusement and recreation. Service Business, 12(3), 483-503.</w:t>
      </w:r>
    </w:p>
    <w:p w14:paraId="1187067E" w14:textId="77777777" w:rsidR="00AE5D64" w:rsidRDefault="00AE5D64" w:rsidP="00AE5D64">
      <w:r>
        <w:t>Titman, S., Martin, T., Keown, A. J., &amp; Martin, J. D. (2018). Financial management : principles and applications. Melbourne, Vic: Pearson Australia.</w:t>
      </w:r>
    </w:p>
    <w:p w14:paraId="14BA21EC" w14:textId="2AC37882" w:rsidR="00AE5D64" w:rsidRDefault="00AE5D64" w:rsidP="00AE5D64">
      <w:r>
        <w:t>Vaidya, D. (2019, August 12). Return on Capital Employed (ROCE) | Top Examples | Formula. Retrieved from Wallstreetmojo.com website: https://www.wallstreetmojo.com/return-on-capital-employed-roce/</w:t>
      </w:r>
    </w:p>
    <w:p w14:paraId="27F2D072" w14:textId="52354162" w:rsidR="00FD2467" w:rsidRDefault="00FD2467" w:rsidP="00AE5D64">
      <w:r w:rsidRPr="00FD2467">
        <w:lastRenderedPageBreak/>
        <w:t>Vaidya, D. (2019). Dheeraj Vaidya. [online] Learn Investment Banking: Financial Modeling Training Courses Online. Available at: https://www.wallstreetmojo.com/ratio-analysis/.</w:t>
      </w:r>
    </w:p>
    <w:p w14:paraId="6DF3BAE4" w14:textId="77777777" w:rsidR="00AE5D64" w:rsidRDefault="00AE5D64" w:rsidP="00AE5D64">
      <w:r>
        <w:t>Valaskova, K., Kliestik, T. and Kovacova, M. (2018). Management of financial risks in Slovak enterprises using regression analysis. Oeconomia Copernicana, 9(1), 105-121.</w:t>
      </w:r>
    </w:p>
    <w:p w14:paraId="39DD02BB" w14:textId="77777777" w:rsidR="00D6605E" w:rsidRPr="00D6605E" w:rsidRDefault="00D6605E" w:rsidP="00D6605E"/>
    <w:p w14:paraId="43F4A035" w14:textId="77777777" w:rsidR="004941DE" w:rsidRDefault="004941DE"/>
    <w:sectPr w:rsidR="004941DE" w:rsidSect="00AE5D64">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662C19" w14:textId="77777777" w:rsidR="00013167" w:rsidRDefault="00013167" w:rsidP="00AE5D64">
      <w:pPr>
        <w:spacing w:after="0" w:line="240" w:lineRule="auto"/>
      </w:pPr>
      <w:r>
        <w:separator/>
      </w:r>
    </w:p>
  </w:endnote>
  <w:endnote w:type="continuationSeparator" w:id="0">
    <w:p w14:paraId="6F629719" w14:textId="77777777" w:rsidR="00013167" w:rsidRDefault="00013167" w:rsidP="00AE5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Cambria Math">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AA03CF" w14:textId="725C9A3E" w:rsidR="00AE5D64" w:rsidRDefault="00AE5D64">
    <w:pPr>
      <w:pStyle w:val="Footer"/>
      <w:jc w:val="right"/>
    </w:pPr>
  </w:p>
  <w:p w14:paraId="21ED094B" w14:textId="77777777" w:rsidR="00EB7EF9" w:rsidRDefault="00D364A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noProof w:val="0"/>
      </w:rPr>
      <w:id w:val="-2002341895"/>
      <w:docPartObj>
        <w:docPartGallery w:val="Page Numbers (Bottom of Page)"/>
        <w:docPartUnique/>
      </w:docPartObj>
    </w:sdtPr>
    <w:sdtEndPr>
      <w:rPr>
        <w:noProof/>
      </w:rPr>
    </w:sdtEndPr>
    <w:sdtContent>
      <w:p w14:paraId="1C81F3F8" w14:textId="77777777" w:rsidR="00AE5D64" w:rsidRDefault="00AE5D64">
        <w:pPr>
          <w:pStyle w:val="Footer"/>
          <w:jc w:val="right"/>
        </w:pPr>
        <w:r>
          <w:rPr>
            <w:noProof w:val="0"/>
          </w:rPr>
          <w:fldChar w:fldCharType="begin"/>
        </w:r>
        <w:r>
          <w:instrText xml:space="preserve"> PAGE   \* MERGEFORMAT </w:instrText>
        </w:r>
        <w:r>
          <w:rPr>
            <w:noProof w:val="0"/>
          </w:rPr>
          <w:fldChar w:fldCharType="separate"/>
        </w:r>
        <w:r w:rsidR="00D364A4">
          <w:t>1</w:t>
        </w:r>
        <w:r>
          <w:fldChar w:fldCharType="end"/>
        </w:r>
      </w:p>
    </w:sdtContent>
  </w:sdt>
  <w:p w14:paraId="40793953" w14:textId="77777777" w:rsidR="00AE5D64" w:rsidRDefault="00AE5D6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97FED0" w14:textId="77777777" w:rsidR="00013167" w:rsidRDefault="00013167" w:rsidP="00AE5D64">
      <w:pPr>
        <w:spacing w:after="0" w:line="240" w:lineRule="auto"/>
      </w:pPr>
      <w:r>
        <w:separator/>
      </w:r>
    </w:p>
  </w:footnote>
  <w:footnote w:type="continuationSeparator" w:id="0">
    <w:p w14:paraId="4991D622" w14:textId="77777777" w:rsidR="00013167" w:rsidRDefault="00013167" w:rsidP="00AE5D6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874776"/>
    <w:multiLevelType w:val="multilevel"/>
    <w:tmpl w:val="8B3CE33E"/>
    <w:lvl w:ilvl="0">
      <w:start w:val="5"/>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nsid w:val="225145DD"/>
    <w:multiLevelType w:val="hybridMultilevel"/>
    <w:tmpl w:val="757A5D8A"/>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2">
    <w:nsid w:val="2FDC34A9"/>
    <w:multiLevelType w:val="hybridMultilevel"/>
    <w:tmpl w:val="001C8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5AF389F"/>
    <w:multiLevelType w:val="multilevel"/>
    <w:tmpl w:val="CF881C12"/>
    <w:lvl w:ilvl="0">
      <w:start w:val="6"/>
      <w:numFmt w:val="decimal"/>
      <w:lvlText w:val="%1.0"/>
      <w:lvlJc w:val="left"/>
      <w:pPr>
        <w:ind w:left="1104" w:hanging="720"/>
      </w:pPr>
      <w:rPr>
        <w:rFonts w:hint="default"/>
      </w:rPr>
    </w:lvl>
    <w:lvl w:ilvl="1">
      <w:start w:val="1"/>
      <w:numFmt w:val="decimal"/>
      <w:lvlText w:val="%1.%2"/>
      <w:lvlJc w:val="left"/>
      <w:pPr>
        <w:ind w:left="1824" w:hanging="720"/>
      </w:pPr>
      <w:rPr>
        <w:rFonts w:hint="default"/>
      </w:rPr>
    </w:lvl>
    <w:lvl w:ilvl="2">
      <w:start w:val="1"/>
      <w:numFmt w:val="decimal"/>
      <w:lvlText w:val="%1.%2.%3"/>
      <w:lvlJc w:val="left"/>
      <w:pPr>
        <w:ind w:left="2544" w:hanging="720"/>
      </w:pPr>
      <w:rPr>
        <w:rFonts w:hint="default"/>
      </w:rPr>
    </w:lvl>
    <w:lvl w:ilvl="3">
      <w:start w:val="1"/>
      <w:numFmt w:val="decimal"/>
      <w:lvlText w:val="%1.%2.%3.%4"/>
      <w:lvlJc w:val="left"/>
      <w:pPr>
        <w:ind w:left="3624" w:hanging="1080"/>
      </w:pPr>
      <w:rPr>
        <w:rFonts w:hint="default"/>
      </w:rPr>
    </w:lvl>
    <w:lvl w:ilvl="4">
      <w:start w:val="1"/>
      <w:numFmt w:val="decimal"/>
      <w:lvlText w:val="%1.%2.%3.%4.%5"/>
      <w:lvlJc w:val="left"/>
      <w:pPr>
        <w:ind w:left="4704" w:hanging="1440"/>
      </w:pPr>
      <w:rPr>
        <w:rFonts w:hint="default"/>
      </w:rPr>
    </w:lvl>
    <w:lvl w:ilvl="5">
      <w:start w:val="1"/>
      <w:numFmt w:val="decimal"/>
      <w:lvlText w:val="%1.%2.%3.%4.%5.%6"/>
      <w:lvlJc w:val="left"/>
      <w:pPr>
        <w:ind w:left="5424" w:hanging="1440"/>
      </w:pPr>
      <w:rPr>
        <w:rFonts w:hint="default"/>
      </w:rPr>
    </w:lvl>
    <w:lvl w:ilvl="6">
      <w:start w:val="1"/>
      <w:numFmt w:val="decimal"/>
      <w:lvlText w:val="%1.%2.%3.%4.%5.%6.%7"/>
      <w:lvlJc w:val="left"/>
      <w:pPr>
        <w:ind w:left="6504" w:hanging="1800"/>
      </w:pPr>
      <w:rPr>
        <w:rFonts w:hint="default"/>
      </w:rPr>
    </w:lvl>
    <w:lvl w:ilvl="7">
      <w:start w:val="1"/>
      <w:numFmt w:val="decimal"/>
      <w:lvlText w:val="%1.%2.%3.%4.%5.%6.%7.%8"/>
      <w:lvlJc w:val="left"/>
      <w:pPr>
        <w:ind w:left="7224" w:hanging="1800"/>
      </w:pPr>
      <w:rPr>
        <w:rFonts w:hint="default"/>
      </w:rPr>
    </w:lvl>
    <w:lvl w:ilvl="8">
      <w:start w:val="1"/>
      <w:numFmt w:val="decimal"/>
      <w:lvlText w:val="%1.%2.%3.%4.%5.%6.%7.%8.%9"/>
      <w:lvlJc w:val="left"/>
      <w:pPr>
        <w:ind w:left="8304" w:hanging="2160"/>
      </w:pPr>
      <w:rPr>
        <w:rFonts w:hint="default"/>
      </w:rPr>
    </w:lvl>
  </w:abstractNum>
  <w:abstractNum w:abstractNumId="4">
    <w:nsid w:val="3818241F"/>
    <w:multiLevelType w:val="multilevel"/>
    <w:tmpl w:val="F81E1766"/>
    <w:lvl w:ilvl="0">
      <w:start w:val="6"/>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nsid w:val="3E4B1663"/>
    <w:multiLevelType w:val="hybridMultilevel"/>
    <w:tmpl w:val="227EA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5EFC"/>
    <w:rsid w:val="00013167"/>
    <w:rsid w:val="00066A96"/>
    <w:rsid w:val="000B4E6D"/>
    <w:rsid w:val="00105A56"/>
    <w:rsid w:val="001D55BC"/>
    <w:rsid w:val="00246165"/>
    <w:rsid w:val="002C2455"/>
    <w:rsid w:val="00332DF5"/>
    <w:rsid w:val="003555EA"/>
    <w:rsid w:val="00355EB8"/>
    <w:rsid w:val="004941DE"/>
    <w:rsid w:val="005571E6"/>
    <w:rsid w:val="00586A1B"/>
    <w:rsid w:val="007259AC"/>
    <w:rsid w:val="00900AA5"/>
    <w:rsid w:val="0094326B"/>
    <w:rsid w:val="00960356"/>
    <w:rsid w:val="00AE5D64"/>
    <w:rsid w:val="00B25EFC"/>
    <w:rsid w:val="00B876F9"/>
    <w:rsid w:val="00C40434"/>
    <w:rsid w:val="00C717BE"/>
    <w:rsid w:val="00D364A4"/>
    <w:rsid w:val="00D6605E"/>
    <w:rsid w:val="00D8119F"/>
    <w:rsid w:val="00FD246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AC8D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434"/>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B876F9"/>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355EB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586A1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6F9"/>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355EB8"/>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586A1B"/>
    <w:rPr>
      <w:rFonts w:ascii="Arial" w:eastAsiaTheme="majorEastAsia" w:hAnsi="Arial" w:cstheme="majorBidi"/>
      <w:i/>
      <w:noProof/>
      <w:sz w:val="24"/>
      <w:szCs w:val="24"/>
    </w:rPr>
  </w:style>
  <w:style w:type="numbering" w:customStyle="1" w:styleId="NoList1">
    <w:name w:val="No List1"/>
    <w:next w:val="NoList"/>
    <w:uiPriority w:val="99"/>
    <w:semiHidden/>
    <w:unhideWhenUsed/>
    <w:rsid w:val="00D6605E"/>
  </w:style>
  <w:style w:type="table" w:styleId="TableGrid">
    <w:name w:val="Table Grid"/>
    <w:basedOn w:val="TableNormal"/>
    <w:uiPriority w:val="39"/>
    <w:rsid w:val="00D6605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6605E"/>
    <w:pPr>
      <w:ind w:left="720"/>
      <w:contextualSpacing/>
    </w:pPr>
  </w:style>
  <w:style w:type="paragraph" w:styleId="TOCHeading">
    <w:name w:val="TOC Heading"/>
    <w:basedOn w:val="Heading1"/>
    <w:next w:val="Normal"/>
    <w:uiPriority w:val="39"/>
    <w:unhideWhenUsed/>
    <w:qFormat/>
    <w:rsid w:val="00D6605E"/>
    <w:pPr>
      <w:spacing w:line="259" w:lineRule="auto"/>
      <w:jc w:val="left"/>
      <w:outlineLvl w:val="9"/>
    </w:pPr>
    <w:rPr>
      <w:rFonts w:asciiTheme="majorHAnsi" w:hAnsiTheme="majorHAnsi"/>
      <w:b w:val="0"/>
      <w:noProof w:val="0"/>
      <w:sz w:val="32"/>
    </w:rPr>
  </w:style>
  <w:style w:type="paragraph" w:styleId="TOC1">
    <w:name w:val="toc 1"/>
    <w:basedOn w:val="Normal"/>
    <w:next w:val="Normal"/>
    <w:autoRedefine/>
    <w:uiPriority w:val="39"/>
    <w:unhideWhenUsed/>
    <w:rsid w:val="00D6605E"/>
    <w:pPr>
      <w:spacing w:after="100"/>
    </w:pPr>
  </w:style>
  <w:style w:type="paragraph" w:styleId="TOC2">
    <w:name w:val="toc 2"/>
    <w:basedOn w:val="Normal"/>
    <w:next w:val="Normal"/>
    <w:autoRedefine/>
    <w:uiPriority w:val="39"/>
    <w:unhideWhenUsed/>
    <w:rsid w:val="00D6605E"/>
    <w:pPr>
      <w:spacing w:after="100"/>
      <w:ind w:left="240"/>
    </w:pPr>
  </w:style>
  <w:style w:type="character" w:styleId="Hyperlink">
    <w:name w:val="Hyperlink"/>
    <w:basedOn w:val="DefaultParagraphFont"/>
    <w:uiPriority w:val="99"/>
    <w:unhideWhenUsed/>
    <w:rsid w:val="00D6605E"/>
    <w:rPr>
      <w:color w:val="0563C1" w:themeColor="hyperlink"/>
      <w:u w:val="single"/>
    </w:rPr>
  </w:style>
  <w:style w:type="paragraph" w:styleId="Header">
    <w:name w:val="header"/>
    <w:basedOn w:val="Normal"/>
    <w:link w:val="HeaderChar"/>
    <w:uiPriority w:val="99"/>
    <w:unhideWhenUsed/>
    <w:rsid w:val="00D6605E"/>
    <w:pPr>
      <w:tabs>
        <w:tab w:val="center" w:pos="4680"/>
        <w:tab w:val="right" w:pos="9360"/>
      </w:tabs>
      <w:spacing w:after="0"/>
    </w:pPr>
  </w:style>
  <w:style w:type="character" w:customStyle="1" w:styleId="HeaderChar">
    <w:name w:val="Header Char"/>
    <w:basedOn w:val="DefaultParagraphFont"/>
    <w:link w:val="Header"/>
    <w:uiPriority w:val="99"/>
    <w:rsid w:val="00D6605E"/>
    <w:rPr>
      <w:rFonts w:ascii="Arial" w:hAnsi="Arial"/>
      <w:noProof/>
      <w:sz w:val="24"/>
    </w:rPr>
  </w:style>
  <w:style w:type="paragraph" w:styleId="Footer">
    <w:name w:val="footer"/>
    <w:basedOn w:val="Normal"/>
    <w:link w:val="FooterChar"/>
    <w:uiPriority w:val="99"/>
    <w:unhideWhenUsed/>
    <w:rsid w:val="00D6605E"/>
    <w:pPr>
      <w:tabs>
        <w:tab w:val="center" w:pos="4680"/>
        <w:tab w:val="right" w:pos="9360"/>
      </w:tabs>
      <w:spacing w:after="0"/>
    </w:pPr>
  </w:style>
  <w:style w:type="character" w:customStyle="1" w:styleId="FooterChar">
    <w:name w:val="Footer Char"/>
    <w:basedOn w:val="DefaultParagraphFont"/>
    <w:link w:val="Footer"/>
    <w:uiPriority w:val="99"/>
    <w:rsid w:val="00D6605E"/>
    <w:rPr>
      <w:rFonts w:ascii="Arial" w:hAnsi="Arial"/>
      <w:noProof/>
      <w:sz w:val="24"/>
    </w:rPr>
  </w:style>
  <w:style w:type="character" w:customStyle="1" w:styleId="UnresolvedMention">
    <w:name w:val="Unresolved Mention"/>
    <w:basedOn w:val="DefaultParagraphFont"/>
    <w:uiPriority w:val="99"/>
    <w:semiHidden/>
    <w:unhideWhenUsed/>
    <w:rsid w:val="00FD2467"/>
    <w:rPr>
      <w:color w:val="605E5C"/>
      <w:shd w:val="clear" w:color="auto" w:fill="E1DFDD"/>
    </w:rPr>
  </w:style>
  <w:style w:type="paragraph" w:styleId="BalloonText">
    <w:name w:val="Balloon Text"/>
    <w:basedOn w:val="Normal"/>
    <w:link w:val="BalloonTextChar"/>
    <w:uiPriority w:val="99"/>
    <w:semiHidden/>
    <w:unhideWhenUsed/>
    <w:rsid w:val="001D55B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D55BC"/>
    <w:rPr>
      <w:rFonts w:ascii="Lucida Grande" w:hAnsi="Lucida Grande" w:cs="Lucida Grande"/>
      <w:noProof/>
      <w:sz w:val="18"/>
      <w:szCs w:val="18"/>
    </w:rPr>
  </w:style>
  <w:style w:type="paragraph" w:styleId="NoSpacing">
    <w:name w:val="No Spacing"/>
    <w:uiPriority w:val="1"/>
    <w:qFormat/>
    <w:rsid w:val="001D55BC"/>
    <w:pPr>
      <w:spacing w:after="0" w:line="240" w:lineRule="auto"/>
      <w:jc w:val="both"/>
    </w:pPr>
    <w:rPr>
      <w:rFonts w:ascii="Arial" w:hAnsi="Arial"/>
      <w:noProof/>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434"/>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B876F9"/>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355EB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586A1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6F9"/>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355EB8"/>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586A1B"/>
    <w:rPr>
      <w:rFonts w:ascii="Arial" w:eastAsiaTheme="majorEastAsia" w:hAnsi="Arial" w:cstheme="majorBidi"/>
      <w:i/>
      <w:noProof/>
      <w:sz w:val="24"/>
      <w:szCs w:val="24"/>
    </w:rPr>
  </w:style>
  <w:style w:type="numbering" w:customStyle="1" w:styleId="NoList1">
    <w:name w:val="No List1"/>
    <w:next w:val="NoList"/>
    <w:uiPriority w:val="99"/>
    <w:semiHidden/>
    <w:unhideWhenUsed/>
    <w:rsid w:val="00D6605E"/>
  </w:style>
  <w:style w:type="table" w:styleId="TableGrid">
    <w:name w:val="Table Grid"/>
    <w:basedOn w:val="TableNormal"/>
    <w:uiPriority w:val="39"/>
    <w:rsid w:val="00D6605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6605E"/>
    <w:pPr>
      <w:ind w:left="720"/>
      <w:contextualSpacing/>
    </w:pPr>
  </w:style>
  <w:style w:type="paragraph" w:styleId="TOCHeading">
    <w:name w:val="TOC Heading"/>
    <w:basedOn w:val="Heading1"/>
    <w:next w:val="Normal"/>
    <w:uiPriority w:val="39"/>
    <w:unhideWhenUsed/>
    <w:qFormat/>
    <w:rsid w:val="00D6605E"/>
    <w:pPr>
      <w:spacing w:line="259" w:lineRule="auto"/>
      <w:jc w:val="left"/>
      <w:outlineLvl w:val="9"/>
    </w:pPr>
    <w:rPr>
      <w:rFonts w:asciiTheme="majorHAnsi" w:hAnsiTheme="majorHAnsi"/>
      <w:b w:val="0"/>
      <w:noProof w:val="0"/>
      <w:sz w:val="32"/>
    </w:rPr>
  </w:style>
  <w:style w:type="paragraph" w:styleId="TOC1">
    <w:name w:val="toc 1"/>
    <w:basedOn w:val="Normal"/>
    <w:next w:val="Normal"/>
    <w:autoRedefine/>
    <w:uiPriority w:val="39"/>
    <w:unhideWhenUsed/>
    <w:rsid w:val="00D6605E"/>
    <w:pPr>
      <w:spacing w:after="100"/>
    </w:pPr>
  </w:style>
  <w:style w:type="paragraph" w:styleId="TOC2">
    <w:name w:val="toc 2"/>
    <w:basedOn w:val="Normal"/>
    <w:next w:val="Normal"/>
    <w:autoRedefine/>
    <w:uiPriority w:val="39"/>
    <w:unhideWhenUsed/>
    <w:rsid w:val="00D6605E"/>
    <w:pPr>
      <w:spacing w:after="100"/>
      <w:ind w:left="240"/>
    </w:pPr>
  </w:style>
  <w:style w:type="character" w:styleId="Hyperlink">
    <w:name w:val="Hyperlink"/>
    <w:basedOn w:val="DefaultParagraphFont"/>
    <w:uiPriority w:val="99"/>
    <w:unhideWhenUsed/>
    <w:rsid w:val="00D6605E"/>
    <w:rPr>
      <w:color w:val="0563C1" w:themeColor="hyperlink"/>
      <w:u w:val="single"/>
    </w:rPr>
  </w:style>
  <w:style w:type="paragraph" w:styleId="Header">
    <w:name w:val="header"/>
    <w:basedOn w:val="Normal"/>
    <w:link w:val="HeaderChar"/>
    <w:uiPriority w:val="99"/>
    <w:unhideWhenUsed/>
    <w:rsid w:val="00D6605E"/>
    <w:pPr>
      <w:tabs>
        <w:tab w:val="center" w:pos="4680"/>
        <w:tab w:val="right" w:pos="9360"/>
      </w:tabs>
      <w:spacing w:after="0"/>
    </w:pPr>
  </w:style>
  <w:style w:type="character" w:customStyle="1" w:styleId="HeaderChar">
    <w:name w:val="Header Char"/>
    <w:basedOn w:val="DefaultParagraphFont"/>
    <w:link w:val="Header"/>
    <w:uiPriority w:val="99"/>
    <w:rsid w:val="00D6605E"/>
    <w:rPr>
      <w:rFonts w:ascii="Arial" w:hAnsi="Arial"/>
      <w:noProof/>
      <w:sz w:val="24"/>
    </w:rPr>
  </w:style>
  <w:style w:type="paragraph" w:styleId="Footer">
    <w:name w:val="footer"/>
    <w:basedOn w:val="Normal"/>
    <w:link w:val="FooterChar"/>
    <w:uiPriority w:val="99"/>
    <w:unhideWhenUsed/>
    <w:rsid w:val="00D6605E"/>
    <w:pPr>
      <w:tabs>
        <w:tab w:val="center" w:pos="4680"/>
        <w:tab w:val="right" w:pos="9360"/>
      </w:tabs>
      <w:spacing w:after="0"/>
    </w:pPr>
  </w:style>
  <w:style w:type="character" w:customStyle="1" w:styleId="FooterChar">
    <w:name w:val="Footer Char"/>
    <w:basedOn w:val="DefaultParagraphFont"/>
    <w:link w:val="Footer"/>
    <w:uiPriority w:val="99"/>
    <w:rsid w:val="00D6605E"/>
    <w:rPr>
      <w:rFonts w:ascii="Arial" w:hAnsi="Arial"/>
      <w:noProof/>
      <w:sz w:val="24"/>
    </w:rPr>
  </w:style>
  <w:style w:type="character" w:customStyle="1" w:styleId="UnresolvedMention">
    <w:name w:val="Unresolved Mention"/>
    <w:basedOn w:val="DefaultParagraphFont"/>
    <w:uiPriority w:val="99"/>
    <w:semiHidden/>
    <w:unhideWhenUsed/>
    <w:rsid w:val="00FD2467"/>
    <w:rPr>
      <w:color w:val="605E5C"/>
      <w:shd w:val="clear" w:color="auto" w:fill="E1DFDD"/>
    </w:rPr>
  </w:style>
  <w:style w:type="paragraph" w:styleId="BalloonText">
    <w:name w:val="Balloon Text"/>
    <w:basedOn w:val="Normal"/>
    <w:link w:val="BalloonTextChar"/>
    <w:uiPriority w:val="99"/>
    <w:semiHidden/>
    <w:unhideWhenUsed/>
    <w:rsid w:val="001D55B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D55BC"/>
    <w:rPr>
      <w:rFonts w:ascii="Lucida Grande" w:hAnsi="Lucida Grande" w:cs="Lucida Grande"/>
      <w:noProof/>
      <w:sz w:val="18"/>
      <w:szCs w:val="18"/>
    </w:rPr>
  </w:style>
  <w:style w:type="paragraph" w:styleId="NoSpacing">
    <w:name w:val="No Spacing"/>
    <w:uiPriority w:val="1"/>
    <w:qFormat/>
    <w:rsid w:val="001D55BC"/>
    <w:pPr>
      <w:spacing w:after="0" w:line="240" w:lineRule="auto"/>
      <w:jc w:val="both"/>
    </w:pPr>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33D1D73-D1A5-4CCD-A95D-38D75A3E5E0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FDE54-EEDB-BF44-AA4D-06B1B2BDD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3167</Words>
  <Characters>18055</Characters>
  <Application>Microsoft Macintosh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mdrealmiah23@gmail.com</dc:creator>
  <cp:keywords/>
  <dc:description/>
  <cp:lastModifiedBy>Forhad Hossain</cp:lastModifiedBy>
  <cp:revision>2</cp:revision>
  <dcterms:created xsi:type="dcterms:W3CDTF">2022-12-06T12:52:00Z</dcterms:created>
  <dcterms:modified xsi:type="dcterms:W3CDTF">2022-12-06T12:52:00Z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d5aa6e0c0ad05fad97c109bf3eb61441fc6558f169cd7439dffd5de11ba38424</vt:lpwstr>
  </property>
</Properties>
</file>