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19942" w14:textId="77777777" w:rsidR="004E367E" w:rsidRDefault="004E367E" w:rsidP="004E367E">
      <w:pPr>
        <w:spacing w:line="360" w:lineRule="auto"/>
        <w:jc w:val="center"/>
        <w:rPr>
          <w:rFonts w:ascii="Arial" w:hAnsi="Arial" w:cs="Arial"/>
          <w:b/>
          <w:bCs/>
        </w:rPr>
      </w:pPr>
    </w:p>
    <w:p w14:paraId="2F7649D9" w14:textId="77777777" w:rsidR="004E367E" w:rsidRDefault="004E367E" w:rsidP="004E367E">
      <w:pPr>
        <w:spacing w:line="360" w:lineRule="auto"/>
        <w:jc w:val="center"/>
        <w:rPr>
          <w:rFonts w:ascii="Arial" w:hAnsi="Arial" w:cs="Arial"/>
          <w:b/>
          <w:bCs/>
        </w:rPr>
      </w:pPr>
    </w:p>
    <w:p w14:paraId="2FB75359" w14:textId="7D206870" w:rsidR="00B57DED" w:rsidRDefault="002A32C7" w:rsidP="00446E9F">
      <w:pPr>
        <w:spacing w:line="360" w:lineRule="auto"/>
        <w:jc w:val="center"/>
        <w:rPr>
          <w:rFonts w:ascii="Arial" w:hAnsi="Arial" w:cs="Arial"/>
          <w:b/>
          <w:bCs/>
        </w:rPr>
      </w:pPr>
      <w:r>
        <w:rPr>
          <w:noProof/>
        </w:rPr>
        <w:drawing>
          <wp:inline distT="0" distB="0" distL="0" distR="0" wp14:anchorId="04706B96" wp14:editId="67DC1595">
            <wp:extent cx="2139950" cy="2139950"/>
            <wp:effectExtent l="0" t="0" r="0" b="0"/>
            <wp:docPr id="1" name="Picture 1" descr="UWTSD Birmingham (@uwtsd_birmingham) • Instagram photos and videos">
              <a:extLst xmlns:a="http://schemas.openxmlformats.org/drawingml/2006/main">
                <a:ext uri="{FF2B5EF4-FFF2-40B4-BE49-F238E27FC236}">
                  <a16:creationId xmlns:a16="http://schemas.microsoft.com/office/drawing/2014/main" id="{BAF8783F-E017-4553-A467-3EAC5FC04E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uwtsd_birmingham) • Instagram photos and video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noFill/>
                    </a:ln>
                  </pic:spPr>
                </pic:pic>
              </a:graphicData>
            </a:graphic>
          </wp:inline>
        </w:drawing>
      </w:r>
    </w:p>
    <w:p w14:paraId="0F700CE1" w14:textId="77777777" w:rsidR="00B57DED" w:rsidRDefault="00B57DED" w:rsidP="00446E9F">
      <w:pPr>
        <w:spacing w:line="480" w:lineRule="auto"/>
        <w:jc w:val="center"/>
        <w:rPr>
          <w:rFonts w:ascii="Arial" w:hAnsi="Arial" w:cs="Arial"/>
          <w:b/>
          <w:bCs/>
        </w:rPr>
      </w:pPr>
    </w:p>
    <w:p w14:paraId="282666D4" w14:textId="27053FDF"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University of Wales Trinity Saint David</w:t>
      </w:r>
      <w:r w:rsidR="004E367E" w:rsidRPr="006233A0">
        <w:rPr>
          <w:rFonts w:ascii="Arial" w:hAnsi="Arial" w:cs="Arial"/>
          <w:b/>
          <w:bCs/>
          <w:sz w:val="28"/>
          <w:szCs w:val="28"/>
        </w:rPr>
        <w:t>,</w:t>
      </w:r>
      <w:r w:rsidRPr="006233A0">
        <w:rPr>
          <w:rFonts w:ascii="Arial" w:hAnsi="Arial" w:cs="Arial"/>
          <w:b/>
          <w:bCs/>
          <w:sz w:val="28"/>
          <w:szCs w:val="28"/>
        </w:rPr>
        <w:t xml:space="preserve"> Birmingham</w:t>
      </w:r>
    </w:p>
    <w:p w14:paraId="2756220C" w14:textId="3B2E0A00" w:rsidR="00775CC4" w:rsidRPr="006233A0" w:rsidRDefault="00E2138F" w:rsidP="00446E9F">
      <w:pPr>
        <w:pStyle w:val="NormalWeb"/>
        <w:shd w:val="clear" w:color="auto" w:fill="FFFFFF"/>
        <w:spacing w:before="0" w:beforeAutospacing="0" w:after="0" w:afterAutospacing="0" w:line="480" w:lineRule="auto"/>
        <w:jc w:val="center"/>
        <w:rPr>
          <w:rFonts w:ascii="Arial" w:hAnsi="Arial" w:cs="Arial"/>
          <w:b/>
          <w:bCs/>
          <w:color w:val="242424"/>
          <w:sz w:val="28"/>
          <w:szCs w:val="28"/>
          <w:bdr w:val="none" w:sz="0" w:space="0" w:color="auto" w:frame="1"/>
        </w:rPr>
      </w:pPr>
      <w:r w:rsidRPr="006233A0">
        <w:rPr>
          <w:rFonts w:ascii="Arial" w:hAnsi="Arial" w:cs="Arial"/>
          <w:b/>
          <w:bCs/>
          <w:sz w:val="28"/>
          <w:szCs w:val="28"/>
        </w:rPr>
        <w:t>Module:</w:t>
      </w:r>
      <w:r w:rsidRPr="006233A0">
        <w:rPr>
          <w:rFonts w:ascii="Arial" w:hAnsi="Arial" w:cs="Arial"/>
          <w:b/>
          <w:bCs/>
          <w:color w:val="000000" w:themeColor="text1"/>
          <w:sz w:val="28"/>
          <w:szCs w:val="28"/>
        </w:rPr>
        <w:t xml:space="preserve"> </w:t>
      </w:r>
      <w:r w:rsidR="00F25D90" w:rsidRPr="006233A0">
        <w:rPr>
          <w:rFonts w:ascii="Arial" w:hAnsi="Arial" w:cs="Arial"/>
          <w:b/>
          <w:bCs/>
          <w:color w:val="242424"/>
          <w:sz w:val="28"/>
          <w:szCs w:val="28"/>
          <w:bdr w:val="none" w:sz="0" w:space="0" w:color="auto" w:frame="1"/>
        </w:rPr>
        <w:t>Introduction to Physi</w:t>
      </w:r>
      <w:r w:rsidR="00B00678" w:rsidRPr="006233A0">
        <w:rPr>
          <w:rFonts w:ascii="Arial" w:hAnsi="Arial" w:cs="Arial"/>
          <w:b/>
          <w:bCs/>
          <w:color w:val="242424"/>
          <w:sz w:val="28"/>
          <w:szCs w:val="28"/>
          <w:bdr w:val="none" w:sz="0" w:space="0" w:color="auto" w:frame="1"/>
        </w:rPr>
        <w:t>ology</w:t>
      </w:r>
    </w:p>
    <w:p w14:paraId="75F47F8E" w14:textId="746C167E"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 xml:space="preserve">Module Code: </w:t>
      </w:r>
      <w:r w:rsidR="00F90F5C">
        <w:rPr>
          <w:rFonts w:ascii="Arial" w:hAnsi="Arial" w:cs="Arial"/>
          <w:b/>
          <w:bCs/>
          <w:sz w:val="28"/>
          <w:szCs w:val="28"/>
        </w:rPr>
        <w:t>BMHP</w:t>
      </w:r>
      <w:r w:rsidR="00106749" w:rsidRPr="006233A0">
        <w:rPr>
          <w:rFonts w:ascii="Arial" w:hAnsi="Arial" w:cs="Arial"/>
          <w:b/>
          <w:bCs/>
          <w:sz w:val="28"/>
          <w:szCs w:val="28"/>
        </w:rPr>
        <w:t>50</w:t>
      </w:r>
      <w:r w:rsidR="0067007A" w:rsidRPr="006233A0">
        <w:rPr>
          <w:rFonts w:ascii="Arial" w:hAnsi="Arial" w:cs="Arial"/>
          <w:b/>
          <w:bCs/>
          <w:sz w:val="28"/>
          <w:szCs w:val="28"/>
        </w:rPr>
        <w:t>23</w:t>
      </w:r>
    </w:p>
    <w:p w14:paraId="6BB006E4" w14:textId="25E64492"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Submitted b</w:t>
      </w:r>
      <w:r w:rsidR="004E367E" w:rsidRPr="006233A0">
        <w:rPr>
          <w:rFonts w:ascii="Arial" w:hAnsi="Arial" w:cs="Arial"/>
          <w:b/>
          <w:bCs/>
          <w:sz w:val="28"/>
          <w:szCs w:val="28"/>
        </w:rPr>
        <w:t>y</w:t>
      </w:r>
    </w:p>
    <w:p w14:paraId="15AF5661" w14:textId="01D3162F" w:rsidR="004E367E"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Name: Hina Ilyas</w:t>
      </w:r>
    </w:p>
    <w:p w14:paraId="72697D55" w14:textId="59071ABF" w:rsidR="00B00678"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ID number: 2511486</w:t>
      </w:r>
    </w:p>
    <w:p w14:paraId="7EFC06F3" w14:textId="77777777"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Submitted to</w:t>
      </w:r>
    </w:p>
    <w:p w14:paraId="25A3A598" w14:textId="4CBAF4CF"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 xml:space="preserve">lecturer: </w:t>
      </w:r>
      <w:r w:rsidR="00A06A5C" w:rsidRPr="006233A0">
        <w:rPr>
          <w:rFonts w:ascii="Arial" w:hAnsi="Arial" w:cs="Arial"/>
          <w:b/>
          <w:bCs/>
          <w:sz w:val="28"/>
          <w:szCs w:val="28"/>
        </w:rPr>
        <w:t>Samuel Assan</w:t>
      </w:r>
    </w:p>
    <w:p w14:paraId="121481E0" w14:textId="77777777" w:rsidR="00E2138F" w:rsidRPr="006233A0" w:rsidRDefault="00E2138F" w:rsidP="00446E9F">
      <w:pPr>
        <w:spacing w:line="480" w:lineRule="auto"/>
        <w:jc w:val="center"/>
        <w:rPr>
          <w:rFonts w:ascii="Arial" w:hAnsi="Arial" w:cs="Arial"/>
          <w:b/>
          <w:bCs/>
          <w:sz w:val="28"/>
          <w:szCs w:val="28"/>
        </w:rPr>
      </w:pPr>
      <w:r w:rsidRPr="006233A0">
        <w:rPr>
          <w:rFonts w:ascii="Arial" w:hAnsi="Arial" w:cs="Arial"/>
          <w:b/>
          <w:bCs/>
          <w:sz w:val="28"/>
          <w:szCs w:val="28"/>
        </w:rPr>
        <w:t>Submitted on</w:t>
      </w:r>
    </w:p>
    <w:p w14:paraId="40BC2B9B" w14:textId="3E01237B" w:rsidR="00B0768E" w:rsidRPr="00825D0C" w:rsidRDefault="00E2138F" w:rsidP="00446E9F">
      <w:pPr>
        <w:pStyle w:val="NormalWeb"/>
        <w:shd w:val="clear" w:color="auto" w:fill="FFFFFF"/>
        <w:spacing w:before="0" w:beforeAutospacing="0" w:after="0" w:afterAutospacing="0" w:line="360" w:lineRule="auto"/>
        <w:jc w:val="center"/>
        <w:rPr>
          <w:rFonts w:ascii="Arial" w:hAnsi="Arial" w:cs="Arial"/>
          <w:color w:val="242424"/>
          <w:sz w:val="30"/>
          <w:szCs w:val="30"/>
        </w:rPr>
      </w:pPr>
      <w:r w:rsidRPr="006233A0">
        <w:rPr>
          <w:rFonts w:ascii="Arial" w:hAnsi="Arial" w:cs="Arial"/>
          <w:b/>
          <w:bCs/>
          <w:sz w:val="28"/>
          <w:szCs w:val="28"/>
        </w:rPr>
        <w:t>Date:</w:t>
      </w:r>
      <w:r w:rsidR="005334AD" w:rsidRPr="006233A0">
        <w:rPr>
          <w:rFonts w:ascii="Arial" w:hAnsi="Arial" w:cs="Arial"/>
          <w:b/>
          <w:bCs/>
          <w:sz w:val="28"/>
          <w:szCs w:val="28"/>
        </w:rPr>
        <w:t xml:space="preserve"> </w:t>
      </w:r>
      <w:r w:rsidR="004E367E" w:rsidRPr="006233A0">
        <w:rPr>
          <w:rFonts w:ascii="Arial" w:hAnsi="Arial" w:cs="Arial"/>
          <w:b/>
          <w:bCs/>
          <w:sz w:val="28"/>
          <w:szCs w:val="28"/>
        </w:rPr>
        <w:t>O</w:t>
      </w:r>
      <w:r w:rsidR="00B57DED" w:rsidRPr="006233A0">
        <w:rPr>
          <w:rFonts w:ascii="Arial" w:hAnsi="Arial" w:cs="Arial"/>
          <w:b/>
          <w:bCs/>
          <w:sz w:val="28"/>
          <w:szCs w:val="28"/>
        </w:rPr>
        <w:t>ctober</w:t>
      </w:r>
      <w:r w:rsidR="005334AD" w:rsidRPr="006233A0">
        <w:rPr>
          <w:rFonts w:ascii="Arial" w:hAnsi="Arial" w:cs="Arial"/>
          <w:b/>
          <w:bCs/>
          <w:sz w:val="28"/>
          <w:szCs w:val="28"/>
        </w:rPr>
        <w:t xml:space="preserve"> </w:t>
      </w:r>
      <w:r w:rsidRPr="006233A0">
        <w:rPr>
          <w:rFonts w:ascii="Arial" w:hAnsi="Arial" w:cs="Arial"/>
          <w:b/>
          <w:bCs/>
          <w:sz w:val="28"/>
          <w:szCs w:val="28"/>
        </w:rPr>
        <w:t>2026</w:t>
      </w:r>
    </w:p>
    <w:p w14:paraId="5E76565A" w14:textId="0DE1B360" w:rsidR="004E367E" w:rsidRDefault="004E367E" w:rsidP="002A32C7">
      <w:pPr>
        <w:spacing w:line="480" w:lineRule="auto"/>
        <w:jc w:val="center"/>
        <w:rPr>
          <w:rFonts w:ascii="Arial" w:hAnsi="Arial" w:cs="Arial"/>
          <w:b/>
          <w:bCs/>
          <w:sz w:val="28"/>
          <w:szCs w:val="28"/>
        </w:rPr>
      </w:pPr>
    </w:p>
    <w:p w14:paraId="302E4FD0"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32"/>
          <w:szCs w:val="32"/>
          <w:lang w:eastAsia="en-GB"/>
          <w14:ligatures w14:val="none"/>
        </w:rPr>
      </w:pPr>
      <w:r w:rsidRPr="008D219A">
        <w:rPr>
          <w:rFonts w:ascii="Arial" w:eastAsia="Times New Roman" w:hAnsi="Arial" w:cs="Arial"/>
          <w:b/>
          <w:bCs/>
          <w:color w:val="242424"/>
          <w:kern w:val="0"/>
          <w:sz w:val="32"/>
          <w:szCs w:val="32"/>
          <w:bdr w:val="none" w:sz="0" w:space="0" w:color="auto" w:frame="1"/>
          <w:lang w:eastAsia="en-GB"/>
          <w14:ligatures w14:val="none"/>
        </w:rPr>
        <w:lastRenderedPageBreak/>
        <w:t>Supporting People with Type 2 Diabetes to Manage Blood Glucose Levels</w:t>
      </w:r>
    </w:p>
    <w:p w14:paraId="7BB8A63A"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1. Introduction</w:t>
      </w:r>
    </w:p>
    <w:p w14:paraId="75CE0873"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Diabetes mellitus is a long-term condition that affects how the body controls blood glucose, also known as blood sugar. Glucose is an important source of energy for the body’s cells. However, it needs to be regulated carefully to maintain normal body functions. Insulin, a hormone produced by the pancreas, helps glucose move from the bloodstream into cells. Diabetes develops when the body does not produce enough insulin or cannot use it effectively (NHS, n.d.).</w:t>
      </w:r>
    </w:p>
    <w:p w14:paraId="01F5C475" w14:textId="7FF3DCD0"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There are different types of diabetes, including Type 1, Type 2 and gestational diabetes. Type 1 diabetes occurs when the immune system destroys the insulin-producing cells in the pancreas. Type 2 diabetes usually develops when the body becomes resistant to insulin</w:t>
      </w:r>
      <w:r w:rsidR="00E87E57">
        <w:rPr>
          <w:rFonts w:ascii="Arial" w:eastAsia="Times New Roman" w:hAnsi="Arial" w:cs="Arial"/>
          <w:color w:val="242424"/>
          <w:kern w:val="0"/>
          <w:sz w:val="22"/>
          <w:szCs w:val="22"/>
          <w:bdr w:val="none" w:sz="0" w:space="0" w:color="auto" w:frame="1"/>
          <w:lang w:eastAsia="en-GB"/>
          <w14:ligatures w14:val="none"/>
        </w:rPr>
        <w:t>,</w:t>
      </w:r>
      <w:r w:rsidRPr="008D219A">
        <w:rPr>
          <w:rFonts w:ascii="Arial" w:eastAsia="Times New Roman" w:hAnsi="Arial" w:cs="Arial"/>
          <w:color w:val="242424"/>
          <w:kern w:val="0"/>
          <w:sz w:val="22"/>
          <w:szCs w:val="22"/>
          <w:bdr w:val="none" w:sz="0" w:space="0" w:color="auto" w:frame="1"/>
          <w:lang w:eastAsia="en-GB"/>
          <w14:ligatures w14:val="none"/>
        </w:rPr>
        <w:t xml:space="preserve"> and the pancreas cannot produce enough to meet the body’s needs. Type 2 diabetes is the most common form and is the focus of this report.</w:t>
      </w:r>
      <w:r w:rsidR="00796DC8">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Risk factors include being overweight, physical inactivity, increasing age and having a family history of diabetes. People from South Asian, Black African and African-Caribbean backgrounds also have a higher risk. However, Type 2 diabetes can affect people of any age or body size (Diabetes UK, n.d.).</w:t>
      </w:r>
    </w:p>
    <w:p w14:paraId="4C7E5DB2" w14:textId="26CF5F5B"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Practice nurses have an important role in helping patients understand their condition and make informed decisions about their health. Education about blood glucose monitoring, diet, exercise and smoking cessation can support safer diabetes management and reduce the risk of complications. This report explains how blood glucose is regulated, how glucose and oxygen produce energy, why monitoring is important and how lifestyle changes can improve health outcomes.</w:t>
      </w:r>
      <w:r w:rsidR="003C5B07" w:rsidRPr="003C5B07">
        <w:rPr>
          <w:rFonts w:ascii="Arial" w:eastAsia="Times New Roman" w:hAnsi="Arial" w:cs="Arial"/>
          <w:color w:val="242424"/>
          <w:kern w:val="0"/>
          <w:sz w:val="22"/>
          <w:szCs w:val="22"/>
          <w:bdr w:val="none" w:sz="0" w:space="0" w:color="auto" w:frame="1"/>
          <w:lang w:eastAsia="en-GB"/>
          <w14:ligatures w14:val="none"/>
        </w:rPr>
        <w:t xml:space="preserve"> </w:t>
      </w:r>
      <w:r w:rsidR="003C5B07" w:rsidRPr="008D219A">
        <w:rPr>
          <w:rFonts w:ascii="Arial" w:eastAsia="Times New Roman" w:hAnsi="Arial" w:cs="Arial"/>
          <w:color w:val="242424"/>
          <w:kern w:val="0"/>
          <w:sz w:val="22"/>
          <w:szCs w:val="22"/>
          <w:bdr w:val="none" w:sz="0" w:space="0" w:color="auto" w:frame="1"/>
          <w:lang w:eastAsia="en-GB"/>
          <w14:ligatures w14:val="none"/>
        </w:rPr>
        <w:t>(Diabetes UK, n.d.).</w:t>
      </w:r>
    </w:p>
    <w:p w14:paraId="26DD616A"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2. How Blood Glucose Levels Are Maintained</w:t>
      </w:r>
    </w:p>
    <w:p w14:paraId="15EEF1A2"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The body maintains blood glucose through homeostasis, which keeps internal conditions relatively stable. The pancreas plays a central role by releasing two hormones, insulin and glucagon, which work together to regulate glucose levels.</w:t>
      </w:r>
    </w:p>
    <w:p w14:paraId="0AB88A54"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After a meal, carbohydrates are broken down into glucose and absorbed into the bloodstream. As blood glucose rises, beta cells in the pancreas release insulin. Insulin helps muscle and fat cells take up glucose and encourages the liver to store excess glucose as glycogen. It also reduces the liver’s release of glucose into the blood. These actions help blood glucose return towards an appropriate level (Hall and Hall, 2021).</w:t>
      </w:r>
    </w:p>
    <w:p w14:paraId="1D0F3D0A" w14:textId="2D5E8D7F"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When a person has not eaten for several hours, blood glucose may fall. In response, pancreatic alpha cells release glucagon. This hormone encourages the liver to break down stored glycogen and release glucose into the bloodstream. The liver can also produce </w:t>
      </w:r>
      <w:r w:rsidRPr="008D219A">
        <w:rPr>
          <w:rFonts w:ascii="Arial" w:eastAsia="Times New Roman" w:hAnsi="Arial" w:cs="Arial"/>
          <w:color w:val="242424"/>
          <w:kern w:val="0"/>
          <w:sz w:val="22"/>
          <w:szCs w:val="22"/>
          <w:bdr w:val="none" w:sz="0" w:space="0" w:color="auto" w:frame="1"/>
          <w:lang w:eastAsia="en-GB"/>
          <w14:ligatures w14:val="none"/>
        </w:rPr>
        <w:lastRenderedPageBreak/>
        <w:t xml:space="preserve">glucose when required. These processes ensure that the body continues to receive energy between </w:t>
      </w:r>
      <w:r w:rsidR="006C3E83" w:rsidRPr="008D219A">
        <w:rPr>
          <w:rFonts w:ascii="Arial" w:eastAsia="Times New Roman" w:hAnsi="Arial" w:cs="Arial"/>
          <w:color w:val="242424"/>
          <w:kern w:val="0"/>
          <w:sz w:val="22"/>
          <w:szCs w:val="22"/>
          <w:bdr w:val="none" w:sz="0" w:space="0" w:color="auto" w:frame="1"/>
          <w:lang w:eastAsia="en-GB"/>
          <w14:ligatures w14:val="none"/>
        </w:rPr>
        <w:t>meals. In</w:t>
      </w:r>
      <w:r w:rsidRPr="008D219A">
        <w:rPr>
          <w:rFonts w:ascii="Arial" w:eastAsia="Times New Roman" w:hAnsi="Arial" w:cs="Arial"/>
          <w:color w:val="242424"/>
          <w:kern w:val="0"/>
          <w:sz w:val="22"/>
          <w:szCs w:val="22"/>
          <w:bdr w:val="none" w:sz="0" w:space="0" w:color="auto" w:frame="1"/>
          <w:lang w:eastAsia="en-GB"/>
          <w14:ligatures w14:val="none"/>
        </w:rPr>
        <w:t xml:space="preserve"> Type 2 diabetes, the body’s cells become less responsive to insulin, a problem known as insulin resistance. The pancreas initially produces more insulin to compensate, but over time it may not produce enough. As a result, glucose builds up in the bloodstream, causing </w:t>
      </w:r>
      <w:r w:rsidR="006B58FD" w:rsidRPr="008D219A">
        <w:rPr>
          <w:rFonts w:ascii="Arial" w:eastAsia="Times New Roman" w:hAnsi="Arial" w:cs="Arial"/>
          <w:color w:val="242424"/>
          <w:kern w:val="0"/>
          <w:sz w:val="22"/>
          <w:szCs w:val="22"/>
          <w:bdr w:val="none" w:sz="0" w:space="0" w:color="auto" w:frame="1"/>
          <w:lang w:eastAsia="en-GB"/>
          <w14:ligatures w14:val="none"/>
        </w:rPr>
        <w:t>hyperglycaemia. Persistently</w:t>
      </w:r>
      <w:r w:rsidRPr="008D219A">
        <w:rPr>
          <w:rFonts w:ascii="Arial" w:eastAsia="Times New Roman" w:hAnsi="Arial" w:cs="Arial"/>
          <w:color w:val="242424"/>
          <w:kern w:val="0"/>
          <w:sz w:val="22"/>
          <w:szCs w:val="22"/>
          <w:bdr w:val="none" w:sz="0" w:space="0" w:color="auto" w:frame="1"/>
          <w:lang w:eastAsia="en-GB"/>
          <w14:ligatures w14:val="none"/>
        </w:rPr>
        <w:t xml:space="preserve"> high blood glucose can damage blood vessels and nerves, increasing the risk of heart disease, kidney problems, eye damage and foot complications. However, blood glucose can also become too low, particularly in people taking insulin or certain diabetes medicines. This is known as hypoglycaemia and may cause sweating, shaking, dizziness and </w:t>
      </w:r>
      <w:r w:rsidR="00975E43" w:rsidRPr="008D219A">
        <w:rPr>
          <w:rFonts w:ascii="Arial" w:eastAsia="Times New Roman" w:hAnsi="Arial" w:cs="Arial"/>
          <w:color w:val="242424"/>
          <w:kern w:val="0"/>
          <w:sz w:val="22"/>
          <w:szCs w:val="22"/>
          <w:bdr w:val="none" w:sz="0" w:space="0" w:color="auto" w:frame="1"/>
          <w:lang w:eastAsia="en-GB"/>
          <w14:ligatures w14:val="none"/>
        </w:rPr>
        <w:t>confusion. Maintaining</w:t>
      </w:r>
      <w:r w:rsidRPr="008D219A">
        <w:rPr>
          <w:rFonts w:ascii="Arial" w:eastAsia="Times New Roman" w:hAnsi="Arial" w:cs="Arial"/>
          <w:color w:val="242424"/>
          <w:kern w:val="0"/>
          <w:sz w:val="22"/>
          <w:szCs w:val="22"/>
          <w:bdr w:val="none" w:sz="0" w:space="0" w:color="auto" w:frame="1"/>
          <w:lang w:eastAsia="en-GB"/>
          <w14:ligatures w14:val="none"/>
        </w:rPr>
        <w:t xml:space="preserve"> safe glucose levels is therefore essential. Targets should be individualised according to the patient’s treatment, health and risk of hypoglycaemia. Practice nurses can explain these processes clearly, help patients recognise symptoms and encourage them to follow their agreed care plans.</w:t>
      </w:r>
      <w:r w:rsidR="00300C98" w:rsidRPr="00300C98">
        <w:rPr>
          <w:rFonts w:ascii="Arial" w:eastAsia="Times New Roman" w:hAnsi="Arial" w:cs="Arial"/>
          <w:color w:val="242424"/>
          <w:kern w:val="0"/>
          <w:sz w:val="22"/>
          <w:szCs w:val="22"/>
          <w:bdr w:val="none" w:sz="0" w:space="0" w:color="auto" w:frame="1"/>
          <w:lang w:eastAsia="en-GB"/>
          <w14:ligatures w14:val="none"/>
        </w:rPr>
        <w:t xml:space="preserve"> </w:t>
      </w:r>
      <w:r w:rsidR="00300C98" w:rsidRPr="008D219A">
        <w:rPr>
          <w:rFonts w:ascii="Arial" w:eastAsia="Times New Roman" w:hAnsi="Arial" w:cs="Arial"/>
          <w:color w:val="242424"/>
          <w:kern w:val="0"/>
          <w:sz w:val="22"/>
          <w:szCs w:val="22"/>
          <w:bdr w:val="none" w:sz="0" w:space="0" w:color="auto" w:frame="1"/>
          <w:lang w:eastAsia="en-GB"/>
          <w14:ligatures w14:val="none"/>
        </w:rPr>
        <w:t>(Hall and Hall, 2021).</w:t>
      </w:r>
    </w:p>
    <w:p w14:paraId="6CA56207"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3. How Glucose and Oxygen Produce Energy</w:t>
      </w:r>
    </w:p>
    <w:p w14:paraId="65018809" w14:textId="3FBA901D"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The body requires energy to perform essential functions, including breathing, movement, maintaining body temperature and repairing tissues. This energy is supplied mainly through adenosine triphosphate (ATP), which is produced when cells break down nutrients such as </w:t>
      </w:r>
      <w:r w:rsidR="00F01371" w:rsidRPr="008D219A">
        <w:rPr>
          <w:rFonts w:ascii="Arial" w:eastAsia="Times New Roman" w:hAnsi="Arial" w:cs="Arial"/>
          <w:color w:val="242424"/>
          <w:kern w:val="0"/>
          <w:sz w:val="22"/>
          <w:szCs w:val="22"/>
          <w:bdr w:val="none" w:sz="0" w:space="0" w:color="auto" w:frame="1"/>
          <w:lang w:eastAsia="en-GB"/>
          <w14:ligatures w14:val="none"/>
        </w:rPr>
        <w:t>glucose. When</w:t>
      </w:r>
      <w:r w:rsidRPr="008D219A">
        <w:rPr>
          <w:rFonts w:ascii="Arial" w:eastAsia="Times New Roman" w:hAnsi="Arial" w:cs="Arial"/>
          <w:color w:val="242424"/>
          <w:kern w:val="0"/>
          <w:sz w:val="22"/>
          <w:szCs w:val="22"/>
          <w:bdr w:val="none" w:sz="0" w:space="0" w:color="auto" w:frame="1"/>
          <w:lang w:eastAsia="en-GB"/>
          <w14:ligatures w14:val="none"/>
        </w:rPr>
        <w:t xml:space="preserve"> sufficient oxygen is available, cells use aerobic respiration to release energy from glucose. This process involves glycolysis, the link reaction, the citric acid cycle and oxidative </w:t>
      </w:r>
      <w:r w:rsidR="00A82505" w:rsidRPr="008D219A">
        <w:rPr>
          <w:rFonts w:ascii="Arial" w:eastAsia="Times New Roman" w:hAnsi="Arial" w:cs="Arial"/>
          <w:color w:val="242424"/>
          <w:kern w:val="0"/>
          <w:sz w:val="22"/>
          <w:szCs w:val="22"/>
          <w:bdr w:val="none" w:sz="0" w:space="0" w:color="auto" w:frame="1"/>
          <w:lang w:eastAsia="en-GB"/>
          <w14:ligatures w14:val="none"/>
        </w:rPr>
        <w:t>phosphorylation. Glycolysis</w:t>
      </w:r>
      <w:r w:rsidRPr="008D219A">
        <w:rPr>
          <w:rFonts w:ascii="Arial" w:eastAsia="Times New Roman" w:hAnsi="Arial" w:cs="Arial"/>
          <w:color w:val="242424"/>
          <w:kern w:val="0"/>
          <w:sz w:val="22"/>
          <w:szCs w:val="22"/>
          <w:bdr w:val="none" w:sz="0" w:space="0" w:color="auto" w:frame="1"/>
          <w:lang w:eastAsia="en-GB"/>
          <w14:ligatures w14:val="none"/>
        </w:rPr>
        <w:t xml:space="preserve"> occurs in the cytoplasm, where one glucose molecule is broken down into two pyruvate molecules. A small amount of energy is released, producing a net gain of two ATP molecules. When oxygen is available, pyruvate enters the mitochondria and is converted into acetyl coenzyme A. It then enters the citric acid cycle, where carbon dioxide is released and energy-rich electron carriers are produced.</w:t>
      </w:r>
    </w:p>
    <w:p w14:paraId="1BEFE1BD" w14:textId="77777777" w:rsidR="00C4781C"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These carriers transfer electrons to the electron transport chain in the inner mitochondrial membrane. Oxygen acts as the final electron acceptor, allowing oxidative phosphorylation to continue and most ATP to be produced. Water is also formed during this process (Hall and Hall, 2021).</w:t>
      </w:r>
      <w:r w:rsidR="00C4781C">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The overall reaction can be summarised as:</w:t>
      </w:r>
      <w:r w:rsidR="00C4781C">
        <w:rPr>
          <w:rFonts w:ascii="Arial" w:eastAsia="Times New Roman" w:hAnsi="Arial" w:cs="Arial"/>
          <w:color w:val="242424"/>
          <w:kern w:val="0"/>
          <w:sz w:val="22"/>
          <w:szCs w:val="22"/>
          <w:lang w:eastAsia="en-GB"/>
          <w14:ligatures w14:val="none"/>
        </w:rPr>
        <w:t xml:space="preserve"> </w:t>
      </w:r>
    </w:p>
    <w:p w14:paraId="313FDC17" w14:textId="0E145C33"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Glucose + oxygen → carbon dioxide + water + energy (ATP</w:t>
      </w:r>
      <w:r w:rsidR="007D1329" w:rsidRPr="008D219A">
        <w:rPr>
          <w:rFonts w:ascii="Arial" w:eastAsia="Times New Roman" w:hAnsi="Arial" w:cs="Arial"/>
          <w:color w:val="242424"/>
          <w:kern w:val="0"/>
          <w:sz w:val="22"/>
          <w:szCs w:val="22"/>
          <w:bdr w:val="none" w:sz="0" w:space="0" w:color="auto" w:frame="1"/>
          <w:lang w:eastAsia="en-GB"/>
          <w14:ligatures w14:val="none"/>
        </w:rPr>
        <w:t>). In</w:t>
      </w:r>
      <w:r w:rsidRPr="008D219A">
        <w:rPr>
          <w:rFonts w:ascii="Arial" w:eastAsia="Times New Roman" w:hAnsi="Arial" w:cs="Arial"/>
          <w:color w:val="242424"/>
          <w:kern w:val="0"/>
          <w:sz w:val="22"/>
          <w:szCs w:val="22"/>
          <w:bdr w:val="none" w:sz="0" w:space="0" w:color="auto" w:frame="1"/>
          <w:lang w:eastAsia="en-GB"/>
          <w14:ligatures w14:val="none"/>
        </w:rPr>
        <w:t xml:space="preserve"> Type 2 diabetes, insulin resistance can reduce glucose uptake by insulin-sensitive tissues. Consequently, glucose may remain in the bloodstream instead of being used effectively by these cells. This helps explain why high blood glucose does not necessarily mean that the body’s cells are using glucose normally.</w:t>
      </w:r>
      <w:r w:rsidR="00C4781C">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Understanding cellular respiration helps patients recognise the importance of physical activity, balanced nutrition and appropriate medication. These measures support glucose regulation and help the body meet its energy needs.</w:t>
      </w:r>
      <w:r w:rsidR="00300C98" w:rsidRPr="00300C98">
        <w:rPr>
          <w:rFonts w:ascii="Arial" w:eastAsia="Times New Roman" w:hAnsi="Arial" w:cs="Arial"/>
          <w:color w:val="242424"/>
          <w:kern w:val="0"/>
          <w:sz w:val="22"/>
          <w:szCs w:val="22"/>
          <w:bdr w:val="none" w:sz="0" w:space="0" w:color="auto" w:frame="1"/>
          <w:lang w:eastAsia="en-GB"/>
          <w14:ligatures w14:val="none"/>
        </w:rPr>
        <w:t xml:space="preserve"> </w:t>
      </w:r>
      <w:r w:rsidR="00300C98" w:rsidRPr="008D219A">
        <w:rPr>
          <w:rFonts w:ascii="Arial" w:eastAsia="Times New Roman" w:hAnsi="Arial" w:cs="Arial"/>
          <w:color w:val="242424"/>
          <w:kern w:val="0"/>
          <w:sz w:val="22"/>
          <w:szCs w:val="22"/>
          <w:bdr w:val="none" w:sz="0" w:space="0" w:color="auto" w:frame="1"/>
          <w:lang w:eastAsia="en-GB"/>
          <w14:ligatures w14:val="none"/>
        </w:rPr>
        <w:t>(Hall and Hall, 2021).</w:t>
      </w:r>
    </w:p>
    <w:p w14:paraId="79EB1EB7"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4. Importance of Recording and Tracking Blood Glucose</w:t>
      </w:r>
    </w:p>
    <w:p w14:paraId="4C0653CE"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lastRenderedPageBreak/>
        <w:t>Recording blood glucose levels can help people with Type 2 diabetes understand how their condition changes over time. Monitoring may involve a finger-prick blood glucose meter or, where appropriate, a continuous glucose monitoring system. The need for monitoring depends on the individual’s medication, symptoms and clinical circumstances.</w:t>
      </w:r>
    </w:p>
    <w:p w14:paraId="438D9F61" w14:textId="30D39833"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Repeated readings can reveal patterns that may not be obvious from a single measurement. For example, glucose may regularly rise after certain meals or decrease following physical activity. Patients can discuss these patterns with their healthcare professional and consider appropriate changes to their diet, activity or </w:t>
      </w:r>
      <w:proofErr w:type="spellStart"/>
      <w:proofErr w:type="gramStart"/>
      <w:r w:rsidRPr="008D219A">
        <w:rPr>
          <w:rFonts w:ascii="Arial" w:eastAsia="Times New Roman" w:hAnsi="Arial" w:cs="Arial"/>
          <w:color w:val="242424"/>
          <w:kern w:val="0"/>
          <w:sz w:val="22"/>
          <w:szCs w:val="22"/>
          <w:bdr w:val="none" w:sz="0" w:space="0" w:color="auto" w:frame="1"/>
          <w:lang w:eastAsia="en-GB"/>
          <w14:ligatures w14:val="none"/>
        </w:rPr>
        <w:t>treatment.Monitoring</w:t>
      </w:r>
      <w:proofErr w:type="spellEnd"/>
      <w:proofErr w:type="gramEnd"/>
      <w:r w:rsidRPr="008D219A">
        <w:rPr>
          <w:rFonts w:ascii="Arial" w:eastAsia="Times New Roman" w:hAnsi="Arial" w:cs="Arial"/>
          <w:color w:val="242424"/>
          <w:kern w:val="0"/>
          <w:sz w:val="22"/>
          <w:szCs w:val="22"/>
          <w:bdr w:val="none" w:sz="0" w:space="0" w:color="auto" w:frame="1"/>
          <w:lang w:eastAsia="en-GB"/>
          <w14:ligatures w14:val="none"/>
        </w:rPr>
        <w:t xml:space="preserve"> can also support safety. People taking insulin or medicines that can cause hypoglycaemia may need to check their glucose more frequently. Recognising low or high readings allows patients to follow their agreed management plan and seek medical advice when necessary</w:t>
      </w:r>
      <w:proofErr w:type="gramStart"/>
      <w:r w:rsidRPr="008D219A">
        <w:rPr>
          <w:rFonts w:ascii="Arial" w:eastAsia="Times New Roman" w:hAnsi="Arial" w:cs="Arial"/>
          <w:color w:val="242424"/>
          <w:kern w:val="0"/>
          <w:sz w:val="22"/>
          <w:szCs w:val="22"/>
          <w:bdr w:val="none" w:sz="0" w:space="0" w:color="auto" w:frame="1"/>
          <w:lang w:eastAsia="en-GB"/>
          <w14:ligatures w14:val="none"/>
        </w:rPr>
        <w:t>.</w:t>
      </w:r>
      <w:r w:rsidR="00134613" w:rsidRPr="00134613">
        <w:rPr>
          <w:rFonts w:ascii="Arial" w:eastAsia="Times New Roman" w:hAnsi="Arial" w:cs="Arial"/>
          <w:color w:val="242424"/>
          <w:kern w:val="0"/>
          <w:sz w:val="22"/>
          <w:szCs w:val="22"/>
          <w:bdr w:val="none" w:sz="0" w:space="0" w:color="auto" w:frame="1"/>
          <w:lang w:eastAsia="en-GB"/>
          <w14:ligatures w14:val="none"/>
        </w:rPr>
        <w:t xml:space="preserve"> </w:t>
      </w:r>
      <w:r w:rsidR="00134613" w:rsidRPr="008D219A">
        <w:rPr>
          <w:rFonts w:ascii="Arial" w:eastAsia="Times New Roman" w:hAnsi="Arial" w:cs="Arial"/>
          <w:color w:val="242424"/>
          <w:kern w:val="0"/>
          <w:sz w:val="22"/>
          <w:szCs w:val="22"/>
          <w:bdr w:val="none" w:sz="0" w:space="0" w:color="auto" w:frame="1"/>
          <w:lang w:eastAsia="en-GB"/>
          <w14:ligatures w14:val="none"/>
        </w:rPr>
        <w:t>.</w:t>
      </w:r>
      <w:proofErr w:type="gramEnd"/>
      <w:r w:rsidR="00134613" w:rsidRPr="008D219A">
        <w:rPr>
          <w:rFonts w:ascii="Arial" w:eastAsia="Times New Roman" w:hAnsi="Arial" w:cs="Arial"/>
          <w:color w:val="242424"/>
          <w:kern w:val="0"/>
          <w:sz w:val="22"/>
          <w:szCs w:val="22"/>
          <w:bdr w:val="none" w:sz="0" w:space="0" w:color="auto" w:frame="1"/>
          <w:lang w:eastAsia="en-GB"/>
          <w14:ligatures w14:val="none"/>
        </w:rPr>
        <w:t xml:space="preserve"> NICE (2022)</w:t>
      </w:r>
    </w:p>
    <w:p w14:paraId="51209F5A" w14:textId="73378525"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However, routine finger-prick monitoring is not recommended for every adult with Type 2 diabetes. NICE (2022) advises that it should be offered when there is a clear clinical reason, such as insulin treatment, suspected hypoglycaemia or certain medication-related risks. Monitoring should have a clear purpose rather than becoming an unnecessary source of anxiety.</w:t>
      </w:r>
      <w:r w:rsidR="00A5611A">
        <w:rPr>
          <w:rFonts w:ascii="Arial" w:eastAsia="Times New Roman" w:hAnsi="Arial" w:cs="Arial"/>
          <w:color w:val="242424"/>
          <w:kern w:val="0"/>
          <w:sz w:val="22"/>
          <w:szCs w:val="22"/>
          <w:bdr w:val="none" w:sz="0" w:space="0" w:color="auto" w:frame="1"/>
          <w:lang w:eastAsia="en-GB"/>
          <w14:ligatures w14:val="none"/>
        </w:rPr>
        <w:t xml:space="preserve"> </w:t>
      </w:r>
      <w:proofErr w:type="gramStart"/>
      <w:r w:rsidRPr="008D219A">
        <w:rPr>
          <w:rFonts w:ascii="Arial" w:eastAsia="Times New Roman" w:hAnsi="Arial" w:cs="Arial"/>
          <w:color w:val="242424"/>
          <w:kern w:val="0"/>
          <w:sz w:val="22"/>
          <w:szCs w:val="22"/>
          <w:bdr w:val="none" w:sz="0" w:space="0" w:color="auto" w:frame="1"/>
          <w:lang w:eastAsia="en-GB"/>
          <w14:ligatures w14:val="none"/>
        </w:rPr>
        <w:t>Longer</w:t>
      </w:r>
      <w:proofErr w:type="gramEnd"/>
      <w:r w:rsidRPr="008D219A">
        <w:rPr>
          <w:rFonts w:ascii="Arial" w:eastAsia="Times New Roman" w:hAnsi="Arial" w:cs="Arial"/>
          <w:color w:val="242424"/>
          <w:kern w:val="0"/>
          <w:sz w:val="22"/>
          <w:szCs w:val="22"/>
          <w:bdr w:val="none" w:sz="0" w:space="0" w:color="auto" w:frame="1"/>
          <w:lang w:eastAsia="en-GB"/>
          <w14:ligatures w14:val="none"/>
        </w:rPr>
        <w:t>-term control is assessed using HbA1c, a blood test that reflects average blood glucose over approximately two to three months. Reviewing HbA1c alongside symptoms, medication and other health indicators helps healthcare professionals assess whether treatment is effective.</w:t>
      </w:r>
      <w:r w:rsidR="00A82505">
        <w:rPr>
          <w:rFonts w:ascii="Arial" w:eastAsia="Times New Roman" w:hAnsi="Arial" w:cs="Arial"/>
          <w:color w:val="242424"/>
          <w:kern w:val="0"/>
          <w:sz w:val="22"/>
          <w:szCs w:val="22"/>
          <w:bdr w:val="none" w:sz="0" w:space="0" w:color="auto" w:frame="1"/>
          <w:lang w:eastAsia="en-GB"/>
          <w14:ligatures w14:val="none"/>
        </w:rPr>
        <w:t xml:space="preserve"> </w:t>
      </w:r>
      <w:proofErr w:type="gramStart"/>
      <w:r w:rsidRPr="008D219A">
        <w:rPr>
          <w:rFonts w:ascii="Arial" w:eastAsia="Times New Roman" w:hAnsi="Arial" w:cs="Arial"/>
          <w:color w:val="242424"/>
          <w:kern w:val="0"/>
          <w:sz w:val="22"/>
          <w:szCs w:val="22"/>
          <w:bdr w:val="none" w:sz="0" w:space="0" w:color="auto" w:frame="1"/>
          <w:lang w:eastAsia="en-GB"/>
          <w14:ligatures w14:val="none"/>
        </w:rPr>
        <w:t>Practice</w:t>
      </w:r>
      <w:proofErr w:type="gramEnd"/>
      <w:r w:rsidRPr="008D219A">
        <w:rPr>
          <w:rFonts w:ascii="Arial" w:eastAsia="Times New Roman" w:hAnsi="Arial" w:cs="Arial"/>
          <w:color w:val="242424"/>
          <w:kern w:val="0"/>
          <w:sz w:val="22"/>
          <w:szCs w:val="22"/>
          <w:bdr w:val="none" w:sz="0" w:space="0" w:color="auto" w:frame="1"/>
          <w:lang w:eastAsia="en-GB"/>
          <w14:ligatures w14:val="none"/>
        </w:rPr>
        <w:t xml:space="preserve"> nurses should teach patients how to use monitoring equipment correctly, interpret results and recognise when further support is needed. This can improve confidence and encourage active participation in diabetes </w:t>
      </w:r>
      <w:proofErr w:type="gramStart"/>
      <w:r w:rsidRPr="008D219A">
        <w:rPr>
          <w:rFonts w:ascii="Arial" w:eastAsia="Times New Roman" w:hAnsi="Arial" w:cs="Arial"/>
          <w:color w:val="242424"/>
          <w:kern w:val="0"/>
          <w:sz w:val="22"/>
          <w:szCs w:val="22"/>
          <w:bdr w:val="none" w:sz="0" w:space="0" w:color="auto" w:frame="1"/>
          <w:lang w:eastAsia="en-GB"/>
          <w14:ligatures w14:val="none"/>
        </w:rPr>
        <w:t>management.</w:t>
      </w:r>
      <w:r w:rsidR="00453BB7">
        <w:rPr>
          <w:rFonts w:ascii="Arial" w:eastAsia="Times New Roman" w:hAnsi="Arial" w:cs="Arial"/>
          <w:color w:val="242424"/>
          <w:kern w:val="0"/>
          <w:sz w:val="22"/>
          <w:szCs w:val="22"/>
          <w:bdr w:val="none" w:sz="0" w:space="0" w:color="auto" w:frame="1"/>
          <w:lang w:eastAsia="en-GB"/>
          <w14:ligatures w14:val="none"/>
        </w:rPr>
        <w:t>(</w:t>
      </w:r>
      <w:proofErr w:type="gramEnd"/>
      <w:r w:rsidR="00672C92">
        <w:rPr>
          <w:rFonts w:ascii="Arial" w:eastAsia="Times New Roman" w:hAnsi="Arial" w:cs="Arial"/>
          <w:color w:val="242424"/>
          <w:kern w:val="0"/>
          <w:sz w:val="22"/>
          <w:szCs w:val="22"/>
          <w:bdr w:val="none" w:sz="0" w:space="0" w:color="auto" w:frame="1"/>
          <w:lang w:eastAsia="en-GB"/>
          <w14:ligatures w14:val="none"/>
        </w:rPr>
        <w:t>N</w:t>
      </w:r>
      <w:r w:rsidR="002A19E7">
        <w:rPr>
          <w:rFonts w:ascii="Arial" w:eastAsia="Times New Roman" w:hAnsi="Arial" w:cs="Arial"/>
          <w:color w:val="242424"/>
          <w:kern w:val="0"/>
          <w:sz w:val="22"/>
          <w:szCs w:val="22"/>
          <w:bdr w:val="none" w:sz="0" w:space="0" w:color="auto" w:frame="1"/>
          <w:lang w:eastAsia="en-GB"/>
          <w14:ligatures w14:val="none"/>
        </w:rPr>
        <w:t>I</w:t>
      </w:r>
      <w:r w:rsidR="00EB2449">
        <w:rPr>
          <w:rFonts w:ascii="Arial" w:eastAsia="Times New Roman" w:hAnsi="Arial" w:cs="Arial"/>
          <w:color w:val="242424"/>
          <w:kern w:val="0"/>
          <w:sz w:val="22"/>
          <w:szCs w:val="22"/>
          <w:bdr w:val="none" w:sz="0" w:space="0" w:color="auto" w:frame="1"/>
          <w:lang w:eastAsia="en-GB"/>
          <w14:ligatures w14:val="none"/>
        </w:rPr>
        <w:t>CE</w:t>
      </w:r>
      <w:r w:rsidR="00774B2B">
        <w:rPr>
          <w:rFonts w:ascii="Arial" w:eastAsia="Times New Roman" w:hAnsi="Arial" w:cs="Arial"/>
          <w:color w:val="242424"/>
          <w:kern w:val="0"/>
          <w:sz w:val="22"/>
          <w:szCs w:val="22"/>
          <w:bdr w:val="none" w:sz="0" w:space="0" w:color="auto" w:frame="1"/>
          <w:lang w:eastAsia="en-GB"/>
          <w14:ligatures w14:val="none"/>
        </w:rPr>
        <w:t>20</w:t>
      </w:r>
      <w:r w:rsidR="00AA6EA0">
        <w:rPr>
          <w:rFonts w:ascii="Arial" w:eastAsia="Times New Roman" w:hAnsi="Arial" w:cs="Arial"/>
          <w:color w:val="242424"/>
          <w:kern w:val="0"/>
          <w:sz w:val="22"/>
          <w:szCs w:val="22"/>
          <w:bdr w:val="none" w:sz="0" w:space="0" w:color="auto" w:frame="1"/>
          <w:lang w:eastAsia="en-GB"/>
          <w14:ligatures w14:val="none"/>
        </w:rPr>
        <w:t>22</w:t>
      </w:r>
      <w:r w:rsidR="00B17A40">
        <w:rPr>
          <w:rFonts w:ascii="Arial" w:eastAsia="Times New Roman" w:hAnsi="Arial" w:cs="Arial"/>
          <w:color w:val="242424"/>
          <w:kern w:val="0"/>
          <w:sz w:val="22"/>
          <w:szCs w:val="22"/>
          <w:bdr w:val="none" w:sz="0" w:space="0" w:color="auto" w:frame="1"/>
          <w:lang w:eastAsia="en-GB"/>
          <w14:ligatures w14:val="none"/>
        </w:rPr>
        <w:t>)</w:t>
      </w:r>
    </w:p>
    <w:p w14:paraId="6B8E1376"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28"/>
          <w:szCs w:val="28"/>
          <w:lang w:eastAsia="en-GB"/>
          <w14:ligatures w14:val="none"/>
        </w:rPr>
      </w:pPr>
      <w:r w:rsidRPr="008D219A">
        <w:rPr>
          <w:rFonts w:ascii="Arial" w:eastAsia="Times New Roman" w:hAnsi="Arial" w:cs="Arial"/>
          <w:b/>
          <w:bCs/>
          <w:color w:val="242424"/>
          <w:kern w:val="0"/>
          <w:sz w:val="28"/>
          <w:szCs w:val="28"/>
          <w:bdr w:val="none" w:sz="0" w:space="0" w:color="auto" w:frame="1"/>
          <w:lang w:eastAsia="en-GB"/>
          <w14:ligatures w14:val="none"/>
        </w:rPr>
        <w:t>5. Evidence-Based Lifestyle Recommendations</w:t>
      </w:r>
    </w:p>
    <w:p w14:paraId="448D98EB"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Lifestyle changes are an important part of managing Type 2 diabetes. Advice should be realistic, individualised and sensitive to each patient’s preferences, culture and circumstances.</w:t>
      </w:r>
    </w:p>
    <w:p w14:paraId="07303D60"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5.1 Healthy eating</w:t>
      </w:r>
    </w:p>
    <w:p w14:paraId="09B9599F" w14:textId="5E290EDB"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A balanced diet can improve blood glucose control, support weight management and reduce cardiovascular risk. Patients should be encouraged to eat vegetables, whole grains, beans, lentils, fruit in appropriate portions and other fibre-rich foods. Fibre can slow digestion and may help reduce rapid increases in blood glucose after </w:t>
      </w:r>
      <w:r w:rsidR="00B44A79" w:rsidRPr="008D219A">
        <w:rPr>
          <w:rFonts w:ascii="Arial" w:eastAsia="Times New Roman" w:hAnsi="Arial" w:cs="Arial"/>
          <w:color w:val="242424"/>
          <w:kern w:val="0"/>
          <w:sz w:val="22"/>
          <w:szCs w:val="22"/>
          <w:bdr w:val="none" w:sz="0" w:space="0" w:color="auto" w:frame="1"/>
          <w:lang w:eastAsia="en-GB"/>
          <w14:ligatures w14:val="none"/>
        </w:rPr>
        <w:t>meals. Carbohydrate</w:t>
      </w:r>
      <w:r w:rsidRPr="008D219A">
        <w:rPr>
          <w:rFonts w:ascii="Arial" w:eastAsia="Times New Roman" w:hAnsi="Arial" w:cs="Arial"/>
          <w:color w:val="242424"/>
          <w:kern w:val="0"/>
          <w:sz w:val="22"/>
          <w:szCs w:val="22"/>
          <w:bdr w:val="none" w:sz="0" w:space="0" w:color="auto" w:frame="1"/>
          <w:lang w:eastAsia="en-GB"/>
          <w14:ligatures w14:val="none"/>
        </w:rPr>
        <w:t xml:space="preserve"> awareness is also important because carbohydrate-containing foods influence blood glucose levels. Patients do not necessarily need to eliminate carbohydrates; instead, they should consider portion sizes and choose nutritious options. Replacing sugary drinks with water and reducing foods high in added sugar can also be </w:t>
      </w:r>
      <w:r w:rsidR="00B44A79" w:rsidRPr="008D219A">
        <w:rPr>
          <w:rFonts w:ascii="Arial" w:eastAsia="Times New Roman" w:hAnsi="Arial" w:cs="Arial"/>
          <w:color w:val="242424"/>
          <w:kern w:val="0"/>
          <w:sz w:val="22"/>
          <w:szCs w:val="22"/>
          <w:bdr w:val="none" w:sz="0" w:space="0" w:color="auto" w:frame="1"/>
          <w:lang w:eastAsia="en-GB"/>
          <w14:ligatures w14:val="none"/>
        </w:rPr>
        <w:t>beneficial. The</w:t>
      </w:r>
      <w:r w:rsidRPr="008D219A">
        <w:rPr>
          <w:rFonts w:ascii="Arial" w:eastAsia="Times New Roman" w:hAnsi="Arial" w:cs="Arial"/>
          <w:color w:val="242424"/>
          <w:kern w:val="0"/>
          <w:sz w:val="22"/>
          <w:szCs w:val="22"/>
          <w:bdr w:val="none" w:sz="0" w:space="0" w:color="auto" w:frame="1"/>
          <w:lang w:eastAsia="en-GB"/>
          <w14:ligatures w14:val="none"/>
        </w:rPr>
        <w:t xml:space="preserve"> NHS (n.d.) recommends a healthy, balanced diet for people with Type 2 diabetes. Nurses should provide individual advice, </w:t>
      </w:r>
      <w:r w:rsidRPr="008D219A">
        <w:rPr>
          <w:rFonts w:ascii="Arial" w:eastAsia="Times New Roman" w:hAnsi="Arial" w:cs="Arial"/>
          <w:color w:val="242424"/>
          <w:kern w:val="0"/>
          <w:sz w:val="22"/>
          <w:szCs w:val="22"/>
          <w:bdr w:val="none" w:sz="0" w:space="0" w:color="auto" w:frame="1"/>
          <w:lang w:eastAsia="en-GB"/>
          <w14:ligatures w14:val="none"/>
        </w:rPr>
        <w:lastRenderedPageBreak/>
        <w:t>particularly to patients taking medicines that may cause hypoglycaemia, as substantial dietary changes may affect their treatment needs</w:t>
      </w:r>
      <w:r w:rsidR="005A42E7" w:rsidRPr="008D219A">
        <w:rPr>
          <w:rFonts w:ascii="Arial" w:eastAsia="Times New Roman" w:hAnsi="Arial" w:cs="Arial"/>
          <w:color w:val="242424"/>
          <w:kern w:val="0"/>
          <w:sz w:val="22"/>
          <w:szCs w:val="22"/>
          <w:bdr w:val="none" w:sz="0" w:space="0" w:color="auto" w:frame="1"/>
          <w:lang w:eastAsia="en-GB"/>
          <w14:ligatures w14:val="none"/>
        </w:rPr>
        <w:t>.</w:t>
      </w:r>
      <w:r w:rsidR="005A42E7">
        <w:rPr>
          <w:rFonts w:ascii="Arial" w:eastAsia="Times New Roman" w:hAnsi="Arial" w:cs="Arial"/>
          <w:color w:val="242424"/>
          <w:kern w:val="0"/>
          <w:sz w:val="22"/>
          <w:szCs w:val="22"/>
          <w:bdr w:val="none" w:sz="0" w:space="0" w:color="auto" w:frame="1"/>
          <w:lang w:eastAsia="en-GB"/>
          <w14:ligatures w14:val="none"/>
        </w:rPr>
        <w:t xml:space="preserve"> </w:t>
      </w:r>
      <w:r w:rsidR="0020712C">
        <w:rPr>
          <w:rFonts w:ascii="Arial" w:eastAsia="Times New Roman" w:hAnsi="Arial" w:cs="Arial"/>
          <w:color w:val="242424"/>
          <w:kern w:val="0"/>
          <w:sz w:val="22"/>
          <w:szCs w:val="22"/>
          <w:bdr w:val="none" w:sz="0" w:space="0" w:color="auto" w:frame="1"/>
          <w:lang w:eastAsia="en-GB"/>
          <w14:ligatures w14:val="none"/>
        </w:rPr>
        <w:t xml:space="preserve"> </w:t>
      </w:r>
      <w:r w:rsidR="005A42E7">
        <w:rPr>
          <w:rFonts w:ascii="Arial" w:eastAsia="Times New Roman" w:hAnsi="Arial" w:cs="Arial"/>
          <w:color w:val="242424"/>
          <w:kern w:val="0"/>
          <w:sz w:val="22"/>
          <w:szCs w:val="22"/>
          <w:bdr w:val="none" w:sz="0" w:space="0" w:color="auto" w:frame="1"/>
          <w:lang w:eastAsia="en-GB"/>
          <w14:ligatures w14:val="none"/>
        </w:rPr>
        <w:t>(</w:t>
      </w:r>
      <w:r w:rsidR="00A35D24">
        <w:rPr>
          <w:rFonts w:ascii="Arial" w:eastAsia="Times New Roman" w:hAnsi="Arial" w:cs="Arial"/>
          <w:color w:val="242424"/>
          <w:kern w:val="0"/>
          <w:sz w:val="22"/>
          <w:szCs w:val="22"/>
          <w:bdr w:val="none" w:sz="0" w:space="0" w:color="auto" w:frame="1"/>
          <w:lang w:eastAsia="en-GB"/>
          <w14:ligatures w14:val="none"/>
        </w:rPr>
        <w:t xml:space="preserve">Evert et </w:t>
      </w:r>
      <w:proofErr w:type="gramStart"/>
      <w:r w:rsidR="00A35D24">
        <w:rPr>
          <w:rFonts w:ascii="Arial" w:eastAsia="Times New Roman" w:hAnsi="Arial" w:cs="Arial"/>
          <w:color w:val="242424"/>
          <w:kern w:val="0"/>
          <w:sz w:val="22"/>
          <w:szCs w:val="22"/>
          <w:bdr w:val="none" w:sz="0" w:space="0" w:color="auto" w:frame="1"/>
          <w:lang w:eastAsia="en-GB"/>
          <w14:ligatures w14:val="none"/>
        </w:rPr>
        <w:t xml:space="preserve">al </w:t>
      </w:r>
      <w:r w:rsidR="000F734B">
        <w:rPr>
          <w:rFonts w:ascii="Arial" w:eastAsia="Times New Roman" w:hAnsi="Arial" w:cs="Arial"/>
          <w:color w:val="242424"/>
          <w:kern w:val="0"/>
          <w:sz w:val="22"/>
          <w:szCs w:val="22"/>
          <w:bdr w:val="none" w:sz="0" w:space="0" w:color="auto" w:frame="1"/>
          <w:lang w:eastAsia="en-GB"/>
          <w14:ligatures w14:val="none"/>
        </w:rPr>
        <w:t>.</w:t>
      </w:r>
      <w:proofErr w:type="gramEnd"/>
      <w:r w:rsidR="000F734B">
        <w:rPr>
          <w:rFonts w:ascii="Arial" w:eastAsia="Times New Roman" w:hAnsi="Arial" w:cs="Arial"/>
          <w:color w:val="242424"/>
          <w:kern w:val="0"/>
          <w:sz w:val="22"/>
          <w:szCs w:val="22"/>
          <w:bdr w:val="none" w:sz="0" w:space="0" w:color="auto" w:frame="1"/>
          <w:lang w:eastAsia="en-GB"/>
          <w14:ligatures w14:val="none"/>
        </w:rPr>
        <w:t>,20</w:t>
      </w:r>
      <w:r w:rsidR="00B24249">
        <w:rPr>
          <w:rFonts w:ascii="Arial" w:eastAsia="Times New Roman" w:hAnsi="Arial" w:cs="Arial"/>
          <w:color w:val="242424"/>
          <w:kern w:val="0"/>
          <w:sz w:val="22"/>
          <w:szCs w:val="22"/>
          <w:bdr w:val="none" w:sz="0" w:space="0" w:color="auto" w:frame="1"/>
          <w:lang w:eastAsia="en-GB"/>
          <w14:ligatures w14:val="none"/>
        </w:rPr>
        <w:t>19)</w:t>
      </w:r>
    </w:p>
    <w:p w14:paraId="26AFE17C"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5.2 Physical activity</w:t>
      </w:r>
    </w:p>
    <w:p w14:paraId="3545761E" w14:textId="47FD1FF9"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Regular exercise improves insulin sensitivity, helping muscle cells use glucose more effectively. It can also support weight management, cardiovascular health and psychological well-being.</w:t>
      </w:r>
      <w:r w:rsidR="006B2C71">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 xml:space="preserve">The World Health </w:t>
      </w:r>
      <w:r w:rsidR="00D42A7C">
        <w:rPr>
          <w:rFonts w:ascii="Arial" w:eastAsia="Times New Roman" w:hAnsi="Arial" w:cs="Arial"/>
          <w:color w:val="242424"/>
          <w:kern w:val="0"/>
          <w:sz w:val="22"/>
          <w:szCs w:val="22"/>
          <w:bdr w:val="none" w:sz="0" w:space="0" w:color="auto" w:frame="1"/>
          <w:lang w:eastAsia="en-GB"/>
          <w14:ligatures w14:val="none"/>
        </w:rPr>
        <w:t>Organisation</w:t>
      </w:r>
      <w:r w:rsidRPr="008D219A">
        <w:rPr>
          <w:rFonts w:ascii="Arial" w:eastAsia="Times New Roman" w:hAnsi="Arial" w:cs="Arial"/>
          <w:color w:val="242424"/>
          <w:kern w:val="0"/>
          <w:sz w:val="22"/>
          <w:szCs w:val="22"/>
          <w:bdr w:val="none" w:sz="0" w:space="0" w:color="auto" w:frame="1"/>
          <w:lang w:eastAsia="en-GB"/>
          <w14:ligatures w14:val="none"/>
        </w:rPr>
        <w:t xml:space="preserve"> (2020) recommends that adults undertake 150–300 minutes of moderate-intensity aerobic activity each week, alongside muscle-strengthening activities on at least two days. Activities such as brisk walking, cycling, swimming and gardening can help patients meet these recommendations.</w:t>
      </w:r>
    </w:p>
    <w:p w14:paraId="44D11EFC" w14:textId="744886F3"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People who are currently inactive should start gradually and increase activity as their fitness improves. Nurses should also consider individual safety needs. Patients taking insulin or certain diabetes medicines may be at risk of hypoglycaemia during or after exercise and should seek advice about managing this </w:t>
      </w:r>
      <w:proofErr w:type="gramStart"/>
      <w:r w:rsidRPr="008D219A">
        <w:rPr>
          <w:rFonts w:ascii="Arial" w:eastAsia="Times New Roman" w:hAnsi="Arial" w:cs="Arial"/>
          <w:color w:val="242424"/>
          <w:kern w:val="0"/>
          <w:sz w:val="22"/>
          <w:szCs w:val="22"/>
          <w:bdr w:val="none" w:sz="0" w:space="0" w:color="auto" w:frame="1"/>
          <w:lang w:eastAsia="en-GB"/>
          <w14:ligatures w14:val="none"/>
        </w:rPr>
        <w:t>risk.</w:t>
      </w:r>
      <w:r w:rsidR="0075720A">
        <w:rPr>
          <w:rFonts w:ascii="Arial" w:eastAsia="Times New Roman" w:hAnsi="Arial" w:cs="Arial"/>
          <w:color w:val="242424"/>
          <w:kern w:val="0"/>
          <w:sz w:val="22"/>
          <w:szCs w:val="22"/>
          <w:bdr w:val="none" w:sz="0" w:space="0" w:color="auto" w:frame="1"/>
          <w:lang w:eastAsia="en-GB"/>
          <w14:ligatures w14:val="none"/>
        </w:rPr>
        <w:t>(</w:t>
      </w:r>
      <w:proofErr w:type="gramEnd"/>
      <w:r w:rsidR="00B44A79">
        <w:rPr>
          <w:rFonts w:ascii="Arial" w:eastAsia="Times New Roman" w:hAnsi="Arial" w:cs="Arial"/>
          <w:color w:val="242424"/>
          <w:kern w:val="0"/>
          <w:sz w:val="22"/>
          <w:szCs w:val="22"/>
          <w:bdr w:val="none" w:sz="0" w:space="0" w:color="auto" w:frame="1"/>
          <w:lang w:eastAsia="en-GB"/>
          <w14:ligatures w14:val="none"/>
        </w:rPr>
        <w:t>WHO,2020)</w:t>
      </w:r>
    </w:p>
    <w:p w14:paraId="259E8B55"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5.3 Weight management</w:t>
      </w:r>
    </w:p>
    <w:p w14:paraId="4E53F0ED"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For people who are overweight, gradual weight loss can improve insulin sensitivity and blood glucose control. Research by Lean et al. (2018) found that a structured weight-management programme helped some participants achieve remission of Type 2 diabetes.</w:t>
      </w:r>
    </w:p>
    <w:p w14:paraId="351D5A07" w14:textId="0C2DBEAF"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Remission means that blood glucose levels remain below the diabetes threshold without glucose-lowering medication for a defined period. It does not mean that diabetes has been permanently cured, and continued monitoring is </w:t>
      </w:r>
      <w:r w:rsidR="00641E64" w:rsidRPr="008D219A">
        <w:rPr>
          <w:rFonts w:ascii="Arial" w:eastAsia="Times New Roman" w:hAnsi="Arial" w:cs="Arial"/>
          <w:color w:val="242424"/>
          <w:kern w:val="0"/>
          <w:sz w:val="22"/>
          <w:szCs w:val="22"/>
          <w:bdr w:val="none" w:sz="0" w:space="0" w:color="auto" w:frame="1"/>
          <w:lang w:eastAsia="en-GB"/>
          <w14:ligatures w14:val="none"/>
        </w:rPr>
        <w:t>necessary. Nurses</w:t>
      </w:r>
      <w:r w:rsidRPr="008D219A">
        <w:rPr>
          <w:rFonts w:ascii="Arial" w:eastAsia="Times New Roman" w:hAnsi="Arial" w:cs="Arial"/>
          <w:color w:val="242424"/>
          <w:kern w:val="0"/>
          <w:sz w:val="22"/>
          <w:szCs w:val="22"/>
          <w:bdr w:val="none" w:sz="0" w:space="0" w:color="auto" w:frame="1"/>
          <w:lang w:eastAsia="en-GB"/>
          <w14:ligatures w14:val="none"/>
        </w:rPr>
        <w:t xml:space="preserve"> should discuss weight sensitively and avoid making patients feel blamed for their condition. Practical goals, such as improving meal choices or increasing daily walking, may be more achievable than recommending major changes all at </w:t>
      </w:r>
      <w:proofErr w:type="gramStart"/>
      <w:r w:rsidRPr="008D219A">
        <w:rPr>
          <w:rFonts w:ascii="Arial" w:eastAsia="Times New Roman" w:hAnsi="Arial" w:cs="Arial"/>
          <w:color w:val="242424"/>
          <w:kern w:val="0"/>
          <w:sz w:val="22"/>
          <w:szCs w:val="22"/>
          <w:bdr w:val="none" w:sz="0" w:space="0" w:color="auto" w:frame="1"/>
          <w:lang w:eastAsia="en-GB"/>
          <w14:ligatures w14:val="none"/>
        </w:rPr>
        <w:t>once.</w:t>
      </w:r>
      <w:r w:rsidR="006E26F7">
        <w:rPr>
          <w:rFonts w:ascii="Arial" w:eastAsia="Times New Roman" w:hAnsi="Arial" w:cs="Arial"/>
          <w:color w:val="242424"/>
          <w:kern w:val="0"/>
          <w:sz w:val="22"/>
          <w:szCs w:val="22"/>
          <w:bdr w:val="none" w:sz="0" w:space="0" w:color="auto" w:frame="1"/>
          <w:lang w:eastAsia="en-GB"/>
          <w14:ligatures w14:val="none"/>
        </w:rPr>
        <w:t>(</w:t>
      </w:r>
      <w:proofErr w:type="gramEnd"/>
      <w:r w:rsidR="00406437">
        <w:rPr>
          <w:rFonts w:ascii="Arial" w:eastAsia="Times New Roman" w:hAnsi="Arial" w:cs="Arial"/>
          <w:color w:val="242424"/>
          <w:kern w:val="0"/>
          <w:sz w:val="22"/>
          <w:szCs w:val="22"/>
          <w:bdr w:val="none" w:sz="0" w:space="0" w:color="auto" w:frame="1"/>
          <w:lang w:eastAsia="en-GB"/>
          <w14:ligatures w14:val="none"/>
        </w:rPr>
        <w:t>L</w:t>
      </w:r>
      <w:r w:rsidR="00770D15">
        <w:rPr>
          <w:rFonts w:ascii="Arial" w:eastAsia="Times New Roman" w:hAnsi="Arial" w:cs="Arial"/>
          <w:color w:val="242424"/>
          <w:kern w:val="0"/>
          <w:sz w:val="22"/>
          <w:szCs w:val="22"/>
          <w:bdr w:val="none" w:sz="0" w:space="0" w:color="auto" w:frame="1"/>
          <w:lang w:eastAsia="en-GB"/>
          <w14:ligatures w14:val="none"/>
        </w:rPr>
        <w:t>e</w:t>
      </w:r>
      <w:r w:rsidR="005B0504">
        <w:rPr>
          <w:rFonts w:ascii="Arial" w:eastAsia="Times New Roman" w:hAnsi="Arial" w:cs="Arial"/>
          <w:color w:val="242424"/>
          <w:kern w:val="0"/>
          <w:sz w:val="22"/>
          <w:szCs w:val="22"/>
          <w:bdr w:val="none" w:sz="0" w:space="0" w:color="auto" w:frame="1"/>
          <w:lang w:eastAsia="en-GB"/>
          <w14:ligatures w14:val="none"/>
        </w:rPr>
        <w:t>an</w:t>
      </w:r>
      <w:r w:rsidR="003455E5">
        <w:rPr>
          <w:rFonts w:ascii="Arial" w:eastAsia="Times New Roman" w:hAnsi="Arial" w:cs="Arial"/>
          <w:color w:val="242424"/>
          <w:kern w:val="0"/>
          <w:sz w:val="22"/>
          <w:szCs w:val="22"/>
          <w:bdr w:val="none" w:sz="0" w:space="0" w:color="auto" w:frame="1"/>
          <w:lang w:eastAsia="en-GB"/>
          <w14:ligatures w14:val="none"/>
        </w:rPr>
        <w:t xml:space="preserve"> et</w:t>
      </w:r>
      <w:r w:rsidR="00967919">
        <w:rPr>
          <w:rFonts w:ascii="Arial" w:eastAsia="Times New Roman" w:hAnsi="Arial" w:cs="Arial"/>
          <w:color w:val="242424"/>
          <w:kern w:val="0"/>
          <w:sz w:val="22"/>
          <w:szCs w:val="22"/>
          <w:bdr w:val="none" w:sz="0" w:space="0" w:color="auto" w:frame="1"/>
          <w:lang w:eastAsia="en-GB"/>
          <w14:ligatures w14:val="none"/>
        </w:rPr>
        <w:t xml:space="preserve"> </w:t>
      </w:r>
      <w:r w:rsidR="00450BE1">
        <w:rPr>
          <w:rFonts w:ascii="Arial" w:eastAsia="Times New Roman" w:hAnsi="Arial" w:cs="Arial"/>
          <w:color w:val="242424"/>
          <w:kern w:val="0"/>
          <w:sz w:val="22"/>
          <w:szCs w:val="22"/>
          <w:bdr w:val="none" w:sz="0" w:space="0" w:color="auto" w:frame="1"/>
          <w:lang w:eastAsia="en-GB"/>
          <w14:ligatures w14:val="none"/>
        </w:rPr>
        <w:t>al</w:t>
      </w:r>
      <w:r w:rsidR="008140D6">
        <w:rPr>
          <w:rFonts w:ascii="Arial" w:eastAsia="Times New Roman" w:hAnsi="Arial" w:cs="Arial"/>
          <w:color w:val="242424"/>
          <w:kern w:val="0"/>
          <w:sz w:val="22"/>
          <w:szCs w:val="22"/>
          <w:bdr w:val="none" w:sz="0" w:space="0" w:color="auto" w:frame="1"/>
          <w:lang w:eastAsia="en-GB"/>
          <w14:ligatures w14:val="none"/>
        </w:rPr>
        <w:t>.,</w:t>
      </w:r>
      <w:r w:rsidR="00456C12">
        <w:rPr>
          <w:rFonts w:ascii="Arial" w:eastAsia="Times New Roman" w:hAnsi="Arial" w:cs="Arial"/>
          <w:color w:val="242424"/>
          <w:kern w:val="0"/>
          <w:sz w:val="22"/>
          <w:szCs w:val="22"/>
          <w:bdr w:val="none" w:sz="0" w:space="0" w:color="auto" w:frame="1"/>
          <w:lang w:eastAsia="en-GB"/>
          <w14:ligatures w14:val="none"/>
        </w:rPr>
        <w:t xml:space="preserve"> </w:t>
      </w:r>
      <w:proofErr w:type="gramStart"/>
      <w:r w:rsidR="00456C12">
        <w:rPr>
          <w:rFonts w:ascii="Arial" w:eastAsia="Times New Roman" w:hAnsi="Arial" w:cs="Arial"/>
          <w:color w:val="242424"/>
          <w:kern w:val="0"/>
          <w:sz w:val="22"/>
          <w:szCs w:val="22"/>
          <w:bdr w:val="none" w:sz="0" w:space="0" w:color="auto" w:frame="1"/>
          <w:lang w:eastAsia="en-GB"/>
          <w14:ligatures w14:val="none"/>
        </w:rPr>
        <w:t>201</w:t>
      </w:r>
      <w:r w:rsidR="006A4E08">
        <w:rPr>
          <w:rFonts w:ascii="Arial" w:eastAsia="Times New Roman" w:hAnsi="Arial" w:cs="Arial"/>
          <w:color w:val="242424"/>
          <w:kern w:val="0"/>
          <w:sz w:val="22"/>
          <w:szCs w:val="22"/>
          <w:bdr w:val="none" w:sz="0" w:space="0" w:color="auto" w:frame="1"/>
          <w:lang w:eastAsia="en-GB"/>
          <w14:ligatures w14:val="none"/>
        </w:rPr>
        <w:t>8 )</w:t>
      </w:r>
      <w:proofErr w:type="gramEnd"/>
    </w:p>
    <w:p w14:paraId="421394A3"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5.4 Smoking cessation</w:t>
      </w:r>
    </w:p>
    <w:p w14:paraId="0439FFBE"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Smoking increases the risk of cardiovascular disease and poor circulation. For people with diabetes, this creates additional concerns about heart disease, foot problems and wound healing. Stopping smoking can therefore reduce overall health risks.</w:t>
      </w:r>
    </w:p>
    <w:p w14:paraId="4014DD49" w14:textId="2E27E66A"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Practice nurses should ask patients about smoking in a non-judgmental way and explain the benefits of quitting. They can also refer patients to NHS stop-smoking services for behavioural support and suitable treatments. Patients who have tried to quit previously should be encouraged to try again, as several attempts may be </w:t>
      </w:r>
      <w:proofErr w:type="gramStart"/>
      <w:r w:rsidRPr="008D219A">
        <w:rPr>
          <w:rFonts w:ascii="Arial" w:eastAsia="Times New Roman" w:hAnsi="Arial" w:cs="Arial"/>
          <w:color w:val="242424"/>
          <w:kern w:val="0"/>
          <w:sz w:val="22"/>
          <w:szCs w:val="22"/>
          <w:bdr w:val="none" w:sz="0" w:space="0" w:color="auto" w:frame="1"/>
          <w:lang w:eastAsia="en-GB"/>
          <w14:ligatures w14:val="none"/>
        </w:rPr>
        <w:t>needed.</w:t>
      </w:r>
      <w:r w:rsidR="00C01995">
        <w:rPr>
          <w:rFonts w:ascii="Arial" w:eastAsia="Times New Roman" w:hAnsi="Arial" w:cs="Arial"/>
          <w:color w:val="242424"/>
          <w:kern w:val="0"/>
          <w:sz w:val="22"/>
          <w:szCs w:val="22"/>
          <w:bdr w:val="none" w:sz="0" w:space="0" w:color="auto" w:frame="1"/>
          <w:lang w:eastAsia="en-GB"/>
          <w14:ligatures w14:val="none"/>
        </w:rPr>
        <w:t>(</w:t>
      </w:r>
      <w:proofErr w:type="spellStart"/>
      <w:r w:rsidR="00C01995">
        <w:rPr>
          <w:rFonts w:ascii="Arial" w:eastAsia="Times New Roman" w:hAnsi="Arial" w:cs="Arial"/>
          <w:color w:val="242424"/>
          <w:kern w:val="0"/>
          <w:sz w:val="22"/>
          <w:szCs w:val="22"/>
          <w:bdr w:val="none" w:sz="0" w:space="0" w:color="auto" w:frame="1"/>
          <w:lang w:eastAsia="en-GB"/>
          <w14:ligatures w14:val="none"/>
        </w:rPr>
        <w:t>NHS,n.d</w:t>
      </w:r>
      <w:proofErr w:type="spellEnd"/>
      <w:r w:rsidR="0096692C">
        <w:rPr>
          <w:rFonts w:ascii="Arial" w:eastAsia="Times New Roman" w:hAnsi="Arial" w:cs="Arial"/>
          <w:color w:val="242424"/>
          <w:kern w:val="0"/>
          <w:sz w:val="22"/>
          <w:szCs w:val="22"/>
          <w:bdr w:val="none" w:sz="0" w:space="0" w:color="auto" w:frame="1"/>
          <w:lang w:eastAsia="en-GB"/>
          <w14:ligatures w14:val="none"/>
        </w:rPr>
        <w:t>.</w:t>
      </w:r>
      <w:proofErr w:type="gramEnd"/>
      <w:r w:rsidR="0096692C">
        <w:rPr>
          <w:rFonts w:ascii="Arial" w:eastAsia="Times New Roman" w:hAnsi="Arial" w:cs="Arial"/>
          <w:color w:val="242424"/>
          <w:kern w:val="0"/>
          <w:sz w:val="22"/>
          <w:szCs w:val="22"/>
          <w:bdr w:val="none" w:sz="0" w:space="0" w:color="auto" w:frame="1"/>
          <w:lang w:eastAsia="en-GB"/>
          <w14:ligatures w14:val="none"/>
        </w:rPr>
        <w:t>)</w:t>
      </w:r>
    </w:p>
    <w:p w14:paraId="7B7A1B5F"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lang w:eastAsia="en-GB"/>
          <w14:ligatures w14:val="none"/>
        </w:rPr>
      </w:pPr>
      <w:r w:rsidRPr="008D219A">
        <w:rPr>
          <w:rFonts w:ascii="Arial" w:eastAsia="Times New Roman" w:hAnsi="Arial" w:cs="Arial"/>
          <w:b/>
          <w:bCs/>
          <w:color w:val="242424"/>
          <w:kern w:val="0"/>
          <w:bdr w:val="none" w:sz="0" w:space="0" w:color="auto" w:frame="1"/>
          <w:lang w:eastAsia="en-GB"/>
          <w14:ligatures w14:val="none"/>
        </w:rPr>
        <w:t>5.5 Ongoing education and support</w:t>
      </w:r>
    </w:p>
    <w:p w14:paraId="16791442" w14:textId="77777777"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Alcohol intake, poor sleep and stress can make diabetes management more difficult. Patients should be encouraged to follow UK alcohol guidance and seek advice about alcohol-related hypoglycaemia if they use insulin or certain medicines. Support with stress and sleep may also improve their ability to follow a care plan.</w:t>
      </w:r>
    </w:p>
    <w:p w14:paraId="3E0AEE7C" w14:textId="063A6242" w:rsidR="00DD5484" w:rsidRPr="008D219A"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lastRenderedPageBreak/>
        <w:t xml:space="preserve">Structured diabetes education helps patients understand their condition and develop practical self-management skills. NICE (2022) supports education as part of individualised diabetes care. Nurses can encourage attendance at suitable programmes and review patients’ progress during follow-up appointments. Setting achievable goals with patients may improve confidence and long-term </w:t>
      </w:r>
      <w:r w:rsidR="00823041" w:rsidRPr="008D219A">
        <w:rPr>
          <w:rFonts w:ascii="Arial" w:eastAsia="Times New Roman" w:hAnsi="Arial" w:cs="Arial"/>
          <w:color w:val="242424"/>
          <w:kern w:val="0"/>
          <w:sz w:val="22"/>
          <w:szCs w:val="22"/>
          <w:bdr w:val="none" w:sz="0" w:space="0" w:color="auto" w:frame="1"/>
          <w:lang w:eastAsia="en-GB"/>
          <w14:ligatures w14:val="none"/>
        </w:rPr>
        <w:t>engagement.</w:t>
      </w:r>
      <w:r w:rsidR="00823041">
        <w:rPr>
          <w:rFonts w:ascii="Arial" w:eastAsia="Times New Roman" w:hAnsi="Arial" w:cs="Arial"/>
          <w:color w:val="242424"/>
          <w:kern w:val="0"/>
          <w:sz w:val="22"/>
          <w:szCs w:val="22"/>
          <w:bdr w:val="none" w:sz="0" w:space="0" w:color="auto" w:frame="1"/>
          <w:lang w:eastAsia="en-GB"/>
          <w14:ligatures w14:val="none"/>
        </w:rPr>
        <w:t xml:space="preserve"> (</w:t>
      </w:r>
      <w:r w:rsidR="00CF5933">
        <w:rPr>
          <w:rFonts w:ascii="Arial" w:eastAsia="Times New Roman" w:hAnsi="Arial" w:cs="Arial"/>
          <w:color w:val="242424"/>
          <w:kern w:val="0"/>
          <w:sz w:val="22"/>
          <w:szCs w:val="22"/>
          <w:bdr w:val="none" w:sz="0" w:space="0" w:color="auto" w:frame="1"/>
          <w:lang w:eastAsia="en-GB"/>
          <w14:ligatures w14:val="none"/>
        </w:rPr>
        <w:t>NI</w:t>
      </w:r>
      <w:r w:rsidR="00D6550E">
        <w:rPr>
          <w:rFonts w:ascii="Arial" w:eastAsia="Times New Roman" w:hAnsi="Arial" w:cs="Arial"/>
          <w:color w:val="242424"/>
          <w:kern w:val="0"/>
          <w:sz w:val="22"/>
          <w:szCs w:val="22"/>
          <w:bdr w:val="none" w:sz="0" w:space="0" w:color="auto" w:frame="1"/>
          <w:lang w:eastAsia="en-GB"/>
          <w14:ligatures w14:val="none"/>
        </w:rPr>
        <w:t>CE</w:t>
      </w:r>
      <w:r w:rsidR="001B21B2">
        <w:rPr>
          <w:rFonts w:ascii="Arial" w:eastAsia="Times New Roman" w:hAnsi="Arial" w:cs="Arial"/>
          <w:color w:val="242424"/>
          <w:kern w:val="0"/>
          <w:sz w:val="22"/>
          <w:szCs w:val="22"/>
          <w:bdr w:val="none" w:sz="0" w:space="0" w:color="auto" w:frame="1"/>
          <w:lang w:eastAsia="en-GB"/>
          <w14:ligatures w14:val="none"/>
        </w:rPr>
        <w:t xml:space="preserve"> </w:t>
      </w:r>
      <w:r w:rsidR="002B6ACF">
        <w:rPr>
          <w:rFonts w:ascii="Arial" w:eastAsia="Times New Roman" w:hAnsi="Arial" w:cs="Arial"/>
          <w:color w:val="242424"/>
          <w:kern w:val="0"/>
          <w:sz w:val="22"/>
          <w:szCs w:val="22"/>
          <w:bdr w:val="none" w:sz="0" w:space="0" w:color="auto" w:frame="1"/>
          <w:lang w:eastAsia="en-GB"/>
          <w14:ligatures w14:val="none"/>
        </w:rPr>
        <w:t>2</w:t>
      </w:r>
      <w:r w:rsidR="00423744">
        <w:rPr>
          <w:rFonts w:ascii="Arial" w:eastAsia="Times New Roman" w:hAnsi="Arial" w:cs="Arial"/>
          <w:color w:val="242424"/>
          <w:kern w:val="0"/>
          <w:sz w:val="22"/>
          <w:szCs w:val="22"/>
          <w:bdr w:val="none" w:sz="0" w:space="0" w:color="auto" w:frame="1"/>
          <w:lang w:eastAsia="en-GB"/>
          <w14:ligatures w14:val="none"/>
        </w:rPr>
        <w:t>022</w:t>
      </w:r>
      <w:r w:rsidR="00A24353">
        <w:rPr>
          <w:rFonts w:ascii="Arial" w:eastAsia="Times New Roman" w:hAnsi="Arial" w:cs="Arial"/>
          <w:color w:val="242424"/>
          <w:kern w:val="0"/>
          <w:sz w:val="22"/>
          <w:szCs w:val="22"/>
          <w:bdr w:val="none" w:sz="0" w:space="0" w:color="auto" w:frame="1"/>
          <w:lang w:eastAsia="en-GB"/>
          <w14:ligatures w14:val="none"/>
        </w:rPr>
        <w:t>)</w:t>
      </w:r>
    </w:p>
    <w:p w14:paraId="446BE1F7" w14:textId="77777777" w:rsidR="00DD5484" w:rsidRPr="008D219A" w:rsidRDefault="00DD5484" w:rsidP="008D219A">
      <w:pPr>
        <w:shd w:val="clear" w:color="auto" w:fill="FFFFFF"/>
        <w:spacing w:after="0" w:line="360" w:lineRule="auto"/>
        <w:rPr>
          <w:rFonts w:ascii="Arial" w:eastAsia="Times New Roman" w:hAnsi="Arial" w:cs="Arial"/>
          <w:b/>
          <w:bCs/>
          <w:color w:val="242424"/>
          <w:kern w:val="0"/>
          <w:sz w:val="32"/>
          <w:szCs w:val="32"/>
          <w:lang w:eastAsia="en-GB"/>
          <w14:ligatures w14:val="none"/>
        </w:rPr>
      </w:pPr>
      <w:r w:rsidRPr="008D219A">
        <w:rPr>
          <w:rFonts w:ascii="Arial" w:eastAsia="Times New Roman" w:hAnsi="Arial" w:cs="Arial"/>
          <w:b/>
          <w:bCs/>
          <w:color w:val="242424"/>
          <w:kern w:val="0"/>
          <w:sz w:val="32"/>
          <w:szCs w:val="32"/>
          <w:bdr w:val="none" w:sz="0" w:space="0" w:color="auto" w:frame="1"/>
          <w:lang w:eastAsia="en-GB"/>
          <w14:ligatures w14:val="none"/>
        </w:rPr>
        <w:t>6. Conclusion</w:t>
      </w:r>
    </w:p>
    <w:p w14:paraId="4192D447" w14:textId="3E14316A" w:rsidR="00DD5484" w:rsidRPr="00C4781C" w:rsidRDefault="00DD5484" w:rsidP="008D219A">
      <w:pPr>
        <w:shd w:val="clear" w:color="auto" w:fill="FFFFFF"/>
        <w:spacing w:after="0" w:line="360" w:lineRule="auto"/>
        <w:rPr>
          <w:rFonts w:ascii="Arial" w:eastAsia="Times New Roman" w:hAnsi="Arial" w:cs="Arial"/>
          <w:color w:val="242424"/>
          <w:kern w:val="0"/>
          <w:sz w:val="22"/>
          <w:szCs w:val="22"/>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Type 2 diabetes develops when insulin resistance and insufficient insulin production disrupt normal blood glucose regulation. Understanding the roles of insulin, glucagon and cellular respiration helps explain why glucose control is important for the body’s energy needs and long-term health.</w:t>
      </w:r>
      <w:r w:rsidR="00C4781C">
        <w:rPr>
          <w:rFonts w:ascii="Arial" w:eastAsia="Times New Roman" w:hAnsi="Arial" w:cs="Arial"/>
          <w:color w:val="242424"/>
          <w:kern w:val="0"/>
          <w:sz w:val="22"/>
          <w:szCs w:val="22"/>
          <w:bdr w:val="none" w:sz="0" w:space="0" w:color="auto" w:frame="1"/>
          <w:lang w:eastAsia="en-GB"/>
          <w14:ligatures w14:val="none"/>
        </w:rPr>
        <w:t xml:space="preserve"> </w:t>
      </w:r>
      <w:r w:rsidRPr="008D219A">
        <w:rPr>
          <w:rFonts w:ascii="Arial" w:eastAsia="Times New Roman" w:hAnsi="Arial" w:cs="Arial"/>
          <w:color w:val="242424"/>
          <w:kern w:val="0"/>
          <w:sz w:val="22"/>
          <w:szCs w:val="22"/>
          <w:bdr w:val="none" w:sz="0" w:space="0" w:color="auto" w:frame="1"/>
          <w:lang w:eastAsia="en-GB"/>
          <w14:ligatures w14:val="none"/>
        </w:rPr>
        <w:t xml:space="preserve">Recording blood glucose can help selected patients identify patterns, recognise potential problems and discuss treatment decisions with healthcare professionals. However, monitoring should be appropriate to the individual’s needs and linked to clear </w:t>
      </w:r>
      <w:r w:rsidR="00C4781C" w:rsidRPr="008D219A">
        <w:rPr>
          <w:rFonts w:ascii="Arial" w:eastAsia="Times New Roman" w:hAnsi="Arial" w:cs="Arial"/>
          <w:color w:val="242424"/>
          <w:kern w:val="0"/>
          <w:sz w:val="22"/>
          <w:szCs w:val="22"/>
          <w:bdr w:val="none" w:sz="0" w:space="0" w:color="auto" w:frame="1"/>
          <w:lang w:eastAsia="en-GB"/>
          <w14:ligatures w14:val="none"/>
        </w:rPr>
        <w:t>advice. Lifestyle</w:t>
      </w:r>
      <w:r w:rsidRPr="008D219A">
        <w:rPr>
          <w:rFonts w:ascii="Arial" w:eastAsia="Times New Roman" w:hAnsi="Arial" w:cs="Arial"/>
          <w:color w:val="242424"/>
          <w:kern w:val="0"/>
          <w:sz w:val="22"/>
          <w:szCs w:val="22"/>
          <w:bdr w:val="none" w:sz="0" w:space="0" w:color="auto" w:frame="1"/>
          <w:lang w:eastAsia="en-GB"/>
          <w14:ligatures w14:val="none"/>
        </w:rPr>
        <w:t xml:space="preserve"> changes, including balanced eating, physical activity, weight management and smoking cessation, can improve glucose control and reduce the risk of complications. Practice nurses play an important role in providing evidence-based education, supporting realistic goals and encouraging patients to manage their condition without judgement. This person-centred approach can help improve confidence, safety and long-term health outcomes.</w:t>
      </w:r>
      <w:r w:rsidRPr="008D219A">
        <w:rPr>
          <w:rFonts w:ascii="Arial" w:eastAsia="Times New Roman" w:hAnsi="Arial" w:cs="Arial"/>
          <w:color w:val="242424"/>
          <w:kern w:val="0"/>
          <w:sz w:val="22"/>
          <w:szCs w:val="22"/>
          <w:bdr w:val="none" w:sz="0" w:space="0" w:color="auto" w:frame="1"/>
          <w:lang w:eastAsia="en-GB"/>
          <w14:ligatures w14:val="none"/>
        </w:rPr>
        <w:br/>
      </w:r>
    </w:p>
    <w:p w14:paraId="70A590CC" w14:textId="77777777" w:rsidR="008D219A" w:rsidRDefault="008D219A"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0BB68D8B" w14:textId="77777777" w:rsidR="008D219A" w:rsidRDefault="008D219A"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6D576E8E" w14:textId="77777777" w:rsidR="00C4781C" w:rsidRDefault="00C4781C"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00DCAFFC" w14:textId="77777777" w:rsidR="00C4781C" w:rsidRDefault="00C4781C"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F93E125" w14:textId="77777777" w:rsidR="00C4781C" w:rsidRDefault="00C4781C"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1CED906E"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5525AABC"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11EE55FD"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60FD237" w14:textId="77777777" w:rsidR="005A1DB0" w:rsidRDefault="005A1DB0"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11F40864" w14:textId="17AC6067" w:rsidR="008D219A" w:rsidRDefault="008D219A"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201B8705"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3068C881"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50BC5E88"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2A81205B" w14:textId="77777777" w:rsidR="007B4DE7" w:rsidRDefault="007B4DE7"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532E0FE" w14:textId="77777777" w:rsidR="007B4DE7" w:rsidRDefault="007B4DE7"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4401F9CA" w14:textId="77777777" w:rsidR="007B4DE7" w:rsidRDefault="007B4DE7"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7B2E0B74" w14:textId="77777777" w:rsidR="00A55768" w:rsidRDefault="00A55768" w:rsidP="008D219A">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p>
    <w:p w14:paraId="4E991EC3" w14:textId="65835A5A" w:rsidR="008D219A" w:rsidRPr="008D219A" w:rsidRDefault="008D219A" w:rsidP="008D219A">
      <w:pPr>
        <w:shd w:val="clear" w:color="auto" w:fill="FFFFFF"/>
        <w:spacing w:after="0" w:line="360" w:lineRule="auto"/>
        <w:rPr>
          <w:rFonts w:ascii="Arial" w:eastAsia="Times New Roman" w:hAnsi="Arial" w:cs="Arial"/>
          <w:color w:val="242424"/>
          <w:kern w:val="0"/>
          <w:sz w:val="22"/>
          <w:szCs w:val="22"/>
          <w:lang w:eastAsia="en-GB"/>
          <w14:ligatures w14:val="none"/>
        </w:rPr>
      </w:pPr>
    </w:p>
    <w:p w14:paraId="38E67160" w14:textId="3617F7D5" w:rsidR="00DD5484" w:rsidRDefault="00DD5484" w:rsidP="008D219A">
      <w:pPr>
        <w:shd w:val="clear" w:color="auto" w:fill="FFFFFF"/>
        <w:spacing w:after="0" w:line="36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8D219A">
        <w:rPr>
          <w:rFonts w:ascii="Arial" w:eastAsia="Times New Roman" w:hAnsi="Arial" w:cs="Arial"/>
          <w:b/>
          <w:bCs/>
          <w:color w:val="242424"/>
          <w:kern w:val="0"/>
          <w:sz w:val="32"/>
          <w:szCs w:val="32"/>
          <w:bdr w:val="none" w:sz="0" w:space="0" w:color="auto" w:frame="1"/>
          <w:lang w:eastAsia="en-GB"/>
          <w14:ligatures w14:val="none"/>
        </w:rPr>
        <w:t xml:space="preserve">Reference </w:t>
      </w:r>
      <w:r w:rsidR="006C3E83" w:rsidRPr="008D219A">
        <w:rPr>
          <w:rFonts w:ascii="Arial" w:eastAsia="Times New Roman" w:hAnsi="Arial" w:cs="Arial"/>
          <w:b/>
          <w:bCs/>
          <w:color w:val="242424"/>
          <w:kern w:val="0"/>
          <w:sz w:val="32"/>
          <w:szCs w:val="32"/>
          <w:bdr w:val="none" w:sz="0" w:space="0" w:color="auto" w:frame="1"/>
          <w:lang w:eastAsia="en-GB"/>
          <w14:ligatures w14:val="none"/>
        </w:rPr>
        <w:t>List</w:t>
      </w:r>
      <w:r w:rsidR="006C3E83">
        <w:rPr>
          <w:rFonts w:ascii="Arial" w:eastAsia="Times New Roman" w:hAnsi="Arial" w:cs="Arial"/>
          <w:b/>
          <w:bCs/>
          <w:color w:val="242424"/>
          <w:kern w:val="0"/>
          <w:sz w:val="32"/>
          <w:szCs w:val="32"/>
          <w:bdr w:val="none" w:sz="0" w:space="0" w:color="auto" w:frame="1"/>
          <w:lang w:eastAsia="en-GB"/>
          <w14:ligatures w14:val="none"/>
        </w:rPr>
        <w:t>:</w:t>
      </w:r>
    </w:p>
    <w:p w14:paraId="0F9DDA3B" w14:textId="77777777" w:rsidR="006C3E83" w:rsidRPr="008D219A" w:rsidRDefault="006C3E83" w:rsidP="008D219A">
      <w:pPr>
        <w:shd w:val="clear" w:color="auto" w:fill="FFFFFF"/>
        <w:spacing w:after="0" w:line="360" w:lineRule="auto"/>
        <w:textAlignment w:val="baseline"/>
        <w:rPr>
          <w:rFonts w:ascii="Arial" w:eastAsia="Times New Roman" w:hAnsi="Arial" w:cs="Arial"/>
          <w:color w:val="242424"/>
          <w:kern w:val="0"/>
          <w:sz w:val="32"/>
          <w:szCs w:val="32"/>
          <w:bdr w:val="none" w:sz="0" w:space="0" w:color="auto" w:frame="1"/>
          <w:lang w:eastAsia="en-GB"/>
          <w14:ligatures w14:val="none"/>
        </w:rPr>
      </w:pPr>
    </w:p>
    <w:p w14:paraId="01E40CD9" w14:textId="48A0D41D" w:rsidR="000B1648" w:rsidRDefault="00DD5484" w:rsidP="005309AD">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American Diabetes Association Professional Practice Committee (2024) ‘9. Pharmacologic approaches to </w:t>
      </w:r>
      <w:r w:rsidR="006C3E83" w:rsidRPr="008D219A">
        <w:rPr>
          <w:rFonts w:ascii="Arial" w:eastAsia="Times New Roman" w:hAnsi="Arial" w:cs="Arial"/>
          <w:color w:val="242424"/>
          <w:kern w:val="0"/>
          <w:sz w:val="22"/>
          <w:szCs w:val="22"/>
          <w:bdr w:val="none" w:sz="0" w:space="0" w:color="auto" w:frame="1"/>
          <w:lang w:eastAsia="en-GB"/>
          <w14:ligatures w14:val="none"/>
        </w:rPr>
        <w:t>glycaemic</w:t>
      </w:r>
      <w:r w:rsidRPr="008D219A">
        <w:rPr>
          <w:rFonts w:ascii="Arial" w:eastAsia="Times New Roman" w:hAnsi="Arial" w:cs="Arial"/>
          <w:color w:val="242424"/>
          <w:kern w:val="0"/>
          <w:sz w:val="22"/>
          <w:szCs w:val="22"/>
          <w:bdr w:val="none" w:sz="0" w:space="0" w:color="auto" w:frame="1"/>
          <w:lang w:eastAsia="en-GB"/>
          <w14:ligatures w14:val="none"/>
        </w:rPr>
        <w:t xml:space="preserve"> treatment: Standards of Care in Diabetes—2024’, </w:t>
      </w:r>
      <w:r w:rsidRPr="008D219A">
        <w:rPr>
          <w:rFonts w:ascii="Arial" w:eastAsia="Times New Roman" w:hAnsi="Arial" w:cs="Arial"/>
          <w:i/>
          <w:iCs/>
          <w:color w:val="242424"/>
          <w:kern w:val="0"/>
          <w:sz w:val="22"/>
          <w:szCs w:val="22"/>
          <w:bdr w:val="none" w:sz="0" w:space="0" w:color="auto" w:frame="1"/>
          <w:lang w:eastAsia="en-GB"/>
          <w14:ligatures w14:val="none"/>
        </w:rPr>
        <w:t>Diabetes Care</w:t>
      </w:r>
      <w:r w:rsidRPr="008D219A">
        <w:rPr>
          <w:rFonts w:ascii="Arial" w:eastAsia="Times New Roman" w:hAnsi="Arial" w:cs="Arial"/>
          <w:color w:val="242424"/>
          <w:kern w:val="0"/>
          <w:sz w:val="22"/>
          <w:szCs w:val="22"/>
          <w:bdr w:val="none" w:sz="0" w:space="0" w:color="auto" w:frame="1"/>
          <w:lang w:eastAsia="en-GB"/>
          <w14:ligatures w14:val="none"/>
        </w:rPr>
        <w:t xml:space="preserve">, 47(Suppl. 1), pp. S158–S178. Available at: </w:t>
      </w:r>
      <w:hyperlink r:id="rId9" w:tgtFrame="_blank" w:tooltip="Original URL: https://doi.org/10.2337/dc24-S009.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https://doi.org/10.2337/dc24-S009</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14 October 2026).</w:t>
      </w:r>
    </w:p>
    <w:p w14:paraId="666295D2" w14:textId="77777777" w:rsidR="00C4781C" w:rsidRPr="005309AD" w:rsidRDefault="00C4781C" w:rsidP="00C4781C">
      <w:pPr>
        <w:pStyle w:val="ListParagraph"/>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FF0BEDE" w14:textId="784ED31E" w:rsidR="000B1648" w:rsidRDefault="00DD5484" w:rsidP="000B1648">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Davies, M.J. et al. (2022) ‘Management of hyperglycemia in type 2 diabetes, 2022. A consensus report by the American Diabetes Association (ADA) and the European Association for the Study of Diabetes (EASD)’, </w:t>
      </w:r>
      <w:r w:rsidRPr="008D219A">
        <w:rPr>
          <w:rFonts w:ascii="Arial" w:eastAsia="Times New Roman" w:hAnsi="Arial" w:cs="Arial"/>
          <w:i/>
          <w:iCs/>
          <w:color w:val="242424"/>
          <w:kern w:val="0"/>
          <w:sz w:val="22"/>
          <w:szCs w:val="22"/>
          <w:bdr w:val="none" w:sz="0" w:space="0" w:color="auto" w:frame="1"/>
          <w:lang w:eastAsia="en-GB"/>
          <w14:ligatures w14:val="none"/>
        </w:rPr>
        <w:t>Diabetes Care</w:t>
      </w:r>
      <w:r w:rsidRPr="008D219A">
        <w:rPr>
          <w:rFonts w:ascii="Arial" w:eastAsia="Times New Roman" w:hAnsi="Arial" w:cs="Arial"/>
          <w:color w:val="242424"/>
          <w:kern w:val="0"/>
          <w:sz w:val="22"/>
          <w:szCs w:val="22"/>
          <w:bdr w:val="none" w:sz="0" w:space="0" w:color="auto" w:frame="1"/>
          <w:lang w:eastAsia="en-GB"/>
          <w14:ligatures w14:val="none"/>
        </w:rPr>
        <w:t xml:space="preserve">, 45(11), pp. </w:t>
      </w:r>
      <w:hyperlink r:id="rId10" w:tgtFrame="_blank" w:tooltip="tel:2753-2786" w:history="1">
        <w:r w:rsidRPr="008D219A">
          <w:rPr>
            <w:rFonts w:ascii="Arial" w:eastAsia="Times New Roman" w:hAnsi="Arial" w:cs="Arial"/>
            <w:color w:val="0000FF"/>
            <w:kern w:val="0"/>
            <w:sz w:val="22"/>
            <w:szCs w:val="22"/>
            <w:u w:val="single"/>
            <w:bdr w:val="none" w:sz="0" w:space="0" w:color="auto" w:frame="1"/>
            <w:lang w:eastAsia="en-GB"/>
            <w14:ligatures w14:val="none"/>
          </w:rPr>
          <w:t>2753–2786</w:t>
        </w:r>
      </w:hyperlink>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1" w:tgtFrame="_blank" w:tooltip="Original URL: https://doi.org/10.2337/dci22-0034.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https://doi.org/10.2337/dci22-0034</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E87E57">
        <w:rPr>
          <w:rFonts w:ascii="Arial" w:eastAsia="Times New Roman" w:hAnsi="Arial" w:cs="Arial"/>
          <w:color w:val="242424"/>
          <w:kern w:val="0"/>
          <w:sz w:val="22"/>
          <w:szCs w:val="22"/>
          <w:bdr w:val="none" w:sz="0" w:space="0" w:color="auto" w:frame="1"/>
          <w:lang w:eastAsia="en-GB"/>
          <w14:ligatures w14:val="none"/>
        </w:rPr>
        <w:t>6</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67CA879C"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2C999B3" w14:textId="3D836E35" w:rsidR="000B1648" w:rsidRDefault="00DD5484" w:rsidP="000B1648">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Diabetes UK (n.d.) </w:t>
      </w:r>
      <w:r w:rsidRPr="008D219A">
        <w:rPr>
          <w:rFonts w:ascii="Arial" w:eastAsia="Times New Roman" w:hAnsi="Arial" w:cs="Arial"/>
          <w:i/>
          <w:iCs/>
          <w:color w:val="242424"/>
          <w:kern w:val="0"/>
          <w:sz w:val="22"/>
          <w:szCs w:val="22"/>
          <w:bdr w:val="none" w:sz="0" w:space="0" w:color="auto" w:frame="1"/>
          <w:lang w:eastAsia="en-GB"/>
          <w14:ligatures w14:val="none"/>
        </w:rPr>
        <w:t>Type 2 diabetes</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2" w:tgtFrame="_blank" w:tooltip="Original URL: https://www.diabetes.org.uk/about-diabetes/type-2-diabetes.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https://www.diabetes.org.uk/about-diabetes/type-2-diabetes</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14 October 2026).</w:t>
      </w:r>
    </w:p>
    <w:p w14:paraId="59C780B3"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EB9811E" w14:textId="1EF61980" w:rsidR="000B1648" w:rsidRDefault="00DD5484" w:rsidP="000B1648">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Evert, A.B. et al. (2019) ‘Nutrition therapy for adults with diabetes or prediabetes: a consensus report’, </w:t>
      </w:r>
      <w:r w:rsidRPr="008D219A">
        <w:rPr>
          <w:rFonts w:ascii="Arial" w:eastAsia="Times New Roman" w:hAnsi="Arial" w:cs="Arial"/>
          <w:i/>
          <w:iCs/>
          <w:color w:val="242424"/>
          <w:kern w:val="0"/>
          <w:sz w:val="22"/>
          <w:szCs w:val="22"/>
          <w:bdr w:val="none" w:sz="0" w:space="0" w:color="auto" w:frame="1"/>
          <w:lang w:eastAsia="en-GB"/>
          <w14:ligatures w14:val="none"/>
        </w:rPr>
        <w:t>Diabetes Care</w:t>
      </w:r>
      <w:r w:rsidRPr="008D219A">
        <w:rPr>
          <w:rFonts w:ascii="Arial" w:eastAsia="Times New Roman" w:hAnsi="Arial" w:cs="Arial"/>
          <w:color w:val="242424"/>
          <w:kern w:val="0"/>
          <w:sz w:val="22"/>
          <w:szCs w:val="22"/>
          <w:bdr w:val="none" w:sz="0" w:space="0" w:color="auto" w:frame="1"/>
          <w:lang w:eastAsia="en-GB"/>
          <w14:ligatures w14:val="none"/>
        </w:rPr>
        <w:t xml:space="preserve">, 42(5), pp. 731–754. Available at: </w:t>
      </w:r>
      <w:hyperlink r:id="rId13" w:tgtFrame="_blank" w:tooltip="Original URL: https://doi.org/10.2337/dci19-0014.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https://doi.org/10.2337/dci19-0014</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E87E57">
        <w:rPr>
          <w:rFonts w:ascii="Arial" w:eastAsia="Times New Roman" w:hAnsi="Arial" w:cs="Arial"/>
          <w:color w:val="242424"/>
          <w:kern w:val="0"/>
          <w:sz w:val="22"/>
          <w:szCs w:val="22"/>
          <w:bdr w:val="none" w:sz="0" w:space="0" w:color="auto" w:frame="1"/>
          <w:lang w:eastAsia="en-GB"/>
          <w14:ligatures w14:val="none"/>
        </w:rPr>
        <w:t>7</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r w:rsidR="00C4781C">
        <w:rPr>
          <w:rFonts w:ascii="Arial" w:eastAsia="Times New Roman" w:hAnsi="Arial" w:cs="Arial"/>
          <w:color w:val="242424"/>
          <w:kern w:val="0"/>
          <w:sz w:val="22"/>
          <w:szCs w:val="22"/>
          <w:bdr w:val="none" w:sz="0" w:space="0" w:color="auto" w:frame="1"/>
          <w:lang w:eastAsia="en-GB"/>
          <w14:ligatures w14:val="none"/>
        </w:rPr>
        <w:t>.</w:t>
      </w:r>
    </w:p>
    <w:p w14:paraId="3CB6543E"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5A5BAD2" w14:textId="2D7EF9DE" w:rsidR="00C4781C" w:rsidRDefault="00DD5484" w:rsidP="00C4781C">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Hall, J.E. and Hall, M.E. (2021) </w:t>
      </w:r>
      <w:r w:rsidRPr="008D219A">
        <w:rPr>
          <w:rFonts w:ascii="Arial" w:eastAsia="Times New Roman" w:hAnsi="Arial" w:cs="Arial"/>
          <w:i/>
          <w:iCs/>
          <w:color w:val="242424"/>
          <w:kern w:val="0"/>
          <w:sz w:val="22"/>
          <w:szCs w:val="22"/>
          <w:bdr w:val="none" w:sz="0" w:space="0" w:color="auto" w:frame="1"/>
          <w:lang w:eastAsia="en-GB"/>
          <w14:ligatures w14:val="none"/>
        </w:rPr>
        <w:t>Guyton and Hall Textbook of Medical Physiology</w:t>
      </w:r>
      <w:r w:rsidRPr="008D219A">
        <w:rPr>
          <w:rFonts w:ascii="Arial" w:eastAsia="Times New Roman" w:hAnsi="Arial" w:cs="Arial"/>
          <w:color w:val="242424"/>
          <w:kern w:val="0"/>
          <w:sz w:val="22"/>
          <w:szCs w:val="22"/>
          <w:bdr w:val="none" w:sz="0" w:space="0" w:color="auto" w:frame="1"/>
          <w:lang w:eastAsia="en-GB"/>
          <w14:ligatures w14:val="none"/>
        </w:rPr>
        <w:t>. 14th edn. Philadelphia: Elsevier.</w:t>
      </w:r>
    </w:p>
    <w:p w14:paraId="0BE18D60"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04314042" w14:textId="48435049" w:rsidR="0082484A"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Lean, M.E.J. et al. (2018) ‘Primary care-led weight management for remission of type 2 diabetes (DiRECT): an open-label, cluster-randomised trial’, </w:t>
      </w:r>
      <w:r w:rsidRPr="008D219A">
        <w:rPr>
          <w:rFonts w:ascii="Arial" w:eastAsia="Times New Roman" w:hAnsi="Arial" w:cs="Arial"/>
          <w:i/>
          <w:iCs/>
          <w:color w:val="242424"/>
          <w:kern w:val="0"/>
          <w:sz w:val="22"/>
          <w:szCs w:val="22"/>
          <w:bdr w:val="none" w:sz="0" w:space="0" w:color="auto" w:frame="1"/>
          <w:lang w:eastAsia="en-GB"/>
          <w14:ligatures w14:val="none"/>
        </w:rPr>
        <w:t>The Lancet</w:t>
      </w:r>
      <w:r w:rsidRPr="008D219A">
        <w:rPr>
          <w:rFonts w:ascii="Arial" w:eastAsia="Times New Roman" w:hAnsi="Arial" w:cs="Arial"/>
          <w:color w:val="242424"/>
          <w:kern w:val="0"/>
          <w:sz w:val="22"/>
          <w:szCs w:val="22"/>
          <w:bdr w:val="none" w:sz="0" w:space="0" w:color="auto" w:frame="1"/>
          <w:lang w:eastAsia="en-GB"/>
          <w14:ligatures w14:val="none"/>
        </w:rPr>
        <w:t xml:space="preserve">, 391(10120), pp. 541–551. Available at: </w:t>
      </w:r>
      <w:hyperlink r:id="rId14" w:tgtFrame="_blank" w:tooltip="Original URL: https://doi.org/10.1016/S0140-6736(17)33102-1.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https://doi.org/10.1016/S0140-6736(17)33102-1</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AB66E1">
        <w:rPr>
          <w:rFonts w:ascii="Arial" w:eastAsia="Times New Roman" w:hAnsi="Arial" w:cs="Arial"/>
          <w:color w:val="242424"/>
          <w:kern w:val="0"/>
          <w:sz w:val="22"/>
          <w:szCs w:val="22"/>
          <w:bdr w:val="none" w:sz="0" w:space="0" w:color="auto" w:frame="1"/>
          <w:lang w:eastAsia="en-GB"/>
          <w14:ligatures w14:val="none"/>
        </w:rPr>
        <w:t>8</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08070FF5"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3831DEA9" w14:textId="1793E4E4" w:rsidR="0082484A"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National Institute for Health and Care Excellence (NICE) (2022) </w:t>
      </w:r>
      <w:r w:rsidRPr="008D219A">
        <w:rPr>
          <w:rFonts w:ascii="Arial" w:eastAsia="Times New Roman" w:hAnsi="Arial" w:cs="Arial"/>
          <w:i/>
          <w:iCs/>
          <w:color w:val="242424"/>
          <w:kern w:val="0"/>
          <w:sz w:val="22"/>
          <w:szCs w:val="22"/>
          <w:bdr w:val="none" w:sz="0" w:space="0" w:color="auto" w:frame="1"/>
          <w:lang w:eastAsia="en-GB"/>
          <w14:ligatures w14:val="none"/>
        </w:rPr>
        <w:t>Type 2 diabetes in adults: management (NG28)</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5" w:tgtFrame="_blank" w:tooltip="Original URL: https://www.nice.org.uk/guidance/ng28.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https://www.nice.org.uk/guidance/ng28</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AB66E1">
        <w:rPr>
          <w:rFonts w:ascii="Arial" w:eastAsia="Times New Roman" w:hAnsi="Arial" w:cs="Arial"/>
          <w:color w:val="242424"/>
          <w:kern w:val="0"/>
          <w:sz w:val="22"/>
          <w:szCs w:val="22"/>
          <w:bdr w:val="none" w:sz="0" w:space="0" w:color="auto" w:frame="1"/>
          <w:lang w:eastAsia="en-GB"/>
          <w14:ligatures w14:val="none"/>
        </w:rPr>
        <w:t>8</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1983ABB6"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DB920B9" w14:textId="5C21CBE9" w:rsidR="0082484A"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NHS (n.d.) </w:t>
      </w:r>
      <w:r w:rsidRPr="008D219A">
        <w:rPr>
          <w:rFonts w:ascii="Arial" w:eastAsia="Times New Roman" w:hAnsi="Arial" w:cs="Arial"/>
          <w:i/>
          <w:iCs/>
          <w:color w:val="242424"/>
          <w:kern w:val="0"/>
          <w:sz w:val="22"/>
          <w:szCs w:val="22"/>
          <w:bdr w:val="none" w:sz="0" w:space="0" w:color="auto" w:frame="1"/>
          <w:lang w:eastAsia="en-GB"/>
          <w14:ligatures w14:val="none"/>
        </w:rPr>
        <w:t>Type 2 diabetes</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6" w:tgtFrame="_blank" w:tooltip="Original URL: https://www.nhs.uk/conditions/type-2-diabetes/.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https://www.nhs.uk/conditions/type-2-diabetes/</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w:t>
      </w:r>
      <w:r w:rsidR="00AB66E1">
        <w:rPr>
          <w:rFonts w:ascii="Arial" w:eastAsia="Times New Roman" w:hAnsi="Arial" w:cs="Arial"/>
          <w:color w:val="242424"/>
          <w:kern w:val="0"/>
          <w:sz w:val="22"/>
          <w:szCs w:val="22"/>
          <w:bdr w:val="none" w:sz="0" w:space="0" w:color="auto" w:frame="1"/>
          <w:lang w:eastAsia="en-GB"/>
          <w14:ligatures w14:val="none"/>
        </w:rPr>
        <w:t>8</w:t>
      </w:r>
      <w:r w:rsidRPr="008D219A">
        <w:rPr>
          <w:rFonts w:ascii="Arial" w:eastAsia="Times New Roman" w:hAnsi="Arial" w:cs="Arial"/>
          <w:color w:val="242424"/>
          <w:kern w:val="0"/>
          <w:sz w:val="22"/>
          <w:szCs w:val="22"/>
          <w:bdr w:val="none" w:sz="0" w:space="0" w:color="auto" w:frame="1"/>
          <w:lang w:eastAsia="en-GB"/>
          <w14:ligatures w14:val="none"/>
        </w:rPr>
        <w:t>October 2026).</w:t>
      </w:r>
    </w:p>
    <w:p w14:paraId="0E96B813" w14:textId="77777777" w:rsidR="00C4781C" w:rsidRPr="00C4781C" w:rsidRDefault="00C4781C" w:rsidP="00C4781C">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1B96B9C6" w14:textId="3028CE58" w:rsidR="0082484A" w:rsidRPr="005309AD" w:rsidRDefault="00DD5484" w:rsidP="0082484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lastRenderedPageBreak/>
        <w:t xml:space="preserve">World Health Organization (2020) </w:t>
      </w:r>
      <w:r w:rsidRPr="008D219A">
        <w:rPr>
          <w:rFonts w:ascii="Arial" w:eastAsia="Times New Roman" w:hAnsi="Arial" w:cs="Arial"/>
          <w:i/>
          <w:iCs/>
          <w:color w:val="242424"/>
          <w:kern w:val="0"/>
          <w:sz w:val="22"/>
          <w:szCs w:val="22"/>
          <w:bdr w:val="none" w:sz="0" w:space="0" w:color="auto" w:frame="1"/>
          <w:lang w:eastAsia="en-GB"/>
          <w14:ligatures w14:val="none"/>
        </w:rPr>
        <w:t>WHO guidelines on physical activity and sedentary behaviour</w:t>
      </w:r>
      <w:r w:rsidRPr="008D219A">
        <w:rPr>
          <w:rFonts w:ascii="Arial" w:eastAsia="Times New Roman" w:hAnsi="Arial" w:cs="Arial"/>
          <w:color w:val="242424"/>
          <w:kern w:val="0"/>
          <w:sz w:val="22"/>
          <w:szCs w:val="22"/>
          <w:bdr w:val="none" w:sz="0" w:space="0" w:color="auto" w:frame="1"/>
          <w:lang w:eastAsia="en-GB"/>
          <w14:ligatures w14:val="none"/>
        </w:rPr>
        <w:t xml:space="preserve">. Geneva: World Health Organization. Available at: </w:t>
      </w:r>
      <w:hyperlink r:id="rId17" w:tgtFrame="_blank" w:tooltip="Original URL: https://www.who.int/publications/i/item/9789240015128.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https://www.who.int/publications/i/item/9789240015128</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14 October 2026).</w:t>
      </w:r>
    </w:p>
    <w:p w14:paraId="0BE4C9F4" w14:textId="0AF4FB68" w:rsidR="00DD5484" w:rsidRPr="008D219A" w:rsidRDefault="00DD5484" w:rsidP="008D219A">
      <w:pPr>
        <w:pStyle w:val="ListParagraph"/>
        <w:numPr>
          <w:ilvl w:val="0"/>
          <w:numId w:val="1"/>
        </w:num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8D219A">
        <w:rPr>
          <w:rFonts w:ascii="Arial" w:eastAsia="Times New Roman" w:hAnsi="Arial" w:cs="Arial"/>
          <w:color w:val="242424"/>
          <w:kern w:val="0"/>
          <w:sz w:val="22"/>
          <w:szCs w:val="22"/>
          <w:bdr w:val="none" w:sz="0" w:space="0" w:color="auto" w:frame="1"/>
          <w:lang w:eastAsia="en-GB"/>
          <w14:ligatures w14:val="none"/>
        </w:rPr>
        <w:t xml:space="preserve">NHS (n.d.) </w:t>
      </w:r>
      <w:r w:rsidRPr="008D219A">
        <w:rPr>
          <w:rFonts w:ascii="Arial" w:eastAsia="Times New Roman" w:hAnsi="Arial" w:cs="Arial"/>
          <w:i/>
          <w:iCs/>
          <w:color w:val="242424"/>
          <w:kern w:val="0"/>
          <w:sz w:val="22"/>
          <w:szCs w:val="22"/>
          <w:bdr w:val="none" w:sz="0" w:space="0" w:color="auto" w:frame="1"/>
          <w:lang w:eastAsia="en-GB"/>
          <w14:ligatures w14:val="none"/>
        </w:rPr>
        <w:t>Benefits of stopping smoking</w:t>
      </w:r>
      <w:r w:rsidRPr="008D219A">
        <w:rPr>
          <w:rFonts w:ascii="Arial" w:eastAsia="Times New Roman" w:hAnsi="Arial" w:cs="Arial"/>
          <w:color w:val="242424"/>
          <w:kern w:val="0"/>
          <w:sz w:val="22"/>
          <w:szCs w:val="22"/>
          <w:bdr w:val="none" w:sz="0" w:space="0" w:color="auto" w:frame="1"/>
          <w:lang w:eastAsia="en-GB"/>
          <w14:ligatures w14:val="none"/>
        </w:rPr>
        <w:t xml:space="preserve">. Available at: </w:t>
      </w:r>
      <w:hyperlink r:id="rId18" w:tgtFrame="_blank" w:tooltip="Original URL: https://www.nhs.uk/better-health/quit-smoking/. Click or tap if you trust this link." w:history="1">
        <w:r w:rsidRPr="008D219A">
          <w:rPr>
            <w:rFonts w:ascii="Arial" w:eastAsia="Times New Roman" w:hAnsi="Arial" w:cs="Arial"/>
            <w:color w:val="0000FF"/>
            <w:kern w:val="0"/>
            <w:sz w:val="22"/>
            <w:szCs w:val="22"/>
            <w:u w:val="single"/>
            <w:bdr w:val="none" w:sz="0" w:space="0" w:color="auto" w:frame="1"/>
            <w:lang w:eastAsia="en-GB"/>
            <w14:ligatures w14:val="none"/>
          </w:rPr>
          <w:t>https://www.nhs.uk/better-health/quit-smoking/</w:t>
        </w:r>
      </w:hyperlink>
      <w:r w:rsidRPr="008D219A">
        <w:rPr>
          <w:rFonts w:ascii="Arial" w:eastAsia="Times New Roman" w:hAnsi="Arial" w:cs="Arial"/>
          <w:color w:val="242424"/>
          <w:kern w:val="0"/>
          <w:sz w:val="22"/>
          <w:szCs w:val="22"/>
          <w:bdr w:val="none" w:sz="0" w:space="0" w:color="auto" w:frame="1"/>
          <w:lang w:eastAsia="en-GB"/>
          <w14:ligatures w14:val="none"/>
        </w:rPr>
        <w:t xml:space="preserve"> (Accessed: </w:t>
      </w:r>
      <w:r w:rsidR="00AB66E1">
        <w:rPr>
          <w:rFonts w:ascii="Arial" w:eastAsia="Times New Roman" w:hAnsi="Arial" w:cs="Arial"/>
          <w:color w:val="242424"/>
          <w:kern w:val="0"/>
          <w:sz w:val="22"/>
          <w:szCs w:val="22"/>
          <w:bdr w:val="none" w:sz="0" w:space="0" w:color="auto" w:frame="1"/>
          <w:lang w:eastAsia="en-GB"/>
          <w14:ligatures w14:val="none"/>
        </w:rPr>
        <w:t>20</w:t>
      </w:r>
      <w:r w:rsidRPr="008D219A">
        <w:rPr>
          <w:rFonts w:ascii="Arial" w:eastAsia="Times New Roman" w:hAnsi="Arial" w:cs="Arial"/>
          <w:color w:val="242424"/>
          <w:kern w:val="0"/>
          <w:sz w:val="22"/>
          <w:szCs w:val="22"/>
          <w:bdr w:val="none" w:sz="0" w:space="0" w:color="auto" w:frame="1"/>
          <w:lang w:eastAsia="en-GB"/>
          <w14:ligatures w14:val="none"/>
        </w:rPr>
        <w:t xml:space="preserve"> October 2026).</w:t>
      </w:r>
    </w:p>
    <w:p w14:paraId="45DDE06E" w14:textId="77777777" w:rsidR="00B0768E" w:rsidRDefault="00B0768E" w:rsidP="002A32C7">
      <w:pPr>
        <w:spacing w:line="480" w:lineRule="auto"/>
        <w:jc w:val="center"/>
        <w:rPr>
          <w:rFonts w:ascii="Arial" w:hAnsi="Arial" w:cs="Arial"/>
          <w:b/>
          <w:bCs/>
          <w:sz w:val="28"/>
          <w:szCs w:val="28"/>
        </w:rPr>
      </w:pPr>
    </w:p>
    <w:p w14:paraId="17CA1960" w14:textId="77777777" w:rsidR="00B0768E" w:rsidRPr="002A32C7" w:rsidRDefault="00B0768E" w:rsidP="002A32C7">
      <w:pPr>
        <w:spacing w:line="480" w:lineRule="auto"/>
        <w:jc w:val="center"/>
        <w:rPr>
          <w:rFonts w:ascii="Arial" w:hAnsi="Arial" w:cs="Arial"/>
          <w:b/>
          <w:bCs/>
          <w:sz w:val="28"/>
          <w:szCs w:val="28"/>
        </w:rPr>
      </w:pPr>
    </w:p>
    <w:p w14:paraId="683B273D" w14:textId="73DE61CF" w:rsidR="00B0768E" w:rsidRDefault="00B0768E">
      <w:pPr>
        <w:rPr>
          <w:rFonts w:ascii="Arial" w:hAnsi="Arial" w:cs="Arial"/>
        </w:rPr>
      </w:pPr>
      <w:r>
        <w:rPr>
          <w:rFonts w:ascii="Arial" w:hAnsi="Arial" w:cs="Arial"/>
        </w:rPr>
        <w:br w:type="page"/>
      </w:r>
    </w:p>
    <w:p w14:paraId="355B43E7" w14:textId="77777777" w:rsidR="009231D8" w:rsidRPr="00825D0C" w:rsidRDefault="009231D8" w:rsidP="00825D0C">
      <w:pPr>
        <w:spacing w:line="360" w:lineRule="auto"/>
        <w:rPr>
          <w:rFonts w:ascii="Arial" w:hAnsi="Arial" w:cs="Arial"/>
        </w:rPr>
      </w:pPr>
    </w:p>
    <w:sectPr w:rsidR="009231D8" w:rsidRPr="00825D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6F31"/>
    <w:multiLevelType w:val="hybridMultilevel"/>
    <w:tmpl w:val="0C1A8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5699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1D8"/>
    <w:rsid w:val="000161BB"/>
    <w:rsid w:val="00042060"/>
    <w:rsid w:val="00076268"/>
    <w:rsid w:val="000974DF"/>
    <w:rsid w:val="000B1648"/>
    <w:rsid w:val="000B5C21"/>
    <w:rsid w:val="000D3FB0"/>
    <w:rsid w:val="000F734B"/>
    <w:rsid w:val="00106749"/>
    <w:rsid w:val="00110F08"/>
    <w:rsid w:val="00134613"/>
    <w:rsid w:val="00181467"/>
    <w:rsid w:val="0018510B"/>
    <w:rsid w:val="0019317C"/>
    <w:rsid w:val="001B21B2"/>
    <w:rsid w:val="001B5FE1"/>
    <w:rsid w:val="0020712C"/>
    <w:rsid w:val="002860C9"/>
    <w:rsid w:val="002A19E7"/>
    <w:rsid w:val="002A32C7"/>
    <w:rsid w:val="002B6ACF"/>
    <w:rsid w:val="002E4F7E"/>
    <w:rsid w:val="00300C98"/>
    <w:rsid w:val="003455E5"/>
    <w:rsid w:val="003A24B7"/>
    <w:rsid w:val="003C1F67"/>
    <w:rsid w:val="003C5B07"/>
    <w:rsid w:val="003C7642"/>
    <w:rsid w:val="003E7729"/>
    <w:rsid w:val="00406437"/>
    <w:rsid w:val="00423744"/>
    <w:rsid w:val="00446E9F"/>
    <w:rsid w:val="0044737D"/>
    <w:rsid w:val="00450BE1"/>
    <w:rsid w:val="00453BB7"/>
    <w:rsid w:val="00456C12"/>
    <w:rsid w:val="0046497B"/>
    <w:rsid w:val="004A4949"/>
    <w:rsid w:val="004E367E"/>
    <w:rsid w:val="005309AD"/>
    <w:rsid w:val="005334AD"/>
    <w:rsid w:val="00567740"/>
    <w:rsid w:val="005855B9"/>
    <w:rsid w:val="005A1DB0"/>
    <w:rsid w:val="005A42E7"/>
    <w:rsid w:val="005B0504"/>
    <w:rsid w:val="006233A0"/>
    <w:rsid w:val="00641E64"/>
    <w:rsid w:val="0067007A"/>
    <w:rsid w:val="00672C92"/>
    <w:rsid w:val="006A4E08"/>
    <w:rsid w:val="006A784A"/>
    <w:rsid w:val="006B18CA"/>
    <w:rsid w:val="006B2C71"/>
    <w:rsid w:val="006B58FD"/>
    <w:rsid w:val="006C3E83"/>
    <w:rsid w:val="006E26F7"/>
    <w:rsid w:val="0075720A"/>
    <w:rsid w:val="00760611"/>
    <w:rsid w:val="00770D15"/>
    <w:rsid w:val="00774B2B"/>
    <w:rsid w:val="00775CC4"/>
    <w:rsid w:val="00796DC8"/>
    <w:rsid w:val="007B4DE7"/>
    <w:rsid w:val="007D1329"/>
    <w:rsid w:val="007E0D0B"/>
    <w:rsid w:val="008140D6"/>
    <w:rsid w:val="00823041"/>
    <w:rsid w:val="0082484A"/>
    <w:rsid w:val="00825D0C"/>
    <w:rsid w:val="0088241C"/>
    <w:rsid w:val="0089292C"/>
    <w:rsid w:val="008C7C47"/>
    <w:rsid w:val="008D219A"/>
    <w:rsid w:val="008E1844"/>
    <w:rsid w:val="00921074"/>
    <w:rsid w:val="009231D8"/>
    <w:rsid w:val="0096692C"/>
    <w:rsid w:val="00967919"/>
    <w:rsid w:val="00975E43"/>
    <w:rsid w:val="00986C2B"/>
    <w:rsid w:val="00A06A5C"/>
    <w:rsid w:val="00A24353"/>
    <w:rsid w:val="00A35D24"/>
    <w:rsid w:val="00A55768"/>
    <w:rsid w:val="00A5611A"/>
    <w:rsid w:val="00A82505"/>
    <w:rsid w:val="00AA6EA0"/>
    <w:rsid w:val="00AB66E1"/>
    <w:rsid w:val="00AF6B85"/>
    <w:rsid w:val="00B00678"/>
    <w:rsid w:val="00B06F7B"/>
    <w:rsid w:val="00B0768E"/>
    <w:rsid w:val="00B17A40"/>
    <w:rsid w:val="00B223A9"/>
    <w:rsid w:val="00B24249"/>
    <w:rsid w:val="00B44A79"/>
    <w:rsid w:val="00B52B34"/>
    <w:rsid w:val="00B536AE"/>
    <w:rsid w:val="00B57DED"/>
    <w:rsid w:val="00C01817"/>
    <w:rsid w:val="00C01995"/>
    <w:rsid w:val="00C4781C"/>
    <w:rsid w:val="00C53332"/>
    <w:rsid w:val="00CA6612"/>
    <w:rsid w:val="00CF5933"/>
    <w:rsid w:val="00D13114"/>
    <w:rsid w:val="00D42A7C"/>
    <w:rsid w:val="00D561CF"/>
    <w:rsid w:val="00D6550E"/>
    <w:rsid w:val="00D8690F"/>
    <w:rsid w:val="00DD2AA6"/>
    <w:rsid w:val="00DD5484"/>
    <w:rsid w:val="00DE1841"/>
    <w:rsid w:val="00DF62D5"/>
    <w:rsid w:val="00E2138F"/>
    <w:rsid w:val="00E725A0"/>
    <w:rsid w:val="00E87E57"/>
    <w:rsid w:val="00EA4C97"/>
    <w:rsid w:val="00EB2449"/>
    <w:rsid w:val="00ED3001"/>
    <w:rsid w:val="00EE4338"/>
    <w:rsid w:val="00F01371"/>
    <w:rsid w:val="00F25D90"/>
    <w:rsid w:val="00F33438"/>
    <w:rsid w:val="00F42704"/>
    <w:rsid w:val="00F859BA"/>
    <w:rsid w:val="00F90F5C"/>
    <w:rsid w:val="00F94914"/>
    <w:rsid w:val="00FF28B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9CF0"/>
  <w15:chartTrackingRefBased/>
  <w15:docId w15:val="{AEE2A704-7746-4AF5-9B8B-8164288CF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1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31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31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31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31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31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1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1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1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1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31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31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31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31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31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1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1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1D8"/>
    <w:rPr>
      <w:rFonts w:eastAsiaTheme="majorEastAsia" w:cstheme="majorBidi"/>
      <w:color w:val="272727" w:themeColor="text1" w:themeTint="D8"/>
    </w:rPr>
  </w:style>
  <w:style w:type="paragraph" w:styleId="Title">
    <w:name w:val="Title"/>
    <w:basedOn w:val="Normal"/>
    <w:next w:val="Normal"/>
    <w:link w:val="TitleChar"/>
    <w:uiPriority w:val="10"/>
    <w:qFormat/>
    <w:rsid w:val="009231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1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1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1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1D8"/>
    <w:pPr>
      <w:spacing w:before="160"/>
      <w:jc w:val="center"/>
    </w:pPr>
    <w:rPr>
      <w:i/>
      <w:iCs/>
      <w:color w:val="404040" w:themeColor="text1" w:themeTint="BF"/>
    </w:rPr>
  </w:style>
  <w:style w:type="character" w:customStyle="1" w:styleId="QuoteChar">
    <w:name w:val="Quote Char"/>
    <w:basedOn w:val="DefaultParagraphFont"/>
    <w:link w:val="Quote"/>
    <w:uiPriority w:val="29"/>
    <w:rsid w:val="009231D8"/>
    <w:rPr>
      <w:i/>
      <w:iCs/>
      <w:color w:val="404040" w:themeColor="text1" w:themeTint="BF"/>
    </w:rPr>
  </w:style>
  <w:style w:type="paragraph" w:styleId="ListParagraph">
    <w:name w:val="List Paragraph"/>
    <w:basedOn w:val="Normal"/>
    <w:uiPriority w:val="34"/>
    <w:qFormat/>
    <w:rsid w:val="009231D8"/>
    <w:pPr>
      <w:ind w:left="720"/>
      <w:contextualSpacing/>
    </w:pPr>
  </w:style>
  <w:style w:type="character" w:styleId="IntenseEmphasis">
    <w:name w:val="Intense Emphasis"/>
    <w:basedOn w:val="DefaultParagraphFont"/>
    <w:uiPriority w:val="21"/>
    <w:qFormat/>
    <w:rsid w:val="009231D8"/>
    <w:rPr>
      <w:i/>
      <w:iCs/>
      <w:color w:val="0F4761" w:themeColor="accent1" w:themeShade="BF"/>
    </w:rPr>
  </w:style>
  <w:style w:type="paragraph" w:styleId="IntenseQuote">
    <w:name w:val="Intense Quote"/>
    <w:basedOn w:val="Normal"/>
    <w:next w:val="Normal"/>
    <w:link w:val="IntenseQuoteChar"/>
    <w:uiPriority w:val="30"/>
    <w:qFormat/>
    <w:rsid w:val="009231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31D8"/>
    <w:rPr>
      <w:i/>
      <w:iCs/>
      <w:color w:val="0F4761" w:themeColor="accent1" w:themeShade="BF"/>
    </w:rPr>
  </w:style>
  <w:style w:type="character" w:styleId="IntenseReference">
    <w:name w:val="Intense Reference"/>
    <w:basedOn w:val="DefaultParagraphFont"/>
    <w:uiPriority w:val="32"/>
    <w:qFormat/>
    <w:rsid w:val="009231D8"/>
    <w:rPr>
      <w:b/>
      <w:bCs/>
      <w:smallCaps/>
      <w:color w:val="0F4761" w:themeColor="accent1" w:themeShade="BF"/>
      <w:spacing w:val="5"/>
    </w:rPr>
  </w:style>
  <w:style w:type="paragraph" w:styleId="NormalWeb">
    <w:name w:val="Normal (Web)"/>
    <w:basedOn w:val="Normal"/>
    <w:uiPriority w:val="99"/>
    <w:unhideWhenUsed/>
    <w:rsid w:val="009231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231D8"/>
    <w:rPr>
      <w:color w:val="0000FF"/>
      <w:u w:val="single"/>
    </w:rPr>
  </w:style>
  <w:style w:type="character" w:customStyle="1" w:styleId="multiline">
    <w:name w:val="multiline"/>
    <w:basedOn w:val="DefaultParagraphFont"/>
    <w:rsid w:val="00E2138F"/>
  </w:style>
  <w:style w:type="character" w:styleId="UnresolvedMention">
    <w:name w:val="Unresolved Mention"/>
    <w:basedOn w:val="DefaultParagraphFont"/>
    <w:uiPriority w:val="99"/>
    <w:semiHidden/>
    <w:unhideWhenUsed/>
    <w:rsid w:val="00623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ur01.safelinks.protection.outlook.com/?url=https%3A%2F%2Fdoi.org%2F10.2337%2Fdci19-0014&amp;data=05%7C02%7C2511486%40student.uwtsd.ac.uk%7C2e0746b39faf44af26f708df29c4c8db%7C4e0f11f9046e45059cb8db2152311e21%7C0%7C0%7C639275597304930525%7CUnknown%7CTWFpbGZsb3d8eyJFbXB0eU1hcGkiOnRydWUsIlYiOiIwLjAuMDAwMCIsIlAiOiJXaW4zMiIsIkFOIjoiTWFpbCIsIldUIjoyfQ%3D%3D%7C0%7C%7C%7C&amp;sdata=L5Dv16AiA37w1nCDFMX%2BCE3BOkgGswDtXD2H8uDz%2Bzo%3D&amp;reserved=0" TargetMode="External"/><Relationship Id="rId18" Type="http://schemas.openxmlformats.org/officeDocument/2006/relationships/hyperlink" Target="https://eur01.safelinks.protection.outlook.com/?url=https%3A%2F%2Fwww.nhs.uk%2Fbetter-health%2Fquit-smoking%2F&amp;data=05%7C02%7C2511486%40student.uwtsd.ac.uk%7C2e0746b39faf44af26f708df29c4c8db%7C4e0f11f9046e45059cb8db2152311e21%7C0%7C0%7C639275597305033193%7CUnknown%7CTWFpbGZsb3d8eyJFbXB0eU1hcGkiOnRydWUsIlYiOiIwLjAuMDAwMCIsIlAiOiJXaW4zMiIsIkFOIjoiTWFpbCIsIldUIjoyfQ%3D%3D%7C0%7C%7C%7C&amp;sdata=MXnVUybAWh%2FBrws%2Bgsq5TFLisYrlepe5%2FyXe9baFsMw%3D&amp;reserved=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ur01.safelinks.protection.outlook.com/?url=https%3A%2F%2Fwww.diabetes.org.uk%2Fabout-diabetes%2Ftype-2-diabetes&amp;data=05%7C02%7C2511486%40student.uwtsd.ac.uk%7C2e0746b39faf44af26f708df29c4c8db%7C4e0f11f9046e45059cb8db2152311e21%7C0%7C0%7C639275597304909959%7CUnknown%7CTWFpbGZsb3d8eyJFbXB0eU1hcGkiOnRydWUsIlYiOiIwLjAuMDAwMCIsIlAiOiJXaW4zMiIsIkFOIjoiTWFpbCIsIldUIjoyfQ%3D%3D%7C0%7C%7C%7C&amp;sdata=hsckmx3oF4qBZWRKPb3uqS9utnt9JeP8%2FR5XaiaLpZA%3D&amp;reserved=0" TargetMode="External"/><Relationship Id="rId17" Type="http://schemas.openxmlformats.org/officeDocument/2006/relationships/hyperlink" Target="https://eur01.safelinks.protection.outlook.com/?url=https%3A%2F%2Fwww.who.int%2Fpublications%2Fi%2Fitem%2F9789240015128&amp;data=05%7C02%7C2511486%40student.uwtsd.ac.uk%7C2e0746b39faf44af26f708df29c4c8db%7C4e0f11f9046e45059cb8db2152311e21%7C0%7C0%7C639275597305013411%7CUnknown%7CTWFpbGZsb3d8eyJFbXB0eU1hcGkiOnRydWUsIlYiOiIwLjAuMDAwMCIsIlAiOiJXaW4zMiIsIkFOIjoiTWFpbCIsIldUIjoyfQ%3D%3D%7C0%7C%7C%7C&amp;sdata=KFP8wsu%2FBjoE2ZvKu4xhATt%2F3GpBArwT8O7iCy7kZXo%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nhs.uk%2Fconditions%2Ftype-2-diabetes%2F&amp;data=05%7C02%7C2511486%40student.uwtsd.ac.uk%7C2e0746b39faf44af26f708df29c4c8db%7C4e0f11f9046e45059cb8db2152311e21%7C0%7C0%7C639275597304989394%7CUnknown%7CTWFpbGZsb3d8eyJFbXB0eU1hcGkiOnRydWUsIlYiOiIwLjAuMDAwMCIsIlAiOiJXaW4zMiIsIkFOIjoiTWFpbCIsIldUIjoyfQ%3D%3D%7C0%7C%7C%7C&amp;sdata=CzOWLJxqg0qQEIZSuBBRM25G9kKoBS95AKK0BGqo7KM%3D&amp;reserved=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doi.org%2F10.2337%2Fdci22-0034&amp;data=05%7C02%7C2511486%40student.uwtsd.ac.uk%7C2e0746b39faf44af26f708df29c4c8db%7C4e0f11f9046e45059cb8db2152311e21%7C0%7C0%7C639275597304888479%7CUnknown%7CTWFpbGZsb3d8eyJFbXB0eU1hcGkiOnRydWUsIlYiOiIwLjAuMDAwMCIsIlAiOiJXaW4zMiIsIkFOIjoiTWFpbCIsIldUIjoyfQ%3D%3D%7C0%7C%7C%7C&amp;sdata=c0tfWx4VKhfalxOWPAutrzMD9cTOQWNT%2FlLVhMJKO%2B0%3D&amp;reserved=0" TargetMode="External"/><Relationship Id="rId5" Type="http://schemas.openxmlformats.org/officeDocument/2006/relationships/styles" Target="styles.xml"/><Relationship Id="rId15" Type="http://schemas.openxmlformats.org/officeDocument/2006/relationships/hyperlink" Target="https://eur01.safelinks.protection.outlook.com/?url=https%3A%2F%2Fwww.nice.org.uk%2Fguidance%2Fng28&amp;data=05%7C02%7C2511486%40student.uwtsd.ac.uk%7C2e0746b39faf44af26f708df29c4c8db%7C4e0f11f9046e45059cb8db2152311e21%7C0%7C0%7C639275597304969470%7CUnknown%7CTWFpbGZsb3d8eyJFbXB0eU1hcGkiOnRydWUsIlYiOiIwLjAuMDAwMCIsIlAiOiJXaW4zMiIsIkFOIjoiTWFpbCIsIldUIjoyfQ%3D%3D%7C0%7C%7C%7C&amp;sdata=GxGMHjumzZyH7dTA3hXce%2B37cCJaqQdBs%2FqAPJR3xMk%3D&amp;reserved=0" TargetMode="External"/><Relationship Id="rId10" Type="http://schemas.openxmlformats.org/officeDocument/2006/relationships/hyperlink" Target="tel:2753-2786"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doi.org%2F10.2337%2Fdc24-S009&amp;data=05%7C02%7C2511486%40student.uwtsd.ac.uk%7C2e0746b39faf44af26f708df29c4c8db%7C4e0f11f9046e45059cb8db2152311e21%7C0%7C0%7C639275597304853936%7CUnknown%7CTWFpbGZsb3d8eyJFbXB0eU1hcGkiOnRydWUsIlYiOiIwLjAuMDAwMCIsIlAiOiJXaW4zMiIsIkFOIjoiTWFpbCIsIldUIjoyfQ%3D%3D%7C0%7C%7C%7C&amp;sdata=eGcIgSYKuCyub7%2Bdoxh%2BxN7Ys%2FNSKTpEGdLv8ifr3Uw%3D&amp;reserved=0" TargetMode="External"/><Relationship Id="rId14" Type="http://schemas.openxmlformats.org/officeDocument/2006/relationships/hyperlink" Target="https://eur01.safelinks.protection.outlook.com/?url=https%3A%2F%2Fdoi.org%2F10.1016%2FS0140-6736(17)33102-1&amp;data=05%7C02%7C2511486%40student.uwtsd.ac.uk%7C2e0746b39faf44af26f708df29c4c8db%7C4e0f11f9046e45059cb8db2152311e21%7C0%7C0%7C639275597304950128%7CUnknown%7CTWFpbGZsb3d8eyJFbXB0eU1hcGkiOnRydWUsIlYiOiIwLjAuMDAwMCIsIlAiOiJXaW4zMiIsIkFOIjoiTWFpbCIsIldUIjoyfQ%3D%3D%7C0%7C%7C%7C&amp;sdata=obHV5ldklHWHTGkaNrKrUw%2BpTJugZbx6CZFlgAssdU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6CA081-1E37-49FC-A509-44E2CB92F2BA}">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A0014DFA-53E1-41D7-965D-383D121014E7}">
  <ds:schemaRefs>
    <ds:schemaRef ds:uri="http://schemas.microsoft.com/sharepoint/v3/contenttype/forms"/>
  </ds:schemaRefs>
</ds:datastoreItem>
</file>

<file path=customXml/itemProps3.xml><?xml version="1.0" encoding="utf-8"?>
<ds:datastoreItem xmlns:ds="http://schemas.openxmlformats.org/officeDocument/2006/customXml" ds:itemID="{0EFEA275-04E4-4A94-A3D5-056EEB6257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3834</TotalTime>
  <Pages>9</Pages>
  <Words>3035</Words>
  <Characters>17303</Characters>
  <Application>Microsoft Office Word</Application>
  <DocSecurity>0</DocSecurity>
  <Lines>144</Lines>
  <Paragraphs>40</Paragraphs>
  <ScaleCrop>false</ScaleCrop>
  <Company/>
  <LinksUpToDate>false</LinksUpToDate>
  <CharactersWithSpaces>20298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 (2511486)</dc:creator>
  <cp:keywords/>
  <dc:description/>
  <cp:lastModifiedBy>Hina Ilyas (2511486)</cp:lastModifiedBy>
  <cp:revision>145</cp:revision>
  <dcterms:created xsi:type="dcterms:W3CDTF">2026-09-19T00:40:00Z</dcterms:created>
  <dcterms:modified xsi:type="dcterms:W3CDTF">2026-10-23T22:04:00Z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d86f7c4b-0a9b-4f1d-a5e8-307139721c47</vt:lpwstr>
  </property>
  <property fmtid="{D5CDD505-2E9C-101B-9397-08002B2CF9AE}" pid="3" name="ContentTypeId">
    <vt:lpwstr>0x010100388A3138619E1D4F8EE743C5DD485012</vt:lpwstr>
  </property>
</Properties>
</file>