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8DF1EB" w14:textId="77777777" w:rsidR="00A313C5" w:rsidRDefault="00A313C5">
      <w:pPr>
        <w:spacing w:line="360" w:lineRule="auto"/>
        <w:rPr>
          <w:b/>
        </w:rPr>
      </w:pPr>
    </w:p>
    <w:p w14:paraId="768678E5" w14:textId="77777777" w:rsidR="00A313C5" w:rsidRDefault="004472C5">
      <w:pPr>
        <w:spacing w:line="360" w:lineRule="auto"/>
        <w:jc w:val="center"/>
        <w:rPr>
          <w:b/>
        </w:rPr>
      </w:pPr>
      <w:r>
        <w:rPr>
          <w:b/>
          <w:noProof/>
        </w:rPr>
        <w:drawing>
          <wp:inline distT="114300" distB="114300" distL="114300" distR="114300" wp14:anchorId="29738D44" wp14:editId="50FF3F45">
            <wp:extent cx="3482813" cy="2114550"/>
            <wp:effectExtent l="0" t="0" r="0" b="0"/>
            <wp:docPr id="160972759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3482813" cy="2114550"/>
                    </a:xfrm>
                    <a:prstGeom prst="rect">
                      <a:avLst/>
                    </a:prstGeom>
                    <a:ln/>
                  </pic:spPr>
                </pic:pic>
              </a:graphicData>
            </a:graphic>
          </wp:inline>
        </w:drawing>
      </w:r>
    </w:p>
    <w:p w14:paraId="1FD8CFB2" w14:textId="77777777" w:rsidR="00A313C5" w:rsidRDefault="004472C5">
      <w:pPr>
        <w:spacing w:line="360" w:lineRule="auto"/>
        <w:jc w:val="center"/>
        <w:rPr>
          <w:b/>
          <w:sz w:val="32"/>
          <w:szCs w:val="32"/>
        </w:rPr>
      </w:pPr>
      <w:r>
        <w:rPr>
          <w:b/>
          <w:sz w:val="32"/>
          <w:szCs w:val="32"/>
        </w:rPr>
        <w:t>INTRODUCTION TO HEALTH AND SOCIAL CARE</w:t>
      </w:r>
    </w:p>
    <w:p w14:paraId="5BA4A5B8" w14:textId="77777777" w:rsidR="00A313C5" w:rsidRDefault="004472C5">
      <w:pPr>
        <w:spacing w:line="360" w:lineRule="auto"/>
        <w:jc w:val="center"/>
        <w:rPr>
          <w:b/>
          <w:sz w:val="32"/>
          <w:szCs w:val="32"/>
        </w:rPr>
      </w:pPr>
      <w:r>
        <w:rPr>
          <w:b/>
          <w:sz w:val="32"/>
          <w:szCs w:val="32"/>
        </w:rPr>
        <w:t>LCHS4003</w:t>
      </w:r>
    </w:p>
    <w:p w14:paraId="56767DAD" w14:textId="77777777" w:rsidR="00A313C5" w:rsidRDefault="004472C5">
      <w:pPr>
        <w:spacing w:line="360" w:lineRule="auto"/>
        <w:jc w:val="center"/>
        <w:rPr>
          <w:b/>
          <w:sz w:val="32"/>
          <w:szCs w:val="32"/>
        </w:rPr>
      </w:pPr>
      <w:r>
        <w:rPr>
          <w:b/>
          <w:sz w:val="32"/>
          <w:szCs w:val="32"/>
        </w:rPr>
        <w:t xml:space="preserve">ASSIGNMENT COMPONENT 2 </w:t>
      </w:r>
    </w:p>
    <w:p w14:paraId="1AC03D07" w14:textId="77777777" w:rsidR="00A313C5" w:rsidRDefault="00A313C5">
      <w:pPr>
        <w:spacing w:line="360" w:lineRule="auto"/>
        <w:jc w:val="center"/>
        <w:rPr>
          <w:b/>
          <w:sz w:val="32"/>
          <w:szCs w:val="32"/>
        </w:rPr>
      </w:pPr>
    </w:p>
    <w:p w14:paraId="5BF1ED97" w14:textId="77777777" w:rsidR="00A313C5" w:rsidRDefault="00A313C5">
      <w:pPr>
        <w:spacing w:line="360" w:lineRule="auto"/>
        <w:jc w:val="center"/>
        <w:rPr>
          <w:b/>
          <w:sz w:val="32"/>
          <w:szCs w:val="32"/>
        </w:rPr>
      </w:pPr>
    </w:p>
    <w:p w14:paraId="6B348E99" w14:textId="3CF15C56" w:rsidR="00A313C5" w:rsidRDefault="004472C5">
      <w:pPr>
        <w:spacing w:line="360" w:lineRule="auto"/>
        <w:jc w:val="center"/>
        <w:rPr>
          <w:b/>
          <w:sz w:val="32"/>
          <w:szCs w:val="32"/>
        </w:rPr>
      </w:pPr>
      <w:r>
        <w:rPr>
          <w:b/>
          <w:sz w:val="32"/>
          <w:szCs w:val="32"/>
        </w:rPr>
        <w:t>Lecturer’s</w:t>
      </w:r>
      <w:r w:rsidR="00F35E8A">
        <w:rPr>
          <w:b/>
          <w:sz w:val="32"/>
          <w:szCs w:val="32"/>
        </w:rPr>
        <w:t xml:space="preserve"> Name </w:t>
      </w:r>
      <w:r w:rsidR="008836E0">
        <w:rPr>
          <w:b/>
          <w:sz w:val="32"/>
          <w:szCs w:val="32"/>
        </w:rPr>
        <w:t>:</w:t>
      </w:r>
      <w:proofErr w:type="spellStart"/>
      <w:r w:rsidR="008836E0">
        <w:rPr>
          <w:b/>
          <w:sz w:val="32"/>
          <w:szCs w:val="32"/>
        </w:rPr>
        <w:t>Azi</w:t>
      </w:r>
      <w:r w:rsidR="005F2BB4">
        <w:rPr>
          <w:b/>
          <w:sz w:val="32"/>
          <w:szCs w:val="32"/>
        </w:rPr>
        <w:t>da</w:t>
      </w:r>
      <w:proofErr w:type="spellEnd"/>
      <w:r w:rsidR="005F2BB4">
        <w:rPr>
          <w:b/>
          <w:sz w:val="32"/>
          <w:szCs w:val="32"/>
        </w:rPr>
        <w:t xml:space="preserve"> </w:t>
      </w:r>
      <w:proofErr w:type="spellStart"/>
      <w:r w:rsidR="00851B17">
        <w:rPr>
          <w:b/>
          <w:sz w:val="32"/>
          <w:szCs w:val="32"/>
        </w:rPr>
        <w:t>Zainol</w:t>
      </w:r>
      <w:proofErr w:type="spellEnd"/>
    </w:p>
    <w:p w14:paraId="5A4F6E21" w14:textId="77777777" w:rsidR="00A313C5" w:rsidRDefault="00A313C5">
      <w:pPr>
        <w:spacing w:line="360" w:lineRule="auto"/>
        <w:jc w:val="center"/>
        <w:rPr>
          <w:b/>
          <w:sz w:val="32"/>
          <w:szCs w:val="32"/>
        </w:rPr>
      </w:pPr>
    </w:p>
    <w:p w14:paraId="3440CD11" w14:textId="77777777" w:rsidR="00A313C5" w:rsidRDefault="00A313C5">
      <w:pPr>
        <w:spacing w:line="360" w:lineRule="auto"/>
        <w:jc w:val="center"/>
        <w:rPr>
          <w:b/>
          <w:sz w:val="32"/>
          <w:szCs w:val="32"/>
        </w:rPr>
      </w:pPr>
    </w:p>
    <w:p w14:paraId="3507E04A" w14:textId="77777777" w:rsidR="00A313C5" w:rsidRDefault="00A313C5">
      <w:pPr>
        <w:spacing w:line="360" w:lineRule="auto"/>
        <w:jc w:val="center"/>
        <w:rPr>
          <w:b/>
          <w:sz w:val="32"/>
          <w:szCs w:val="32"/>
        </w:rPr>
      </w:pPr>
    </w:p>
    <w:p w14:paraId="0A344BEE" w14:textId="77777777" w:rsidR="00A313C5" w:rsidRDefault="00A313C5">
      <w:pPr>
        <w:spacing w:line="360" w:lineRule="auto"/>
        <w:jc w:val="center"/>
        <w:rPr>
          <w:b/>
          <w:sz w:val="32"/>
          <w:szCs w:val="32"/>
        </w:rPr>
      </w:pPr>
    </w:p>
    <w:p w14:paraId="1351A329" w14:textId="77777777" w:rsidR="00A313C5" w:rsidRDefault="00A313C5">
      <w:pPr>
        <w:spacing w:line="360" w:lineRule="auto"/>
        <w:jc w:val="center"/>
        <w:rPr>
          <w:b/>
          <w:sz w:val="32"/>
          <w:szCs w:val="32"/>
        </w:rPr>
      </w:pPr>
    </w:p>
    <w:p w14:paraId="3DED0A20" w14:textId="2C08CCBC" w:rsidR="00A313C5" w:rsidRDefault="004472C5">
      <w:pPr>
        <w:spacing w:line="360" w:lineRule="auto"/>
        <w:jc w:val="center"/>
        <w:rPr>
          <w:b/>
          <w:sz w:val="32"/>
          <w:szCs w:val="32"/>
        </w:rPr>
      </w:pPr>
      <w:r>
        <w:rPr>
          <w:b/>
          <w:sz w:val="32"/>
          <w:szCs w:val="32"/>
        </w:rPr>
        <w:t xml:space="preserve">Student </w:t>
      </w:r>
      <w:proofErr w:type="spellStart"/>
      <w:r>
        <w:rPr>
          <w:b/>
          <w:sz w:val="32"/>
          <w:szCs w:val="32"/>
        </w:rPr>
        <w:t>Name:</w:t>
      </w:r>
      <w:r w:rsidR="00BA0DEB">
        <w:rPr>
          <w:b/>
          <w:sz w:val="32"/>
          <w:szCs w:val="32"/>
        </w:rPr>
        <w:t>Farhana</w:t>
      </w:r>
      <w:proofErr w:type="spellEnd"/>
      <w:r w:rsidR="00BA0DEB">
        <w:rPr>
          <w:b/>
          <w:sz w:val="32"/>
          <w:szCs w:val="32"/>
        </w:rPr>
        <w:t xml:space="preserve"> Rahman Lucky</w:t>
      </w:r>
    </w:p>
    <w:p w14:paraId="49AA4A3C" w14:textId="2131B85A" w:rsidR="00A313C5" w:rsidRDefault="004472C5">
      <w:pPr>
        <w:spacing w:line="360" w:lineRule="auto"/>
        <w:jc w:val="center"/>
        <w:rPr>
          <w:b/>
          <w:sz w:val="32"/>
          <w:szCs w:val="32"/>
        </w:rPr>
      </w:pPr>
      <w:r>
        <w:rPr>
          <w:b/>
          <w:sz w:val="32"/>
          <w:szCs w:val="32"/>
        </w:rPr>
        <w:t>Student Number:</w:t>
      </w:r>
      <w:r w:rsidR="00A800C0">
        <w:rPr>
          <w:b/>
          <w:sz w:val="32"/>
          <w:szCs w:val="32"/>
        </w:rPr>
        <w:t>2437710</w:t>
      </w:r>
    </w:p>
    <w:p w14:paraId="24EECD1F" w14:textId="77777777" w:rsidR="00A313C5" w:rsidRDefault="00A313C5">
      <w:pPr>
        <w:spacing w:line="360" w:lineRule="auto"/>
        <w:jc w:val="center"/>
        <w:rPr>
          <w:b/>
          <w:sz w:val="32"/>
          <w:szCs w:val="32"/>
        </w:rPr>
      </w:pPr>
    </w:p>
    <w:p w14:paraId="783FD242" w14:textId="77777777" w:rsidR="00A313C5" w:rsidRDefault="00A313C5">
      <w:pPr>
        <w:spacing w:line="360" w:lineRule="auto"/>
        <w:jc w:val="center"/>
        <w:rPr>
          <w:b/>
          <w:sz w:val="32"/>
          <w:szCs w:val="32"/>
        </w:rPr>
      </w:pPr>
    </w:p>
    <w:p w14:paraId="4372306D" w14:textId="77777777" w:rsidR="00A313C5" w:rsidRDefault="00A313C5">
      <w:pPr>
        <w:spacing w:line="360" w:lineRule="auto"/>
        <w:rPr>
          <w:b/>
          <w:sz w:val="32"/>
          <w:szCs w:val="32"/>
        </w:rPr>
      </w:pPr>
    </w:p>
    <w:p w14:paraId="0EB8A895" w14:textId="77777777" w:rsidR="00A313C5" w:rsidRDefault="004472C5">
      <w:pPr>
        <w:spacing w:line="360" w:lineRule="auto"/>
        <w:jc w:val="both"/>
        <w:rPr>
          <w:b/>
        </w:rPr>
      </w:pPr>
      <w:r>
        <w:br w:type="page"/>
      </w:r>
    </w:p>
    <w:p w14:paraId="5D280D95" w14:textId="77777777" w:rsidR="00A313C5" w:rsidRDefault="004472C5">
      <w:pPr>
        <w:spacing w:line="360" w:lineRule="auto"/>
        <w:jc w:val="center"/>
        <w:rPr>
          <w:b/>
        </w:rPr>
      </w:pPr>
      <w:r>
        <w:rPr>
          <w:b/>
        </w:rPr>
        <w:lastRenderedPageBreak/>
        <w:t>Executive summary</w:t>
      </w:r>
    </w:p>
    <w:p w14:paraId="649DE278" w14:textId="77777777" w:rsidR="00A313C5" w:rsidRDefault="004472C5">
      <w:pPr>
        <w:spacing w:line="360" w:lineRule="auto"/>
        <w:jc w:val="both"/>
      </w:pPr>
      <w:r>
        <w:t>This report has the purpose of evaluating the importance of building effective communication within the healthcare sector in order to enhance patient engagement with healthcare professionals. Mrs Mann is facing significant language barriers and cultural issues that not only affects the treatment process due to the communication gap which delayed the treatments. Shannon and Weaver’s model of communication highlights that the cultural barrier and language barrier works as noise that affects communication. Hence, for building compliance with Equality Act 2010, visual aids and interpreters will be used for coping with such situations. The report also evaluates the necessary administrative skills for healthcare professionals that are useful for providing efficient care services. Additionally, the report evaluates the significance of collaborative working that is crucial in reducing challenges in care services and ensuring quality service. Different strategies along with regulations are also mentioned in the report that can be useful for improving collaboration of healthcare professionals to enhance efficiency in care of patients.</w:t>
      </w:r>
    </w:p>
    <w:p w14:paraId="18061187" w14:textId="77777777" w:rsidR="00A313C5" w:rsidRDefault="004472C5">
      <w:pPr>
        <w:spacing w:line="360" w:lineRule="auto"/>
        <w:jc w:val="both"/>
      </w:pPr>
      <w:r>
        <w:t xml:space="preserve">  </w:t>
      </w:r>
    </w:p>
    <w:p w14:paraId="3BDB2C27" w14:textId="77777777" w:rsidR="00A313C5" w:rsidRDefault="004472C5">
      <w:pPr>
        <w:spacing w:line="360" w:lineRule="auto"/>
        <w:jc w:val="both"/>
        <w:rPr>
          <w:b/>
        </w:rPr>
      </w:pPr>
      <w:r>
        <w:br w:type="page"/>
      </w:r>
    </w:p>
    <w:p w14:paraId="6239B247" w14:textId="77777777" w:rsidR="00A313C5" w:rsidRDefault="004472C5">
      <w:pPr>
        <w:keepNext/>
        <w:keepLines/>
        <w:pBdr>
          <w:top w:val="nil"/>
          <w:left w:val="nil"/>
          <w:bottom w:val="nil"/>
          <w:right w:val="nil"/>
          <w:between w:val="nil"/>
        </w:pBdr>
        <w:spacing w:before="240" w:line="360" w:lineRule="auto"/>
        <w:jc w:val="center"/>
        <w:rPr>
          <w:b/>
          <w:color w:val="000000"/>
        </w:rPr>
      </w:pPr>
      <w:bookmarkStart w:id="0" w:name="_heading=h.trf0uo4whunj" w:colFirst="0" w:colLast="0"/>
      <w:bookmarkEnd w:id="0"/>
      <w:r>
        <w:rPr>
          <w:b/>
          <w:color w:val="000000"/>
        </w:rPr>
        <w:lastRenderedPageBreak/>
        <w:t>Table of Contents</w:t>
      </w:r>
    </w:p>
    <w:sdt>
      <w:sdtPr>
        <w:id w:val="2143330104"/>
        <w:docPartObj>
          <w:docPartGallery w:val="Table of Contents"/>
          <w:docPartUnique/>
        </w:docPartObj>
      </w:sdtPr>
      <w:sdtEndPr/>
      <w:sdtContent>
        <w:p w14:paraId="5A792D07" w14:textId="77777777" w:rsidR="00A313C5" w:rsidRDefault="004472C5">
          <w:pPr>
            <w:pBdr>
              <w:top w:val="nil"/>
              <w:left w:val="nil"/>
              <w:bottom w:val="nil"/>
              <w:right w:val="nil"/>
              <w:between w:val="nil"/>
            </w:pBdr>
            <w:tabs>
              <w:tab w:val="right" w:leader="dot" w:pos="9019"/>
            </w:tabs>
            <w:spacing w:after="100" w:line="360" w:lineRule="auto"/>
            <w:jc w:val="both"/>
            <w:rPr>
              <w:rFonts w:ascii="Cambria" w:eastAsia="Cambria" w:hAnsi="Cambria" w:cs="Cambria"/>
              <w:color w:val="000000"/>
              <w:sz w:val="24"/>
              <w:szCs w:val="24"/>
            </w:rPr>
          </w:pPr>
          <w:r>
            <w:fldChar w:fldCharType="begin"/>
          </w:r>
          <w:r>
            <w:instrText xml:space="preserve"> TOC \h \u \z \t "Heading 1,1,Heading 2,2,Heading 3,3,"</w:instrText>
          </w:r>
          <w:r>
            <w:fldChar w:fldCharType="separate"/>
          </w:r>
          <w:hyperlink w:anchor="_heading=h.ctrl3p23ipbi">
            <w:r>
              <w:rPr>
                <w:color w:val="000000"/>
              </w:rPr>
              <w:t>Introduction</w:t>
            </w:r>
            <w:r>
              <w:rPr>
                <w:color w:val="000000"/>
              </w:rPr>
              <w:tab/>
              <w:t>4</w:t>
            </w:r>
          </w:hyperlink>
        </w:p>
        <w:p w14:paraId="75C13A35" w14:textId="77777777" w:rsidR="00A313C5" w:rsidRDefault="004472C5">
          <w:pPr>
            <w:pBdr>
              <w:top w:val="nil"/>
              <w:left w:val="nil"/>
              <w:bottom w:val="nil"/>
              <w:right w:val="nil"/>
              <w:between w:val="nil"/>
            </w:pBdr>
            <w:tabs>
              <w:tab w:val="right" w:leader="dot" w:pos="9019"/>
            </w:tabs>
            <w:spacing w:after="100" w:line="360" w:lineRule="auto"/>
            <w:jc w:val="both"/>
            <w:rPr>
              <w:rFonts w:ascii="Cambria" w:eastAsia="Cambria" w:hAnsi="Cambria" w:cs="Cambria"/>
              <w:color w:val="000000"/>
              <w:sz w:val="24"/>
              <w:szCs w:val="24"/>
            </w:rPr>
          </w:pPr>
          <w:hyperlink w:anchor="_heading=h.km1pblw5asgh">
            <w:r>
              <w:rPr>
                <w:color w:val="000000"/>
              </w:rPr>
              <w:t>Section 1: Effective communication</w:t>
            </w:r>
            <w:r>
              <w:rPr>
                <w:color w:val="000000"/>
              </w:rPr>
              <w:tab/>
              <w:t>4</w:t>
            </w:r>
          </w:hyperlink>
        </w:p>
        <w:p w14:paraId="10E30D33" w14:textId="77777777" w:rsidR="00A313C5" w:rsidRDefault="004472C5">
          <w:pPr>
            <w:pBdr>
              <w:top w:val="nil"/>
              <w:left w:val="nil"/>
              <w:bottom w:val="nil"/>
              <w:right w:val="nil"/>
              <w:between w:val="nil"/>
            </w:pBdr>
            <w:tabs>
              <w:tab w:val="right" w:leader="dot" w:pos="9019"/>
            </w:tabs>
            <w:spacing w:after="100" w:line="360" w:lineRule="auto"/>
            <w:jc w:val="both"/>
            <w:rPr>
              <w:rFonts w:ascii="Cambria" w:eastAsia="Cambria" w:hAnsi="Cambria" w:cs="Cambria"/>
              <w:color w:val="000000"/>
              <w:sz w:val="24"/>
              <w:szCs w:val="24"/>
            </w:rPr>
          </w:pPr>
          <w:hyperlink w:anchor="_heading=h.xvom2r7x76lg">
            <w:r>
              <w:rPr>
                <w:color w:val="000000"/>
              </w:rPr>
              <w:t>Section 2: Administrative skills and record keeping</w:t>
            </w:r>
            <w:r>
              <w:rPr>
                <w:color w:val="000000"/>
              </w:rPr>
              <w:tab/>
              <w:t>5</w:t>
            </w:r>
          </w:hyperlink>
        </w:p>
        <w:p w14:paraId="717E2070" w14:textId="77777777" w:rsidR="00A313C5" w:rsidRDefault="004472C5">
          <w:pPr>
            <w:pBdr>
              <w:top w:val="nil"/>
              <w:left w:val="nil"/>
              <w:bottom w:val="nil"/>
              <w:right w:val="nil"/>
              <w:between w:val="nil"/>
            </w:pBdr>
            <w:tabs>
              <w:tab w:val="right" w:leader="dot" w:pos="9019"/>
            </w:tabs>
            <w:spacing w:after="100" w:line="360" w:lineRule="auto"/>
            <w:jc w:val="both"/>
            <w:rPr>
              <w:rFonts w:ascii="Cambria" w:eastAsia="Cambria" w:hAnsi="Cambria" w:cs="Cambria"/>
              <w:color w:val="000000"/>
              <w:sz w:val="24"/>
              <w:szCs w:val="24"/>
            </w:rPr>
          </w:pPr>
          <w:hyperlink w:anchor="_heading=h.y1b368np9g43">
            <w:r>
              <w:rPr>
                <w:color w:val="000000"/>
              </w:rPr>
              <w:t>Section 3: Collaborative working</w:t>
            </w:r>
            <w:r>
              <w:rPr>
                <w:color w:val="000000"/>
              </w:rPr>
              <w:tab/>
              <w:t>7</w:t>
            </w:r>
          </w:hyperlink>
        </w:p>
        <w:p w14:paraId="0EAF4A66" w14:textId="77777777" w:rsidR="00A313C5" w:rsidRDefault="004472C5">
          <w:pPr>
            <w:pBdr>
              <w:top w:val="nil"/>
              <w:left w:val="nil"/>
              <w:bottom w:val="nil"/>
              <w:right w:val="nil"/>
              <w:between w:val="nil"/>
            </w:pBdr>
            <w:tabs>
              <w:tab w:val="right" w:leader="dot" w:pos="9019"/>
            </w:tabs>
            <w:spacing w:after="100" w:line="360" w:lineRule="auto"/>
            <w:jc w:val="both"/>
            <w:rPr>
              <w:rFonts w:ascii="Cambria" w:eastAsia="Cambria" w:hAnsi="Cambria" w:cs="Cambria"/>
              <w:color w:val="000000"/>
              <w:sz w:val="24"/>
              <w:szCs w:val="24"/>
            </w:rPr>
          </w:pPr>
          <w:hyperlink w:anchor="_heading=h.aob88xygcufy">
            <w:r>
              <w:rPr>
                <w:color w:val="000000"/>
              </w:rPr>
              <w:t>Conclusion</w:t>
            </w:r>
            <w:r>
              <w:rPr>
                <w:color w:val="000000"/>
              </w:rPr>
              <w:tab/>
              <w:t>8</w:t>
            </w:r>
          </w:hyperlink>
        </w:p>
        <w:p w14:paraId="75C5D922" w14:textId="77777777" w:rsidR="00A313C5" w:rsidRDefault="004472C5">
          <w:pPr>
            <w:pBdr>
              <w:top w:val="nil"/>
              <w:left w:val="nil"/>
              <w:bottom w:val="nil"/>
              <w:right w:val="nil"/>
              <w:between w:val="nil"/>
            </w:pBdr>
            <w:tabs>
              <w:tab w:val="right" w:leader="dot" w:pos="9019"/>
            </w:tabs>
            <w:spacing w:after="100" w:line="360" w:lineRule="auto"/>
            <w:jc w:val="both"/>
            <w:rPr>
              <w:rFonts w:ascii="Cambria" w:eastAsia="Cambria" w:hAnsi="Cambria" w:cs="Cambria"/>
              <w:color w:val="000000"/>
              <w:sz w:val="24"/>
              <w:szCs w:val="24"/>
            </w:rPr>
          </w:pPr>
          <w:hyperlink w:anchor="_heading=h.sa4og0q0zxr7">
            <w:r>
              <w:rPr>
                <w:color w:val="000000"/>
              </w:rPr>
              <w:t>References</w:t>
            </w:r>
            <w:r>
              <w:rPr>
                <w:color w:val="000000"/>
              </w:rPr>
              <w:tab/>
              <w:t>9</w:t>
            </w:r>
          </w:hyperlink>
        </w:p>
        <w:p w14:paraId="4227E264" w14:textId="77777777" w:rsidR="00A313C5" w:rsidRDefault="004472C5">
          <w:pPr>
            <w:spacing w:line="360" w:lineRule="auto"/>
            <w:jc w:val="both"/>
          </w:pPr>
          <w:r>
            <w:fldChar w:fldCharType="end"/>
          </w:r>
        </w:p>
      </w:sdtContent>
    </w:sdt>
    <w:p w14:paraId="0F24E588" w14:textId="77777777" w:rsidR="00A313C5" w:rsidRDefault="004472C5">
      <w:pPr>
        <w:rPr>
          <w:b/>
        </w:rPr>
      </w:pPr>
      <w:r>
        <w:br w:type="page"/>
      </w:r>
    </w:p>
    <w:p w14:paraId="158645A9" w14:textId="77777777" w:rsidR="00A313C5" w:rsidRDefault="004472C5">
      <w:pPr>
        <w:pStyle w:val="Heading1"/>
      </w:pPr>
      <w:bookmarkStart w:id="1" w:name="_heading=h.ctrl3p23ipbi" w:colFirst="0" w:colLast="0"/>
      <w:bookmarkEnd w:id="1"/>
      <w:r>
        <w:lastRenderedPageBreak/>
        <w:t xml:space="preserve">Introduction </w:t>
      </w:r>
    </w:p>
    <w:p w14:paraId="5B2B2129" w14:textId="77777777" w:rsidR="00A313C5" w:rsidRDefault="004472C5">
      <w:pPr>
        <w:spacing w:line="360" w:lineRule="auto"/>
        <w:jc w:val="both"/>
      </w:pPr>
      <w:r>
        <w:t xml:space="preserve">This report identifies the role of building effective communication, collaborating working standards, and accurate record keeping process within the social care and healthcare process using the </w:t>
      </w:r>
      <w:r>
        <w:rPr>
          <w:b/>
          <w:i/>
        </w:rPr>
        <w:t>case of Mrs Mann</w:t>
      </w:r>
      <w:r>
        <w:t xml:space="preserve">. </w:t>
      </w:r>
      <w:r>
        <w:rPr>
          <w:b/>
          <w:i/>
        </w:rPr>
        <w:t>Mrs Mann</w:t>
      </w:r>
      <w:r>
        <w:t xml:space="preserve"> is a 72-year-old lady who was recently discharged from hospital following a hip replacement. Mrs Mann is living alone at home with the support from domiciliary care with two visits per day to support her with personal needs and mobility. Her first language is Urdu, and she knows very little English that establishes a communication gap among Mrs Mann and her team. There was inadequate documentation and miscommunication which led to delay in changing the client's medication. This highlights the possible risks to patient safety and wellbeing when the standards of record keeping and communication are not satisfactorily met. </w:t>
      </w:r>
    </w:p>
    <w:p w14:paraId="20A407A6" w14:textId="77777777" w:rsidR="00A313C5" w:rsidRDefault="004472C5">
      <w:pPr>
        <w:spacing w:line="360" w:lineRule="auto"/>
        <w:jc w:val="both"/>
      </w:pPr>
      <w:r>
        <w:t xml:space="preserve">The report has the </w:t>
      </w:r>
      <w:r>
        <w:rPr>
          <w:b/>
          <w:i/>
        </w:rPr>
        <w:t>purpose</w:t>
      </w:r>
      <w:r>
        <w:t xml:space="preserve"> of evaluating the way effective communication, effective administrative skills and effective multi-agency working will improve quality, safety and continuity of care in similar situations.</w:t>
      </w:r>
    </w:p>
    <w:p w14:paraId="4FC63868" w14:textId="77777777" w:rsidR="00A313C5" w:rsidRDefault="004472C5">
      <w:pPr>
        <w:pStyle w:val="Heading1"/>
      </w:pPr>
      <w:bookmarkStart w:id="2" w:name="_heading=h.km1pblw5asgh" w:colFirst="0" w:colLast="0"/>
      <w:bookmarkEnd w:id="2"/>
      <w:r>
        <w:t>Section 1: Effective communication</w:t>
      </w:r>
    </w:p>
    <w:p w14:paraId="026EC41A" w14:textId="77777777" w:rsidR="00A313C5" w:rsidRDefault="004472C5">
      <w:pPr>
        <w:spacing w:line="360" w:lineRule="auto"/>
        <w:jc w:val="both"/>
      </w:pPr>
      <w:r>
        <w:t xml:space="preserve">Communication is important within the care system as it facilitates the patient system, and helps enhance treatment outcomes along with promoting patient satisfaction. Maintaining effective communication within care leads to understanding health conditions of service users, minimising uncertainty and enhancing patient engagement (Kwame and </w:t>
      </w:r>
      <w:proofErr w:type="spellStart"/>
      <w:r>
        <w:t>Petrucka</w:t>
      </w:r>
      <w:proofErr w:type="spellEnd"/>
      <w:r>
        <w:t xml:space="preserve">, 2021). In Mrs Mann's case, there were </w:t>
      </w:r>
      <w:r>
        <w:rPr>
          <w:b/>
          <w:i/>
        </w:rPr>
        <w:t>language barriers</w:t>
      </w:r>
      <w:r>
        <w:t xml:space="preserve">, as her first language is Urdu and she spoke limited English. As a result, this </w:t>
      </w:r>
      <w:r>
        <w:rPr>
          <w:b/>
          <w:i/>
        </w:rPr>
        <w:t>language barrier</w:t>
      </w:r>
      <w:r>
        <w:t xml:space="preserve"> has resulted in enhancing its dependence over her daughter which was helpful but could also compromise accuracy and confidentiality. </w:t>
      </w:r>
    </w:p>
    <w:p w14:paraId="6E65D682" w14:textId="77777777" w:rsidR="00A313C5" w:rsidRDefault="004472C5">
      <w:pPr>
        <w:spacing w:line="360" w:lineRule="auto"/>
        <w:jc w:val="both"/>
      </w:pPr>
      <w:proofErr w:type="spellStart"/>
      <w:r>
        <w:rPr>
          <w:color w:val="222222"/>
          <w:highlight w:val="white"/>
        </w:rPr>
        <w:t>Gerchow</w:t>
      </w:r>
      <w:proofErr w:type="spellEnd"/>
      <w:r>
        <w:rPr>
          <w:color w:val="222222"/>
          <w:highlight w:val="white"/>
        </w:rPr>
        <w:t xml:space="preserve"> </w:t>
      </w:r>
      <w:r>
        <w:rPr>
          <w:i/>
          <w:color w:val="222222"/>
          <w:highlight w:val="white"/>
        </w:rPr>
        <w:t xml:space="preserve">et al. </w:t>
      </w:r>
      <w:r>
        <w:rPr>
          <w:color w:val="222222"/>
          <w:highlight w:val="white"/>
        </w:rPr>
        <w:t xml:space="preserve">(2021) highlights that the language barrier might affect healthcare access. </w:t>
      </w:r>
      <w:r>
        <w:t xml:space="preserve">The challenges which intensified the communication gap, also created cultural conflicts. As a result, cultural insensitivities might take place which might make Mrs Mann frustrated, and create misunderstanding. Misunderstandings in care delivery, can lead to errors, a decrease in trust, and isolation from the service user. </w:t>
      </w:r>
    </w:p>
    <w:p w14:paraId="53E33ADB" w14:textId="77777777" w:rsidR="00A313C5" w:rsidRDefault="004472C5">
      <w:pPr>
        <w:spacing w:line="360" w:lineRule="auto"/>
        <w:jc w:val="center"/>
      </w:pPr>
      <w:r>
        <w:rPr>
          <w:noProof/>
        </w:rPr>
        <w:lastRenderedPageBreak/>
        <w:drawing>
          <wp:inline distT="114300" distB="114300" distL="114300" distR="114300" wp14:anchorId="6B2B248A" wp14:editId="7125A03D">
            <wp:extent cx="5381625" cy="2667000"/>
            <wp:effectExtent l="25400" t="25400" r="25400" b="25400"/>
            <wp:docPr id="160972759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381625" cy="2667000"/>
                    </a:xfrm>
                    <a:prstGeom prst="rect">
                      <a:avLst/>
                    </a:prstGeom>
                    <a:ln w="25400">
                      <a:solidFill>
                        <a:srgbClr val="000000"/>
                      </a:solidFill>
                      <a:prstDash val="solid"/>
                    </a:ln>
                  </pic:spPr>
                </pic:pic>
              </a:graphicData>
            </a:graphic>
          </wp:inline>
        </w:drawing>
      </w:r>
    </w:p>
    <w:p w14:paraId="4F55B71A" w14:textId="77777777" w:rsidR="00A313C5" w:rsidRDefault="004472C5">
      <w:pPr>
        <w:spacing w:line="360" w:lineRule="auto"/>
        <w:jc w:val="center"/>
        <w:rPr>
          <w:b/>
        </w:rPr>
      </w:pPr>
      <w:r>
        <w:rPr>
          <w:b/>
        </w:rPr>
        <w:t>Figure 1: Shannon and Weaver’s model</w:t>
      </w:r>
    </w:p>
    <w:p w14:paraId="265E4E97" w14:textId="77777777" w:rsidR="00A313C5" w:rsidRDefault="004472C5">
      <w:pPr>
        <w:spacing w:line="360" w:lineRule="auto"/>
        <w:jc w:val="center"/>
      </w:pPr>
      <w:r>
        <w:t xml:space="preserve">(Source: </w:t>
      </w:r>
      <w:proofErr w:type="spellStart"/>
      <w:r>
        <w:t>Kusumalatha</w:t>
      </w:r>
      <w:proofErr w:type="spellEnd"/>
      <w:r>
        <w:t>, 2023)</w:t>
      </w:r>
    </w:p>
    <w:p w14:paraId="0AF9D126" w14:textId="77777777" w:rsidR="00A313C5" w:rsidRDefault="004472C5">
      <w:pPr>
        <w:spacing w:line="360" w:lineRule="auto"/>
        <w:jc w:val="both"/>
      </w:pPr>
      <w:r>
        <w:t xml:space="preserve">Based on the context to </w:t>
      </w:r>
      <w:r>
        <w:rPr>
          <w:b/>
          <w:i/>
        </w:rPr>
        <w:t>Shannon and Weaver’s model of communication</w:t>
      </w:r>
      <w:r>
        <w:t>, communication is seen as the process that has a source, encoder, proper availability channel, establishment of decoder and proper receiver (</w:t>
      </w:r>
      <w:proofErr w:type="spellStart"/>
      <w:r>
        <w:t>Kusumalatha</w:t>
      </w:r>
      <w:proofErr w:type="spellEnd"/>
      <w:r>
        <w:t xml:space="preserve">, 2023). In the case of Mrs Mann, language barriers, cultural barriers, and limited access to professional interpreters acts as noise that affects building proper communication between Mrs Mann and the professional team. All of these barriers can impact Mrs Mann's ability to completely comprehend her care plan and, as a result, lead to her feeling frustrated, anxious, or non-compliant with her care and treatment. </w:t>
      </w:r>
    </w:p>
    <w:p w14:paraId="2CD94D90" w14:textId="77777777" w:rsidR="00C67A77" w:rsidRDefault="004472C5">
      <w:pPr>
        <w:spacing w:line="360" w:lineRule="auto"/>
        <w:jc w:val="both"/>
      </w:pPr>
      <w:r>
        <w:t xml:space="preserve">The </w:t>
      </w:r>
      <w:r>
        <w:rPr>
          <w:b/>
          <w:i/>
        </w:rPr>
        <w:t>Equality Act 2010</w:t>
      </w:r>
      <w:r>
        <w:t xml:space="preserve"> highlights that care providers need to make reasonable adjustments for ensuring that the individuals are not deprived of care facilities based on language, cultural backgrounds and disability (</w:t>
      </w:r>
      <w:proofErr w:type="spellStart"/>
      <w:r>
        <w:t>Ocloo</w:t>
      </w:r>
      <w:proofErr w:type="spellEnd"/>
      <w:r>
        <w:t xml:space="preserve"> </w:t>
      </w:r>
      <w:r>
        <w:rPr>
          <w:i/>
        </w:rPr>
        <w:t xml:space="preserve">et al. </w:t>
      </w:r>
      <w:r>
        <w:t xml:space="preserve">2021). Mrs Mann’s care team need to have organised a professional interpreting service or used translated materials to ensure inclusion and person-centred care. </w:t>
      </w:r>
    </w:p>
    <w:p w14:paraId="27814DFA" w14:textId="77777777" w:rsidR="00A313C5" w:rsidRDefault="004472C5">
      <w:pPr>
        <w:spacing w:line="360" w:lineRule="auto"/>
        <w:jc w:val="both"/>
      </w:pPr>
      <w:r>
        <w:t xml:space="preserve">Improving the care practice, a </w:t>
      </w:r>
      <w:r>
        <w:rPr>
          <w:b/>
          <w:i/>
        </w:rPr>
        <w:t>professional interpreter</w:t>
      </w:r>
      <w:r>
        <w:t xml:space="preserve">, rather than depending solely on her daughter, needs to be regularly booked for home visits, care reviews, and medication conversations to help maintain confidentiality and accuracy. Care staff should also be trained to work effectively with interpreters, which includes allowing extra time for conversations and checking understanding through teach-back methods. Furthermore, the team could also use translated written documents and </w:t>
      </w:r>
      <w:r>
        <w:rPr>
          <w:b/>
          <w:i/>
        </w:rPr>
        <w:t>visual aids</w:t>
      </w:r>
      <w:r>
        <w:t xml:space="preserve"> like illustrative medical charts that need to be provided that can provide pictorial guidelines to support key messages. The visual aids will facilitate the understanding of Mrs Mann by looking at the diagrams which can minimise communication and language gap. Communication updates needs to be shared regularly among all professionals involved in Mrs Mann's care to ensure quality and consistency across care. </w:t>
      </w:r>
    </w:p>
    <w:p w14:paraId="2699404C" w14:textId="77777777" w:rsidR="00A313C5" w:rsidRDefault="004472C5">
      <w:pPr>
        <w:pStyle w:val="Heading1"/>
      </w:pPr>
      <w:bookmarkStart w:id="3" w:name="_heading=h.xvom2r7x76lg" w:colFirst="0" w:colLast="0"/>
      <w:bookmarkEnd w:id="3"/>
      <w:r>
        <w:lastRenderedPageBreak/>
        <w:t xml:space="preserve">Section 2: Administrative skills and record keeping </w:t>
      </w:r>
    </w:p>
    <w:p w14:paraId="60445A3B" w14:textId="77777777" w:rsidR="00A313C5" w:rsidRDefault="004472C5">
      <w:pPr>
        <w:spacing w:line="360" w:lineRule="auto"/>
        <w:jc w:val="both"/>
      </w:pPr>
      <w:r>
        <w:t xml:space="preserve">Implicit </w:t>
      </w:r>
      <w:r>
        <w:rPr>
          <w:b/>
          <w:i/>
        </w:rPr>
        <w:t>administrative skills</w:t>
      </w:r>
      <w:r>
        <w:t xml:space="preserve"> of healthcare providers are necessary for delivering efficient, safe along with person-centred care. In the case of Mrs Mann, different professionals such as domiciliary carers, GP and physiotherapist are involved and robust administrative competency is crucial for ensuring correct action, communication and recording information. According to </w:t>
      </w:r>
      <w:proofErr w:type="spellStart"/>
      <w:r>
        <w:rPr>
          <w:highlight w:val="white"/>
        </w:rPr>
        <w:t>Kiiski</w:t>
      </w:r>
      <w:proofErr w:type="spellEnd"/>
      <w:r>
        <w:rPr>
          <w:highlight w:val="white"/>
        </w:rPr>
        <w:t xml:space="preserve"> </w:t>
      </w:r>
      <w:r>
        <w:rPr>
          <w:i/>
          <w:highlight w:val="white"/>
        </w:rPr>
        <w:t xml:space="preserve">et al. </w:t>
      </w:r>
      <w:r>
        <w:t xml:space="preserve">(2025) administrative skills are needed for care-givers to ensure proper medication reviews, timely </w:t>
      </w:r>
      <w:proofErr w:type="spellStart"/>
      <w:r>
        <w:t>checkup</w:t>
      </w:r>
      <w:proofErr w:type="spellEnd"/>
      <w:r>
        <w:t xml:space="preserve"> and appropriate communications in multidisciplinary teams. Moreover, efficiency in administrative skills is also necessary for maintaining transparency in care work and avoiding legal challenges in future. </w:t>
      </w:r>
    </w:p>
    <w:p w14:paraId="3946733C" w14:textId="77777777" w:rsidR="00A313C5" w:rsidRDefault="004472C5">
      <w:pPr>
        <w:spacing w:line="360" w:lineRule="auto"/>
        <w:jc w:val="center"/>
      </w:pPr>
      <w:r>
        <w:rPr>
          <w:noProof/>
        </w:rPr>
        <w:drawing>
          <wp:inline distT="114300" distB="114300" distL="114300" distR="114300" wp14:anchorId="4B8149C2" wp14:editId="39F76C39">
            <wp:extent cx="4785333" cy="2917304"/>
            <wp:effectExtent l="0" t="0" r="0" b="0"/>
            <wp:docPr id="160972759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785333" cy="2917304"/>
                    </a:xfrm>
                    <a:prstGeom prst="rect">
                      <a:avLst/>
                    </a:prstGeom>
                    <a:ln/>
                  </pic:spPr>
                </pic:pic>
              </a:graphicData>
            </a:graphic>
          </wp:inline>
        </w:drawing>
      </w:r>
      <w:r>
        <w:t xml:space="preserve">  </w:t>
      </w:r>
    </w:p>
    <w:p w14:paraId="5EBF8A8E" w14:textId="77777777" w:rsidR="00A313C5" w:rsidRDefault="004472C5">
      <w:pPr>
        <w:spacing w:line="360" w:lineRule="auto"/>
        <w:jc w:val="center"/>
        <w:rPr>
          <w:b/>
        </w:rPr>
      </w:pPr>
      <w:r>
        <w:rPr>
          <w:b/>
        </w:rPr>
        <w:t xml:space="preserve">Figure 2: Importance of administrative skills of professionals in healthcare services </w:t>
      </w:r>
    </w:p>
    <w:p w14:paraId="7533478B" w14:textId="77777777" w:rsidR="00A313C5" w:rsidRDefault="004472C5">
      <w:pPr>
        <w:spacing w:line="360" w:lineRule="auto"/>
        <w:jc w:val="center"/>
      </w:pPr>
      <w:r>
        <w:t xml:space="preserve">(Source: Influenced by </w:t>
      </w:r>
      <w:proofErr w:type="spellStart"/>
      <w:r>
        <w:rPr>
          <w:highlight w:val="white"/>
        </w:rPr>
        <w:t>Kiiski</w:t>
      </w:r>
      <w:proofErr w:type="spellEnd"/>
      <w:r>
        <w:rPr>
          <w:highlight w:val="white"/>
        </w:rPr>
        <w:t xml:space="preserve"> </w:t>
      </w:r>
      <w:r>
        <w:rPr>
          <w:i/>
          <w:highlight w:val="white"/>
        </w:rPr>
        <w:t xml:space="preserve">et al. </w:t>
      </w:r>
      <w:r>
        <w:rPr>
          <w:highlight w:val="white"/>
        </w:rPr>
        <w:t>2025</w:t>
      </w:r>
      <w:r>
        <w:t>)</w:t>
      </w:r>
    </w:p>
    <w:p w14:paraId="4B4C9728" w14:textId="77777777" w:rsidR="00A313C5" w:rsidRDefault="004472C5">
      <w:pPr>
        <w:spacing w:line="360" w:lineRule="auto"/>
        <w:jc w:val="both"/>
      </w:pPr>
      <w:r>
        <w:t xml:space="preserve">In Mrs Mann’s case, lack of documentation such as consent forms, personal details, medical notes for GP, Medication administration record or MAR and other documents enhances issues in assessing the health condition. Inappropriate documentation of Mrs Mann causes delays in medication and proper care services. In the UK the </w:t>
      </w:r>
      <w:r>
        <w:rPr>
          <w:b/>
          <w:i/>
        </w:rPr>
        <w:t>Nursing and Midwifery Council</w:t>
      </w:r>
      <w:r>
        <w:t xml:space="preserve"> (NMC) has developed some code that instructs professionals for keeping accurate records of patients for providing appropriate care services (</w:t>
      </w:r>
      <w:r>
        <w:rPr>
          <w:highlight w:val="white"/>
        </w:rPr>
        <w:t xml:space="preserve">Connell </w:t>
      </w:r>
      <w:r>
        <w:rPr>
          <w:i/>
          <w:highlight w:val="white"/>
        </w:rPr>
        <w:t xml:space="preserve">et al. </w:t>
      </w:r>
      <w:r>
        <w:rPr>
          <w:highlight w:val="white"/>
        </w:rPr>
        <w:t>2022</w:t>
      </w:r>
      <w:r>
        <w:t xml:space="preserve">). In addition, this code illustrates that the non-compliance with the regulation can cause professional misconduct that can affect the professional career of a care-giver. </w:t>
      </w:r>
    </w:p>
    <w:p w14:paraId="544FB684" w14:textId="77777777" w:rsidR="00A313C5" w:rsidRDefault="004472C5">
      <w:pPr>
        <w:spacing w:line="360" w:lineRule="auto"/>
        <w:jc w:val="both"/>
      </w:pPr>
      <w:r>
        <w:rPr>
          <w:b/>
          <w:i/>
        </w:rPr>
        <w:t>Regulation 17</w:t>
      </w:r>
      <w:r>
        <w:t xml:space="preserve"> linked with </w:t>
      </w:r>
      <w:r>
        <w:rPr>
          <w:b/>
          <w:i/>
        </w:rPr>
        <w:t xml:space="preserve">Care Quality Commission </w:t>
      </w:r>
      <w:r>
        <w:t>(CQC) also prioritises keeping records of patients as a part of good governance that helps in providing person-centred care (</w:t>
      </w:r>
      <w:r>
        <w:rPr>
          <w:highlight w:val="white"/>
        </w:rPr>
        <w:t>CQC, 2025</w:t>
      </w:r>
      <w:r>
        <w:t xml:space="preserve">). For example, records regarding the language barrier of Mrs Mann can help professionals to take steps accordingly for improving communication with patients. Moreover, </w:t>
      </w:r>
      <w:r>
        <w:rPr>
          <w:b/>
          <w:i/>
        </w:rPr>
        <w:t>accurate documentation</w:t>
      </w:r>
      <w:r>
        <w:t xml:space="preserve"> is crucial for maintaining accountability regarding decisions of </w:t>
      </w:r>
      <w:r>
        <w:lastRenderedPageBreak/>
        <w:t xml:space="preserve">professionals and also can help the next carer to understand the health situation of patients such as Mrs Mann. </w:t>
      </w:r>
    </w:p>
    <w:p w14:paraId="1119CFC1" w14:textId="77777777" w:rsidR="00A313C5" w:rsidRDefault="004472C5">
      <w:pPr>
        <w:spacing w:line="360" w:lineRule="auto"/>
        <w:jc w:val="both"/>
      </w:pPr>
      <w:r>
        <w:t xml:space="preserve">The issues of poor documentation can create problems for care-givers providing proper medication to patients and missing care actions. Issues in record keeping can also enhance challenges in daily care and can also reduce coordination between multiple professionals such as the case of Mrs Mann. According to the </w:t>
      </w:r>
      <w:r>
        <w:rPr>
          <w:b/>
          <w:i/>
        </w:rPr>
        <w:t>Data Protection Act 2018</w:t>
      </w:r>
      <w:r>
        <w:t>, accurate and secured data storage is also important for managing legal and ethical aspects of record keeping in healthcare (</w:t>
      </w:r>
      <w:r>
        <w:rPr>
          <w:highlight w:val="white"/>
        </w:rPr>
        <w:t>Hammond and Smith, 2023</w:t>
      </w:r>
      <w:r>
        <w:t xml:space="preserve">). Furthermore, this act also stated that the data of the patients can be accessed by only authorised individuals associated with care-giving to patients. </w:t>
      </w:r>
    </w:p>
    <w:p w14:paraId="2643E4E0" w14:textId="77777777" w:rsidR="00A313C5" w:rsidRDefault="004472C5">
      <w:pPr>
        <w:spacing w:line="360" w:lineRule="auto"/>
        <w:jc w:val="both"/>
      </w:pPr>
      <w:r>
        <w:t xml:space="preserve">Similarly, </w:t>
      </w:r>
      <w:proofErr w:type="spellStart"/>
      <w:r>
        <w:rPr>
          <w:b/>
          <w:i/>
        </w:rPr>
        <w:t>Caldicott</w:t>
      </w:r>
      <w:proofErr w:type="spellEnd"/>
      <w:r>
        <w:rPr>
          <w:b/>
          <w:i/>
        </w:rPr>
        <w:t xml:space="preserve"> Principles</w:t>
      </w:r>
      <w:r>
        <w:t xml:space="preserve"> focussed on justification of gathering information, accuracy as well as real-time information gathering that is useful for protecting patient’s data, maintaining trust and ensuring proper care services. This principle also focuses on keeping minimum information from patients that is necessary for ensuring proper care services and avoiding challenges linked with data breach (</w:t>
      </w:r>
      <w:r>
        <w:rPr>
          <w:highlight w:val="white"/>
        </w:rPr>
        <w:t>The MDU, 2025</w:t>
      </w:r>
      <w:r>
        <w:t xml:space="preserve">). Thus, these regulations can be effective for ensuring proper documentation and avoiding risks associated with unethical and inappropriate care given to patients like Mrs Mann. Moreover, this case study helps in understanding necessary skills of professionals in care services and the necessity of keeping proper documents for ensuring quality care.                          </w:t>
      </w:r>
    </w:p>
    <w:p w14:paraId="15B01CFA" w14:textId="77777777" w:rsidR="00A313C5" w:rsidRDefault="004472C5">
      <w:pPr>
        <w:pStyle w:val="Heading1"/>
      </w:pPr>
      <w:bookmarkStart w:id="4" w:name="_heading=h.y1b368np9g43" w:colFirst="0" w:colLast="0"/>
      <w:bookmarkEnd w:id="4"/>
      <w:r>
        <w:t xml:space="preserve">Section 3: Collaborative working </w:t>
      </w:r>
    </w:p>
    <w:p w14:paraId="20544DC2" w14:textId="77777777" w:rsidR="00A313C5" w:rsidRDefault="004472C5">
      <w:pPr>
        <w:spacing w:line="360" w:lineRule="auto"/>
        <w:jc w:val="both"/>
      </w:pPr>
      <w:r>
        <w:t xml:space="preserve">In the case of patients such as Mrs Mann, who is recovering from the issues of heap replacement, collaboration between professionals is essential for ensuring continuity, holistic care and safety. Collaboration needs to be developed between GP, Physiotherapist, Community Nurse, Local Authority, Domiciliary Care Workers and the daughter of Mrs Mann to improve care services. Collaboration between professionals is also effective for developing communication plans for patients and also essential for avoiding challenges in care giving by improving documentation process (Hoyle </w:t>
      </w:r>
      <w:r>
        <w:rPr>
          <w:i/>
        </w:rPr>
        <w:t>et al.</w:t>
      </w:r>
      <w:r>
        <w:t xml:space="preserve"> 2019). The </w:t>
      </w:r>
      <w:r>
        <w:rPr>
          <w:b/>
          <w:i/>
        </w:rPr>
        <w:t xml:space="preserve">Health and Social Care Act of 2012 </w:t>
      </w:r>
      <w:r>
        <w:t>in the UK also prioritises collaboration between professionals for improving services to patients (</w:t>
      </w:r>
      <w:proofErr w:type="spellStart"/>
      <w:r>
        <w:rPr>
          <w:highlight w:val="white"/>
        </w:rPr>
        <w:t>Gov</w:t>
      </w:r>
      <w:proofErr w:type="spellEnd"/>
      <w:r>
        <w:rPr>
          <w:highlight w:val="white"/>
        </w:rPr>
        <w:t>, 2025</w:t>
      </w:r>
      <w:r>
        <w:t xml:space="preserve">). In this case, the </w:t>
      </w:r>
      <w:r>
        <w:rPr>
          <w:b/>
          <w:i/>
        </w:rPr>
        <w:t>Shared Care Plan</w:t>
      </w:r>
      <w:r>
        <w:t xml:space="preserve"> can be effective for all the team members to assess health conditions and data regarding medication to patients like Mrs Mann. Different platforms such as </w:t>
      </w:r>
      <w:r>
        <w:rPr>
          <w:b/>
          <w:i/>
        </w:rPr>
        <w:t>NHS Spine</w:t>
      </w:r>
      <w:r>
        <w:t xml:space="preserve"> associated with Shared Care are effective for enhancing integration in patients care and avoiding challenges (</w:t>
      </w:r>
      <w:r>
        <w:rPr>
          <w:highlight w:val="white"/>
        </w:rPr>
        <w:t>NHS, 2025</w:t>
      </w:r>
      <w:r>
        <w:t>). Additionally, multidisciplinary teams and using digital technology for communication can also be useful for enhancing collaborations.</w:t>
      </w:r>
    </w:p>
    <w:p w14:paraId="5D37C206" w14:textId="77777777" w:rsidR="00A313C5" w:rsidRDefault="004472C5">
      <w:pPr>
        <w:spacing w:line="360" w:lineRule="auto"/>
        <w:jc w:val="both"/>
      </w:pPr>
      <w:r>
        <w:t xml:space="preserve">Considering the case of Mrs Mann, it can be stated that the lack of collaboration between professionals enhances challenges regarding the effectiveness of care services. The main </w:t>
      </w:r>
      <w:r>
        <w:lastRenderedPageBreak/>
        <w:t>challenges linked with team collaboration are language barriers, confusions regarding roles, time constraints and issues of data sharing. The</w:t>
      </w:r>
      <w:r>
        <w:rPr>
          <w:b/>
          <w:i/>
        </w:rPr>
        <w:t xml:space="preserve"> Care Act of 2014</w:t>
      </w:r>
      <w:r>
        <w:t xml:space="preserve"> in the UK also highlights the necessity of enhancing collaboration between care providers and local authorities to improve care services to patients (</w:t>
      </w:r>
      <w:proofErr w:type="spellStart"/>
      <w:r>
        <w:rPr>
          <w:highlight w:val="white"/>
        </w:rPr>
        <w:t>Gov</w:t>
      </w:r>
      <w:proofErr w:type="spellEnd"/>
      <w:r>
        <w:rPr>
          <w:highlight w:val="white"/>
        </w:rPr>
        <w:t>, 2025</w:t>
      </w:r>
      <w:r>
        <w:t xml:space="preserve">). Similarly, </w:t>
      </w:r>
      <w:r>
        <w:rPr>
          <w:b/>
          <w:i/>
        </w:rPr>
        <w:t>CQC Regulation 9</w:t>
      </w:r>
      <w:r>
        <w:t xml:space="preserve"> also mentioned the importance of collaboration between teams in healthcare services to fulfil needs through appropriate services to patients (</w:t>
      </w:r>
      <w:r>
        <w:rPr>
          <w:highlight w:val="white"/>
        </w:rPr>
        <w:t>CQC, 2025</w:t>
      </w:r>
      <w:r>
        <w:t xml:space="preserve">). Following the regulation can be effective for ensuring consistency in personal care that is crucial for decreasing the possibility of risk and ensuring recovery of the patient. Thus, in the case of Mrs Mann, enhancement of team collaboration by reducing challenges can improve services of care that is also important for fast recovery.                   </w:t>
      </w:r>
    </w:p>
    <w:p w14:paraId="3F1B4303" w14:textId="77777777" w:rsidR="00A313C5" w:rsidRDefault="004472C5">
      <w:pPr>
        <w:pStyle w:val="Heading1"/>
      </w:pPr>
      <w:bookmarkStart w:id="5" w:name="_heading=h.aob88xygcufy" w:colFirst="0" w:colLast="0"/>
      <w:bookmarkEnd w:id="5"/>
      <w:r>
        <w:t xml:space="preserve">Conclusion </w:t>
      </w:r>
    </w:p>
    <w:p w14:paraId="13E693F9" w14:textId="77777777" w:rsidR="00A313C5" w:rsidRDefault="004472C5">
      <w:pPr>
        <w:spacing w:line="360" w:lineRule="auto"/>
        <w:jc w:val="both"/>
      </w:pPr>
      <w:r>
        <w:t xml:space="preserve">It can be concluded that the case of Mrs Mann highlights the need for building vital connections in the process of building communication, and record keeping in the delivery of safe and person-centred care. It is observed that language barriers and inconsistent documentation of care had the opportunity to compromise her safety and wellbeing and continues to have this potential, seen in a delayed change in her medication. </w:t>
      </w:r>
    </w:p>
    <w:p w14:paraId="0FC76EAF" w14:textId="77777777" w:rsidR="00A313C5" w:rsidRDefault="004472C5">
      <w:pPr>
        <w:spacing w:line="360" w:lineRule="auto"/>
        <w:jc w:val="both"/>
      </w:pPr>
      <w:r>
        <w:t xml:space="preserve">Shannon and Weaver’s model highlights that the communication barriers such as language barrier and cultural differences might lead to distorted messages between professionals and service users. Alternatively, administrative skills such as Data Protection Act 2018, use of NMC code, and </w:t>
      </w:r>
      <w:proofErr w:type="spellStart"/>
      <w:r>
        <w:t>Caldicott</w:t>
      </w:r>
      <w:proofErr w:type="spellEnd"/>
      <w:r>
        <w:t xml:space="preserve"> principles ensure accountability and continuity of care, while the collaborative teamwork practice provides support to build efficient care and coordination. Hence, the health and social care practitioners need to establish inclusive communication strategies, regular communication and shared care plans that can lead to build trust, and facilitate inter-professional cooperation within healthcare. </w:t>
      </w:r>
    </w:p>
    <w:p w14:paraId="70EDDE07" w14:textId="77777777" w:rsidR="00A313C5" w:rsidRDefault="004472C5">
      <w:pPr>
        <w:spacing w:line="360" w:lineRule="auto"/>
        <w:jc w:val="both"/>
      </w:pPr>
      <w:r>
        <w:br w:type="page"/>
      </w:r>
    </w:p>
    <w:p w14:paraId="706BA40F" w14:textId="77777777" w:rsidR="00A313C5" w:rsidRDefault="004472C5">
      <w:pPr>
        <w:pStyle w:val="Heading1"/>
        <w:spacing w:before="240" w:after="240"/>
      </w:pPr>
      <w:bookmarkStart w:id="6" w:name="_heading=h.sa4og0q0zxr7" w:colFirst="0" w:colLast="0"/>
      <w:bookmarkEnd w:id="6"/>
      <w:r>
        <w:lastRenderedPageBreak/>
        <w:t>References</w:t>
      </w:r>
    </w:p>
    <w:p w14:paraId="6C81B47B" w14:textId="77777777" w:rsidR="00A313C5" w:rsidRDefault="004472C5">
      <w:pPr>
        <w:spacing w:line="360" w:lineRule="auto"/>
        <w:jc w:val="both"/>
        <w:rPr>
          <w:highlight w:val="white"/>
        </w:rPr>
      </w:pPr>
      <w:r>
        <w:rPr>
          <w:highlight w:val="white"/>
        </w:rPr>
        <w:t xml:space="preserve">Connell, C., Jones, E., Haslam, M., Firestone, J., Pope, G. and Thompson, C., (2022). ‘Mental health nursing identity: a critical analysis of the UK’s Nursing and Midwifery Council’s pre-registration syllabus change and subsequent move towards </w:t>
      </w:r>
      <w:proofErr w:type="spellStart"/>
      <w:r>
        <w:rPr>
          <w:highlight w:val="white"/>
        </w:rPr>
        <w:t>genericism</w:t>
      </w:r>
      <w:proofErr w:type="spellEnd"/>
      <w:r>
        <w:rPr>
          <w:highlight w:val="white"/>
        </w:rPr>
        <w:t xml:space="preserve">’. </w:t>
      </w:r>
      <w:r>
        <w:rPr>
          <w:i/>
          <w:highlight w:val="white"/>
        </w:rPr>
        <w:t>Mental Health Review Journal</w:t>
      </w:r>
      <w:r>
        <w:rPr>
          <w:highlight w:val="white"/>
        </w:rPr>
        <w:t xml:space="preserve">, </w:t>
      </w:r>
      <w:r>
        <w:rPr>
          <w:i/>
          <w:highlight w:val="white"/>
        </w:rPr>
        <w:t>27</w:t>
      </w:r>
      <w:r>
        <w:rPr>
          <w:highlight w:val="white"/>
        </w:rPr>
        <w:t xml:space="preserve">(4), pp.472-483. Available at: </w:t>
      </w:r>
      <w:hyperlink r:id="rId10">
        <w:r>
          <w:rPr>
            <w:color w:val="1155CC"/>
            <w:highlight w:val="white"/>
            <w:u w:val="single"/>
          </w:rPr>
          <w:t>https://clok.uclan.ac.uk/43350/9/Mental%20health%20nursing%20a%20critical%20analysis%20of%20the%20Nursing%20and%20Midwifery%20Council%20pre-registration%20nursing%20syllabus%20%28Final%29.pdf</w:t>
        </w:r>
      </w:hyperlink>
    </w:p>
    <w:p w14:paraId="46F5B537" w14:textId="77777777" w:rsidR="00A313C5" w:rsidRDefault="004472C5">
      <w:pPr>
        <w:spacing w:line="360" w:lineRule="auto"/>
        <w:jc w:val="both"/>
        <w:rPr>
          <w:highlight w:val="white"/>
        </w:rPr>
      </w:pPr>
      <w:r>
        <w:rPr>
          <w:highlight w:val="white"/>
        </w:rPr>
        <w:t xml:space="preserve">CQC (2025) </w:t>
      </w:r>
      <w:r>
        <w:rPr>
          <w:i/>
          <w:highlight w:val="white"/>
        </w:rPr>
        <w:t>Regulation 9: Person-centred care.</w:t>
      </w:r>
      <w:r>
        <w:rPr>
          <w:highlight w:val="white"/>
        </w:rPr>
        <w:t xml:space="preserve"> Available at: </w:t>
      </w:r>
      <w:hyperlink r:id="rId11">
        <w:r>
          <w:rPr>
            <w:color w:val="1155CC"/>
            <w:highlight w:val="white"/>
            <w:u w:val="single"/>
          </w:rPr>
          <w:t>https://www.cqc.org.uk/guidance-regulation/providers/regulations-service-providers-and-managers/health-social-care-act/regulation-9</w:t>
        </w:r>
      </w:hyperlink>
      <w:r>
        <w:rPr>
          <w:highlight w:val="white"/>
        </w:rPr>
        <w:t xml:space="preserve"> (Accessed: 5 November 2025) </w:t>
      </w:r>
    </w:p>
    <w:p w14:paraId="5B35D36C" w14:textId="77777777" w:rsidR="00A313C5" w:rsidRDefault="004472C5">
      <w:pPr>
        <w:spacing w:line="360" w:lineRule="auto"/>
        <w:jc w:val="both"/>
        <w:rPr>
          <w:highlight w:val="white"/>
        </w:rPr>
      </w:pPr>
      <w:r>
        <w:rPr>
          <w:highlight w:val="white"/>
        </w:rPr>
        <w:t xml:space="preserve">CQC (2025) </w:t>
      </w:r>
      <w:r>
        <w:rPr>
          <w:i/>
          <w:highlight w:val="white"/>
        </w:rPr>
        <w:t>Regulations for service providers and managers.</w:t>
      </w:r>
      <w:r>
        <w:rPr>
          <w:highlight w:val="white"/>
        </w:rPr>
        <w:t xml:space="preserve"> Available at: </w:t>
      </w:r>
      <w:hyperlink r:id="rId12">
        <w:r>
          <w:rPr>
            <w:color w:val="1155CC"/>
            <w:highlight w:val="white"/>
            <w:u w:val="single"/>
          </w:rPr>
          <w:t>https://www.cqc.org.uk/guidance-regulation/providers/regulations-service-providers-and-managers/health-social-care-act/regulation-17</w:t>
        </w:r>
      </w:hyperlink>
      <w:r>
        <w:rPr>
          <w:highlight w:val="white"/>
        </w:rPr>
        <w:t xml:space="preserve"> (Accessed: 6 November 2025)</w:t>
      </w:r>
    </w:p>
    <w:p w14:paraId="3AFCCB46" w14:textId="77777777" w:rsidR="00A313C5" w:rsidRDefault="004472C5">
      <w:pPr>
        <w:spacing w:before="240" w:after="240" w:line="360" w:lineRule="auto"/>
        <w:jc w:val="both"/>
        <w:rPr>
          <w:color w:val="1155CC"/>
          <w:u w:val="single"/>
        </w:rPr>
      </w:pPr>
      <w:proofErr w:type="spellStart"/>
      <w:r>
        <w:rPr>
          <w:color w:val="222222"/>
          <w:highlight w:val="white"/>
        </w:rPr>
        <w:t>Gerchow</w:t>
      </w:r>
      <w:proofErr w:type="spellEnd"/>
      <w:r>
        <w:rPr>
          <w:color w:val="222222"/>
          <w:highlight w:val="white"/>
        </w:rPr>
        <w:t xml:space="preserve">, L., Burka, L.R., Miner, S. and Squires, A., (2021) ‘Language barriers between nurses and patients: A scoping review’. </w:t>
      </w:r>
      <w:r>
        <w:rPr>
          <w:i/>
        </w:rPr>
        <w:t xml:space="preserve">Patient education and </w:t>
      </w:r>
      <w:proofErr w:type="spellStart"/>
      <w:r>
        <w:rPr>
          <w:i/>
        </w:rPr>
        <w:t>counseling</w:t>
      </w:r>
      <w:proofErr w:type="spellEnd"/>
      <w:r>
        <w:t xml:space="preserve">, </w:t>
      </w:r>
      <w:r>
        <w:rPr>
          <w:i/>
        </w:rPr>
        <w:t>104</w:t>
      </w:r>
      <w:r>
        <w:t>(3), pp.534-553.</w:t>
      </w:r>
      <w:hyperlink r:id="rId13">
        <w:r>
          <w:t xml:space="preserve"> Available at: </w:t>
        </w:r>
      </w:hyperlink>
      <w:hyperlink r:id="rId14">
        <w:r>
          <w:rPr>
            <w:color w:val="1155CC"/>
            <w:u w:val="single"/>
          </w:rPr>
          <w:t>https://www.sciencedirect.com/science/article/pii/S0738399120305152</w:t>
        </w:r>
      </w:hyperlink>
    </w:p>
    <w:p w14:paraId="0F0F0BA2" w14:textId="77777777" w:rsidR="00A313C5" w:rsidRDefault="004472C5">
      <w:pPr>
        <w:spacing w:line="360" w:lineRule="auto"/>
        <w:jc w:val="both"/>
        <w:rPr>
          <w:highlight w:val="white"/>
        </w:rPr>
      </w:pPr>
      <w:proofErr w:type="spellStart"/>
      <w:r>
        <w:rPr>
          <w:highlight w:val="white"/>
        </w:rPr>
        <w:t>Gov</w:t>
      </w:r>
      <w:proofErr w:type="spellEnd"/>
      <w:r>
        <w:rPr>
          <w:highlight w:val="white"/>
        </w:rPr>
        <w:t xml:space="preserve"> (2025) </w:t>
      </w:r>
      <w:r>
        <w:rPr>
          <w:i/>
          <w:highlight w:val="white"/>
        </w:rPr>
        <w:t>Care Act 2014.</w:t>
      </w:r>
      <w:r>
        <w:rPr>
          <w:highlight w:val="white"/>
        </w:rPr>
        <w:t xml:space="preserve"> Available at: </w:t>
      </w:r>
      <w:hyperlink r:id="rId15">
        <w:r>
          <w:rPr>
            <w:color w:val="1155CC"/>
            <w:highlight w:val="white"/>
            <w:u w:val="single"/>
          </w:rPr>
          <w:t>https://www.legislation.gov.uk/ukpga/2014/23/contents</w:t>
        </w:r>
      </w:hyperlink>
      <w:r>
        <w:rPr>
          <w:highlight w:val="white"/>
        </w:rPr>
        <w:t xml:space="preserve"> (Accessed: 5 November 2025) </w:t>
      </w:r>
    </w:p>
    <w:p w14:paraId="4F3DF91A" w14:textId="77777777" w:rsidR="00A313C5" w:rsidRDefault="004472C5">
      <w:pPr>
        <w:spacing w:line="360" w:lineRule="auto"/>
        <w:jc w:val="both"/>
        <w:rPr>
          <w:highlight w:val="white"/>
        </w:rPr>
      </w:pPr>
      <w:proofErr w:type="spellStart"/>
      <w:r>
        <w:rPr>
          <w:highlight w:val="white"/>
        </w:rPr>
        <w:t>Gov</w:t>
      </w:r>
      <w:proofErr w:type="spellEnd"/>
      <w:r>
        <w:rPr>
          <w:highlight w:val="white"/>
        </w:rPr>
        <w:t xml:space="preserve"> (2025) </w:t>
      </w:r>
      <w:r>
        <w:rPr>
          <w:i/>
          <w:highlight w:val="white"/>
        </w:rPr>
        <w:t>Health and Social Care Act 2012.</w:t>
      </w:r>
      <w:r>
        <w:rPr>
          <w:highlight w:val="white"/>
        </w:rPr>
        <w:t xml:space="preserve"> Available at: </w:t>
      </w:r>
      <w:hyperlink r:id="rId16">
        <w:r>
          <w:rPr>
            <w:color w:val="1155CC"/>
            <w:highlight w:val="white"/>
            <w:u w:val="single"/>
          </w:rPr>
          <w:t>https://www.legislation.gov.uk/ukpga/2012/7/contents</w:t>
        </w:r>
      </w:hyperlink>
      <w:r>
        <w:rPr>
          <w:highlight w:val="white"/>
        </w:rPr>
        <w:t xml:space="preserve"> (Accessed: 6 November 2025) </w:t>
      </w:r>
    </w:p>
    <w:p w14:paraId="178A3D94" w14:textId="77777777" w:rsidR="00A313C5" w:rsidRDefault="004472C5">
      <w:pPr>
        <w:spacing w:line="360" w:lineRule="auto"/>
        <w:jc w:val="both"/>
        <w:rPr>
          <w:highlight w:val="white"/>
        </w:rPr>
      </w:pPr>
      <w:r>
        <w:rPr>
          <w:highlight w:val="white"/>
        </w:rPr>
        <w:t xml:space="preserve">Hammond, L. and Smith, E.R., (2023). ‘Ethics, data protection and research in geography education’. </w:t>
      </w:r>
      <w:r>
        <w:rPr>
          <w:i/>
          <w:highlight w:val="white"/>
        </w:rPr>
        <w:t>Teaching Geography</w:t>
      </w:r>
      <w:r>
        <w:rPr>
          <w:highlight w:val="white"/>
        </w:rPr>
        <w:t xml:space="preserve">, </w:t>
      </w:r>
      <w:r>
        <w:rPr>
          <w:i/>
          <w:highlight w:val="white"/>
        </w:rPr>
        <w:t>48</w:t>
      </w:r>
      <w:r>
        <w:rPr>
          <w:highlight w:val="white"/>
        </w:rPr>
        <w:t xml:space="preserve">(1), pp.22-24. Available at: </w:t>
      </w:r>
      <w:hyperlink r:id="rId17">
        <w:r>
          <w:rPr>
            <w:color w:val="1155CC"/>
            <w:highlight w:val="white"/>
            <w:u w:val="single"/>
          </w:rPr>
          <w:t>https://www.research.ed.ac.uk/files/319742482/Hammond_RawlingsSmithTG2023EthicsAndDataProtection.pdf</w:t>
        </w:r>
      </w:hyperlink>
      <w:r>
        <w:rPr>
          <w:highlight w:val="white"/>
        </w:rPr>
        <w:t xml:space="preserve"> </w:t>
      </w:r>
    </w:p>
    <w:p w14:paraId="2D691628" w14:textId="77777777" w:rsidR="00A313C5" w:rsidRDefault="004472C5">
      <w:pPr>
        <w:spacing w:line="360" w:lineRule="auto"/>
        <w:jc w:val="both"/>
      </w:pPr>
      <w:r>
        <w:t xml:space="preserve">Hoyle, V., Shepherd, E., </w:t>
      </w:r>
      <w:proofErr w:type="spellStart"/>
      <w:r>
        <w:t>Flinn</w:t>
      </w:r>
      <w:proofErr w:type="spellEnd"/>
      <w:r>
        <w:t>, A. and Lomas, E., (2019). ‘Child social-care recording and the information rights of care-experienced people: A recordkeeping perspective’. </w:t>
      </w:r>
      <w:r>
        <w:rPr>
          <w:i/>
        </w:rPr>
        <w:t>The British Journal of Social Work</w:t>
      </w:r>
      <w:r>
        <w:t>, </w:t>
      </w:r>
      <w:r>
        <w:rPr>
          <w:i/>
        </w:rPr>
        <w:t>49</w:t>
      </w:r>
      <w:r>
        <w:t xml:space="preserve">(7), pp.1856-1874. </w:t>
      </w:r>
      <w:r>
        <w:rPr>
          <w:highlight w:val="white"/>
        </w:rPr>
        <w:t>Available at:</w:t>
      </w:r>
      <w:r>
        <w:t xml:space="preserve"> </w:t>
      </w:r>
      <w:hyperlink r:id="rId18">
        <w:r>
          <w:rPr>
            <w:color w:val="0000FF"/>
            <w:u w:val="single"/>
          </w:rPr>
          <w:t>https://academic.oup.com/bjsw/article-pdf/49/7/1856/30295340/bcy115.pdf</w:t>
        </w:r>
      </w:hyperlink>
      <w:r>
        <w:t xml:space="preserve"> </w:t>
      </w:r>
    </w:p>
    <w:p w14:paraId="3383C9A2" w14:textId="77777777" w:rsidR="00A313C5" w:rsidRDefault="004472C5">
      <w:pPr>
        <w:spacing w:line="360" w:lineRule="auto"/>
        <w:jc w:val="both"/>
        <w:rPr>
          <w:highlight w:val="white"/>
        </w:rPr>
      </w:pPr>
      <w:proofErr w:type="spellStart"/>
      <w:r>
        <w:rPr>
          <w:highlight w:val="white"/>
        </w:rPr>
        <w:t>Kiiski</w:t>
      </w:r>
      <w:proofErr w:type="spellEnd"/>
      <w:r>
        <w:rPr>
          <w:highlight w:val="white"/>
        </w:rPr>
        <w:t xml:space="preserve">, A., </w:t>
      </w:r>
      <w:proofErr w:type="spellStart"/>
      <w:r>
        <w:rPr>
          <w:highlight w:val="white"/>
        </w:rPr>
        <w:t>Luoma</w:t>
      </w:r>
      <w:proofErr w:type="spellEnd"/>
      <w:r>
        <w:rPr>
          <w:highlight w:val="white"/>
        </w:rPr>
        <w:t xml:space="preserve">, E., </w:t>
      </w:r>
      <w:proofErr w:type="spellStart"/>
      <w:r>
        <w:rPr>
          <w:highlight w:val="white"/>
        </w:rPr>
        <w:t>Airaksinen</w:t>
      </w:r>
      <w:proofErr w:type="spellEnd"/>
      <w:r>
        <w:rPr>
          <w:highlight w:val="white"/>
        </w:rPr>
        <w:t xml:space="preserve">, M., </w:t>
      </w:r>
      <w:proofErr w:type="spellStart"/>
      <w:r>
        <w:rPr>
          <w:highlight w:val="white"/>
        </w:rPr>
        <w:t>Pohjanoksa-Mäntylä</w:t>
      </w:r>
      <w:proofErr w:type="spellEnd"/>
      <w:r>
        <w:rPr>
          <w:highlight w:val="white"/>
        </w:rPr>
        <w:t xml:space="preserve">, M., </w:t>
      </w:r>
      <w:proofErr w:type="spellStart"/>
      <w:r>
        <w:rPr>
          <w:highlight w:val="white"/>
        </w:rPr>
        <w:t>Desselle</w:t>
      </w:r>
      <w:proofErr w:type="spellEnd"/>
      <w:r>
        <w:rPr>
          <w:highlight w:val="white"/>
        </w:rPr>
        <w:t xml:space="preserve">, S. and </w:t>
      </w:r>
      <w:proofErr w:type="spellStart"/>
      <w:r>
        <w:rPr>
          <w:highlight w:val="white"/>
        </w:rPr>
        <w:t>Kivelä</w:t>
      </w:r>
      <w:proofErr w:type="spellEnd"/>
      <w:r>
        <w:rPr>
          <w:highlight w:val="white"/>
        </w:rPr>
        <w:t xml:space="preserve">, S.L., (2025). ‘Caregivers’ challenges in engaging with the health system to optimise medication management of older care recipients: a qualitative study including home </w:t>
      </w:r>
      <w:proofErr w:type="gramStart"/>
      <w:r>
        <w:rPr>
          <w:highlight w:val="white"/>
        </w:rPr>
        <w:t>visits’</w:t>
      </w:r>
      <w:proofErr w:type="gramEnd"/>
      <w:r>
        <w:rPr>
          <w:highlight w:val="white"/>
        </w:rPr>
        <w:t xml:space="preserve">. </w:t>
      </w:r>
      <w:r>
        <w:rPr>
          <w:i/>
          <w:highlight w:val="white"/>
        </w:rPr>
        <w:t>BMJ open</w:t>
      </w:r>
      <w:r>
        <w:rPr>
          <w:highlight w:val="white"/>
        </w:rPr>
        <w:t xml:space="preserve">, </w:t>
      </w:r>
      <w:r>
        <w:rPr>
          <w:i/>
          <w:highlight w:val="white"/>
        </w:rPr>
        <w:t>15</w:t>
      </w:r>
      <w:r>
        <w:rPr>
          <w:highlight w:val="white"/>
        </w:rPr>
        <w:t xml:space="preserve">(6), p.e093122. Available at: </w:t>
      </w:r>
      <w:hyperlink r:id="rId19">
        <w:r>
          <w:rPr>
            <w:color w:val="1155CC"/>
            <w:highlight w:val="white"/>
            <w:u w:val="single"/>
          </w:rPr>
          <w:t>https://bmjopen.bmj.com/content/bmjopen/15/6/e093122.full.pdf</w:t>
        </w:r>
      </w:hyperlink>
    </w:p>
    <w:p w14:paraId="61DB222B" w14:textId="77777777" w:rsidR="00A313C5" w:rsidRDefault="004472C5">
      <w:pPr>
        <w:spacing w:before="240" w:after="240" w:line="360" w:lineRule="auto"/>
        <w:jc w:val="both"/>
        <w:rPr>
          <w:color w:val="1155CC"/>
          <w:u w:val="single"/>
        </w:rPr>
      </w:pPr>
      <w:proofErr w:type="spellStart"/>
      <w:r>
        <w:lastRenderedPageBreak/>
        <w:t>Kusumalatha</w:t>
      </w:r>
      <w:proofErr w:type="spellEnd"/>
      <w:r>
        <w:t xml:space="preserve">, D.V., (2023) ‘Extension Communication Models and Strategies’. </w:t>
      </w:r>
      <w:r>
        <w:rPr>
          <w:i/>
        </w:rPr>
        <w:t>Chief Editor</w:t>
      </w:r>
      <w:r>
        <w:t xml:space="preserve">, </w:t>
      </w:r>
      <w:r>
        <w:rPr>
          <w:i/>
        </w:rPr>
        <w:t>41</w:t>
      </w:r>
      <w:r>
        <w:t>.</w:t>
      </w:r>
      <w:hyperlink r:id="rId20" w:anchor="page=47">
        <w:r>
          <w:t xml:space="preserve"> </w:t>
        </w:r>
      </w:hyperlink>
      <w:hyperlink r:id="rId21">
        <w:r>
          <w:t xml:space="preserve">Available at: </w:t>
        </w:r>
      </w:hyperlink>
      <w:hyperlink r:id="rId22" w:anchor="page=47">
        <w:r>
          <w:rPr>
            <w:color w:val="1155CC"/>
            <w:u w:val="single"/>
          </w:rPr>
          <w:t>https://www.researchgate.net/profile/Tanvi-Sharma-29/publication/378067789_Economic_Problems_and_Financial_Support_to_Elderly_Women_in_Rural_and_Urban_Areas_of_Haryana/links/65c4e7661bed776ae3379b8b/Economic-Problems-and-Financial-Support-to-Elderly-Women-in-Rural-and-Urban-Areas-of-Haryana.pdf#page=47</w:t>
        </w:r>
      </w:hyperlink>
    </w:p>
    <w:p w14:paraId="2EBAAF0D" w14:textId="77777777" w:rsidR="00A313C5" w:rsidRDefault="004472C5">
      <w:pPr>
        <w:spacing w:before="240" w:after="240" w:line="360" w:lineRule="auto"/>
        <w:jc w:val="both"/>
        <w:rPr>
          <w:color w:val="1155CC"/>
          <w:u w:val="single"/>
        </w:rPr>
      </w:pPr>
      <w:r>
        <w:t xml:space="preserve">Kwame, A. and </w:t>
      </w:r>
      <w:proofErr w:type="spellStart"/>
      <w:r>
        <w:t>Petrucka</w:t>
      </w:r>
      <w:proofErr w:type="spellEnd"/>
      <w:r>
        <w:t>, P.M., (2021) ‘A literature-based study of patient-</w:t>
      </w:r>
      <w:proofErr w:type="spellStart"/>
      <w:r>
        <w:t>centered</w:t>
      </w:r>
      <w:proofErr w:type="spellEnd"/>
      <w:r>
        <w:t xml:space="preserve"> care and communication in nurse-patient interactions: barriers, facilitators, and the way forward’. </w:t>
      </w:r>
      <w:r>
        <w:rPr>
          <w:i/>
        </w:rPr>
        <w:t>BMC nursing</w:t>
      </w:r>
      <w:r>
        <w:t xml:space="preserve">, </w:t>
      </w:r>
      <w:r>
        <w:rPr>
          <w:i/>
        </w:rPr>
        <w:t>20</w:t>
      </w:r>
      <w:r>
        <w:t>(1), p.158.</w:t>
      </w:r>
      <w:hyperlink r:id="rId23">
        <w:r>
          <w:t xml:space="preserve"> </w:t>
        </w:r>
      </w:hyperlink>
      <w:hyperlink r:id="rId24">
        <w:r>
          <w:t xml:space="preserve">Available at: </w:t>
        </w:r>
      </w:hyperlink>
      <w:hyperlink r:id="rId25">
        <w:r>
          <w:rPr>
            <w:color w:val="1155CC"/>
            <w:u w:val="single"/>
          </w:rPr>
          <w:t>https://link.springer.com/article/10.1186/s12912-021-00684-2</w:t>
        </w:r>
      </w:hyperlink>
    </w:p>
    <w:p w14:paraId="4ADA60FC" w14:textId="77777777" w:rsidR="00A313C5" w:rsidRDefault="004472C5">
      <w:pPr>
        <w:spacing w:line="360" w:lineRule="auto"/>
        <w:jc w:val="both"/>
        <w:rPr>
          <w:highlight w:val="white"/>
        </w:rPr>
      </w:pPr>
      <w:r>
        <w:rPr>
          <w:highlight w:val="white"/>
        </w:rPr>
        <w:t xml:space="preserve">NHS (2025) </w:t>
      </w:r>
      <w:r>
        <w:rPr>
          <w:i/>
          <w:highlight w:val="white"/>
        </w:rPr>
        <w:t xml:space="preserve">Spine. </w:t>
      </w:r>
      <w:r>
        <w:rPr>
          <w:highlight w:val="white"/>
        </w:rPr>
        <w:t xml:space="preserve">Available at: </w:t>
      </w:r>
      <w:hyperlink r:id="rId26">
        <w:r>
          <w:rPr>
            <w:color w:val="1155CC"/>
            <w:highlight w:val="white"/>
            <w:u w:val="single"/>
          </w:rPr>
          <w:t>https://digital.nhs.uk/services/spine</w:t>
        </w:r>
      </w:hyperlink>
      <w:r>
        <w:rPr>
          <w:highlight w:val="white"/>
        </w:rPr>
        <w:t xml:space="preserve"> (Accessed: 5 November 2025) </w:t>
      </w:r>
    </w:p>
    <w:p w14:paraId="36C78687" w14:textId="77777777" w:rsidR="00A313C5" w:rsidRDefault="004472C5">
      <w:pPr>
        <w:spacing w:before="240" w:after="240" w:line="360" w:lineRule="auto"/>
        <w:jc w:val="both"/>
        <w:rPr>
          <w:color w:val="1155CC"/>
          <w:u w:val="single"/>
        </w:rPr>
      </w:pPr>
      <w:proofErr w:type="spellStart"/>
      <w:r>
        <w:t>Ocloo</w:t>
      </w:r>
      <w:proofErr w:type="spellEnd"/>
      <w:r>
        <w:t xml:space="preserve">, J., Garfield, S., Franklin, B.D. and Dawson, S., (2021) ‘Exploring the theory, barriers and enablers for patient and public involvement across health, social care and patient safety: a systematic review of </w:t>
      </w:r>
      <w:proofErr w:type="gramStart"/>
      <w:r>
        <w:t>reviews’</w:t>
      </w:r>
      <w:proofErr w:type="gramEnd"/>
      <w:r>
        <w:t xml:space="preserve">. </w:t>
      </w:r>
      <w:r>
        <w:rPr>
          <w:i/>
        </w:rPr>
        <w:t>Health research policy and systems</w:t>
      </w:r>
      <w:r>
        <w:t xml:space="preserve">, </w:t>
      </w:r>
      <w:r>
        <w:rPr>
          <w:i/>
        </w:rPr>
        <w:t>19</w:t>
      </w:r>
      <w:r>
        <w:t>(1), p.8.</w:t>
      </w:r>
      <w:hyperlink r:id="rId27">
        <w:r>
          <w:t xml:space="preserve"> </w:t>
        </w:r>
      </w:hyperlink>
      <w:hyperlink r:id="rId28">
        <w:r>
          <w:t xml:space="preserve">Available at: </w:t>
        </w:r>
      </w:hyperlink>
      <w:hyperlink r:id="rId29">
        <w:r>
          <w:rPr>
            <w:color w:val="1155CC"/>
            <w:u w:val="single"/>
          </w:rPr>
          <w:t>https://link.springer.com/article/10.1186/s12961-020-00644-3</w:t>
        </w:r>
      </w:hyperlink>
    </w:p>
    <w:p w14:paraId="1F80C0DC" w14:textId="77777777" w:rsidR="00A313C5" w:rsidRDefault="004472C5">
      <w:pPr>
        <w:spacing w:line="360" w:lineRule="auto"/>
        <w:jc w:val="both"/>
        <w:rPr>
          <w:highlight w:val="white"/>
        </w:rPr>
      </w:pPr>
      <w:r>
        <w:rPr>
          <w:highlight w:val="white"/>
        </w:rPr>
        <w:t xml:space="preserve">The MDU (2025) </w:t>
      </w:r>
      <w:r>
        <w:rPr>
          <w:i/>
          <w:highlight w:val="white"/>
        </w:rPr>
        <w:t xml:space="preserve">The </w:t>
      </w:r>
      <w:proofErr w:type="spellStart"/>
      <w:r>
        <w:rPr>
          <w:i/>
          <w:highlight w:val="white"/>
        </w:rPr>
        <w:t>Caldicott</w:t>
      </w:r>
      <w:proofErr w:type="spellEnd"/>
      <w:r>
        <w:rPr>
          <w:i/>
          <w:highlight w:val="white"/>
        </w:rPr>
        <w:t xml:space="preserve"> principles and guardian roles explained. </w:t>
      </w:r>
      <w:r>
        <w:rPr>
          <w:highlight w:val="white"/>
        </w:rPr>
        <w:t xml:space="preserve">Available at: </w:t>
      </w:r>
      <w:hyperlink r:id="rId30">
        <w:r>
          <w:rPr>
            <w:color w:val="1155CC"/>
            <w:highlight w:val="white"/>
            <w:u w:val="single"/>
          </w:rPr>
          <w:t>https://www.themdu.com/guidance-and-advice/guides/the-caldicott-principles-and-guardian-roles-explained</w:t>
        </w:r>
      </w:hyperlink>
      <w:r>
        <w:rPr>
          <w:highlight w:val="white"/>
        </w:rPr>
        <w:t xml:space="preserve"> (Accessed: 6 November 2025)</w:t>
      </w:r>
    </w:p>
    <w:sectPr w:rsidR="00A313C5">
      <w:footerReference w:type="default" r:id="rId3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8A8948" w14:textId="77777777" w:rsidR="004472C5" w:rsidRDefault="004472C5">
      <w:pPr>
        <w:spacing w:line="240" w:lineRule="auto"/>
      </w:pPr>
      <w:r>
        <w:separator/>
      </w:r>
    </w:p>
  </w:endnote>
  <w:endnote w:type="continuationSeparator" w:id="0">
    <w:p w14:paraId="451170E6" w14:textId="77777777" w:rsidR="004472C5" w:rsidRDefault="004472C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embedRegular r:id="rId1" w:fontKey="{18B9B973-B972-470F-A3B7-EA8B895424C2}"/>
  </w:font>
  <w:font w:name="Cambria">
    <w:panose1 w:val="02040503050406030204"/>
    <w:charset w:val="00"/>
    <w:family w:val="roman"/>
    <w:pitch w:val="variable"/>
    <w:sig w:usb0="E00006FF" w:usb1="420024FF" w:usb2="02000000" w:usb3="00000000" w:csb0="0000019F" w:csb1="00000000"/>
    <w:embedRegular r:id="rId2" w:fontKey="{059DB992-3710-4180-90D7-E0F5D992811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098D7C" w14:textId="77777777" w:rsidR="00A313C5" w:rsidRDefault="004472C5">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99185B">
      <w:rPr>
        <w:noProof/>
        <w:color w:val="000000"/>
      </w:rPr>
      <w:t>8</w:t>
    </w:r>
    <w:r>
      <w:rPr>
        <w:color w:val="000000"/>
      </w:rPr>
      <w:fldChar w:fldCharType="end"/>
    </w:r>
  </w:p>
  <w:p w14:paraId="05859EE6" w14:textId="77777777" w:rsidR="00A313C5" w:rsidRDefault="00A313C5">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076C66" w14:textId="77777777" w:rsidR="004472C5" w:rsidRDefault="004472C5">
      <w:pPr>
        <w:spacing w:line="240" w:lineRule="auto"/>
      </w:pPr>
      <w:r>
        <w:separator/>
      </w:r>
    </w:p>
  </w:footnote>
  <w:footnote w:type="continuationSeparator" w:id="0">
    <w:p w14:paraId="198B935C" w14:textId="77777777" w:rsidR="004472C5" w:rsidRDefault="004472C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313C5"/>
    <w:rsid w:val="0035193C"/>
    <w:rsid w:val="004472C5"/>
    <w:rsid w:val="005F2BB4"/>
    <w:rsid w:val="0076562E"/>
    <w:rsid w:val="00851B17"/>
    <w:rsid w:val="008836E0"/>
    <w:rsid w:val="008A2378"/>
    <w:rsid w:val="0099185B"/>
    <w:rsid w:val="00A313C5"/>
    <w:rsid w:val="00A800C0"/>
    <w:rsid w:val="00BA0DEB"/>
    <w:rsid w:val="00C67A77"/>
    <w:rsid w:val="00F35E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CA1B15"/>
  <w15:docId w15:val="{8C63C875-DF8A-4003-93A2-766B93626D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200" w:after="200" w:line="360" w:lineRule="auto"/>
      <w:jc w:val="both"/>
      <w:outlineLvl w:val="0"/>
    </w:pPr>
    <w:rPr>
      <w: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Header">
    <w:name w:val="header"/>
    <w:basedOn w:val="Normal"/>
    <w:link w:val="HeaderChar"/>
    <w:uiPriority w:val="99"/>
    <w:unhideWhenUsed/>
    <w:rsid w:val="001B5DBC"/>
    <w:pPr>
      <w:tabs>
        <w:tab w:val="center" w:pos="4513"/>
        <w:tab w:val="right" w:pos="9026"/>
      </w:tabs>
      <w:spacing w:line="240" w:lineRule="auto"/>
    </w:pPr>
  </w:style>
  <w:style w:type="character" w:customStyle="1" w:styleId="HeaderChar">
    <w:name w:val="Header Char"/>
    <w:basedOn w:val="DefaultParagraphFont"/>
    <w:link w:val="Header"/>
    <w:uiPriority w:val="99"/>
    <w:rsid w:val="001B5DBC"/>
  </w:style>
  <w:style w:type="paragraph" w:styleId="Footer">
    <w:name w:val="footer"/>
    <w:basedOn w:val="Normal"/>
    <w:link w:val="FooterChar"/>
    <w:uiPriority w:val="99"/>
    <w:unhideWhenUsed/>
    <w:rsid w:val="001B5DBC"/>
    <w:pPr>
      <w:tabs>
        <w:tab w:val="center" w:pos="4513"/>
        <w:tab w:val="right" w:pos="9026"/>
      </w:tabs>
      <w:spacing w:line="240" w:lineRule="auto"/>
    </w:pPr>
  </w:style>
  <w:style w:type="character" w:customStyle="1" w:styleId="FooterChar">
    <w:name w:val="Footer Char"/>
    <w:basedOn w:val="DefaultParagraphFont"/>
    <w:link w:val="Footer"/>
    <w:uiPriority w:val="99"/>
    <w:rsid w:val="001B5DBC"/>
  </w:style>
  <w:style w:type="paragraph" w:styleId="TOCHeading">
    <w:name w:val="TOC Heading"/>
    <w:basedOn w:val="Heading1"/>
    <w:next w:val="Normal"/>
    <w:uiPriority w:val="39"/>
    <w:unhideWhenUsed/>
    <w:qFormat/>
    <w:rsid w:val="001B5DBC"/>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1B5DBC"/>
    <w:pPr>
      <w:spacing w:after="100"/>
    </w:pPr>
  </w:style>
  <w:style w:type="character" w:styleId="Hyperlink">
    <w:name w:val="Hyperlink"/>
    <w:basedOn w:val="DefaultParagraphFont"/>
    <w:uiPriority w:val="99"/>
    <w:unhideWhenUsed/>
    <w:rsid w:val="001B5DBC"/>
    <w:rPr>
      <w:color w:val="0000FF" w:themeColor="hyperlink"/>
      <w:u w:val="single"/>
    </w:rPr>
  </w:style>
  <w:style w:type="character" w:customStyle="1" w:styleId="UnresolvedMention1">
    <w:name w:val="Unresolved Mention1"/>
    <w:basedOn w:val="DefaultParagraphFont"/>
    <w:uiPriority w:val="99"/>
    <w:semiHidden/>
    <w:unhideWhenUsed/>
    <w:rsid w:val="000F6A02"/>
    <w:rPr>
      <w:color w:val="605E5C"/>
      <w:shd w:val="clear" w:color="auto" w:fill="E1DFDD"/>
    </w:rPr>
  </w:style>
  <w:style w:type="paragraph" w:styleId="Subtitle">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yperlink" Target="https://www.sciencedirect.com/science/article/pii/S0738399120305152" TargetMode="External" /><Relationship Id="rId18" Type="http://schemas.openxmlformats.org/officeDocument/2006/relationships/hyperlink" Target="https://academic.oup.com/bjsw/article-pdf/49/7/1856/30295340/bcy115.pdf" TargetMode="External" /><Relationship Id="rId26" Type="http://schemas.openxmlformats.org/officeDocument/2006/relationships/hyperlink" Target="https://digital.nhs.uk/services/spine" TargetMode="External" /><Relationship Id="rId3" Type="http://schemas.openxmlformats.org/officeDocument/2006/relationships/settings" Target="settings.xml" /><Relationship Id="rId21" Type="http://schemas.openxmlformats.org/officeDocument/2006/relationships/hyperlink" Target="https://www.sciencedirect.com/science/article/pii/S0738399120305152" TargetMode="External" /><Relationship Id="rId7" Type="http://schemas.openxmlformats.org/officeDocument/2006/relationships/image" Target="media/image1.png" /><Relationship Id="rId12" Type="http://schemas.openxmlformats.org/officeDocument/2006/relationships/hyperlink" Target="https://www.cqc.org.uk/guidance-regulation/providers/regulations-service-providers-and-managers/health-social-care-act/regulation-17" TargetMode="External" /><Relationship Id="rId17" Type="http://schemas.openxmlformats.org/officeDocument/2006/relationships/hyperlink" Target="https://www.research.ed.ac.uk/files/319742482/Hammond_RawlingsSmithTG2023EthicsAndDataProtection.pdf" TargetMode="External" /><Relationship Id="rId25" Type="http://schemas.openxmlformats.org/officeDocument/2006/relationships/hyperlink" Target="https://link.springer.com/article/10.1186/s12912-021-00684-2" TargetMode="External" /><Relationship Id="rId33"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hyperlink" Target="https://www.legislation.gov.uk/ukpga/2012/7/contents" TargetMode="External" /><Relationship Id="rId20" Type="http://schemas.openxmlformats.org/officeDocument/2006/relationships/hyperlink" Target="https://www.researchgate.net/profile/Tanvi-Sharma-29/publication/378067789_Economic_Problems_and_Financial_Support_to_Elderly_Women_in_Rural_and_Urban_Areas_of_Haryana/links/65c4e7661bed776ae3379b8b/Economic-Problems-and-Financial-Support-to-Elderly-Women-in-Rural-and-Urban-Areas-of-Haryana.pdf" TargetMode="External" /><Relationship Id="rId29" Type="http://schemas.openxmlformats.org/officeDocument/2006/relationships/hyperlink" Target="https://link.springer.com/article/10.1186/s12961-020-00644-3" TargetMode="Externa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www.cqc.org.uk/guidance-regulation/providers/regulations-service-providers-and-managers/health-social-care-act/regulation-9" TargetMode="External" /><Relationship Id="rId24" Type="http://schemas.openxmlformats.org/officeDocument/2006/relationships/hyperlink" Target="https://www.sciencedirect.com/science/article/pii/S0738399120305152" TargetMode="External" /><Relationship Id="rId32" Type="http://schemas.openxmlformats.org/officeDocument/2006/relationships/fontTable" Target="fontTable.xml" /><Relationship Id="rId5" Type="http://schemas.openxmlformats.org/officeDocument/2006/relationships/footnotes" Target="footnotes.xml" /><Relationship Id="rId15" Type="http://schemas.openxmlformats.org/officeDocument/2006/relationships/hyperlink" Target="https://www.legislation.gov.uk/ukpga/2014/23/contents" TargetMode="External" /><Relationship Id="rId23" Type="http://schemas.openxmlformats.org/officeDocument/2006/relationships/hyperlink" Target="https://link.springer.com/article/10.1186/s12912-021-00684-2" TargetMode="External" /><Relationship Id="rId28" Type="http://schemas.openxmlformats.org/officeDocument/2006/relationships/hyperlink" Target="https://www.sciencedirect.com/science/article/pii/S0738399120305152" TargetMode="External" /><Relationship Id="rId10" Type="http://schemas.openxmlformats.org/officeDocument/2006/relationships/hyperlink" Target="https://clok.uclan.ac.uk/43350/9/Mental%20health%20nursing%20a%20critical%20analysis%20of%20the%20Nursing%20and%20Midwifery%20Council%20pre-registration%20nursing%20syllabus%20%28Final%29.pdf" TargetMode="External" /><Relationship Id="rId19" Type="http://schemas.openxmlformats.org/officeDocument/2006/relationships/hyperlink" Target="https://bmjopen.bmj.com/content/bmjopen/15/6/e093122.full.pdf" TargetMode="External" /><Relationship Id="rId31"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hyperlink" Target="https://www.sciencedirect.com/science/article/pii/S0738399120305152" TargetMode="External" /><Relationship Id="rId22" Type="http://schemas.openxmlformats.org/officeDocument/2006/relationships/hyperlink" Target="https://www.researchgate.net/profile/Tanvi-Sharma-29/publication/378067789_Economic_Problems_and_Financial_Support_to_Elderly_Women_in_Rural_and_Urban_Areas_of_Haryana/links/65c4e7661bed776ae3379b8b/Economic-Problems-and-Financial-Support-to-Elderly-Women-in-Rural-and-Urban-Areas-of-Haryana.pdf" TargetMode="External" /><Relationship Id="rId27" Type="http://schemas.openxmlformats.org/officeDocument/2006/relationships/hyperlink" Target="https://link.springer.com/article/10.1186/s12961-020-00644-3" TargetMode="External" /><Relationship Id="rId30" Type="http://schemas.openxmlformats.org/officeDocument/2006/relationships/hyperlink" Target="https://www.themdu.com/guidance-and-advice/guides/the-caldicott-principles-and-guardian-roles-explained" TargetMode="External" /></Relationships>
</file>

<file path=word/_rels/fontTable.xml.rels><?xml version="1.0" encoding="UTF-8" standalone="yes"?>
<Relationships xmlns="http://schemas.openxmlformats.org/package/2006/relationships"><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h/XC7IJ215J73dpYQTfpfCofOsA==">CgMxLjAyDmgudHJmMHVvNHdodW5qMg5oLmN0cmwzcDIzaXBiaTIOaC5rbTFwYmx3NWFzZ2gyDmgueHZvbTJyN3g3NmxnMg5oLnkxYjM2OG5wOWc0MzIOaC5hb2I4OHh5Z2N1ZnkyDmguc2E0b2cwcTB6eHI3OAByITF2bmRmUXByZmRxYmRYbW9TbWxUZWpUWVM4czR0aUphUw==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2886</Words>
  <Characters>16453</Characters>
  <Application>Microsoft Office Word</Application>
  <DocSecurity>0</DocSecurity>
  <Lines>137</Lines>
  <Paragraphs>38</Paragraphs>
  <ScaleCrop>false</ScaleCrop>
  <Company/>
  <LinksUpToDate>false</LinksUpToDate>
  <CharactersWithSpaces>19301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farhana lucky</cp:lastModifiedBy>
  <cp:revision>8</cp:revision>
  <dcterms:created xsi:type="dcterms:W3CDTF">2025-11-12T19:06:00Z</dcterms:created>
  <dcterms:modified xsi:type="dcterms:W3CDTF">2025-11-12T19:10:00Z</dcterms:modified>
</cp:coreProperties>
</file>