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9C962" w14:textId="77777777" w:rsidR="00CF4AA0" w:rsidRDefault="00CF4AA0" w:rsidP="00C078DB">
      <w:pPr>
        <w:keepNext/>
        <w:keepLines/>
        <w:widowControl w:val="0"/>
        <w:spacing w:before="240" w:after="0" w:line="276" w:lineRule="auto"/>
        <w:jc w:val="center"/>
        <w:rPr>
          <w:rFonts w:ascii="Arial" w:eastAsia="Calibri" w:hAnsi="Arial" w:cs="Arial"/>
          <w:b/>
          <w:bCs/>
          <w:kern w:val="0"/>
          <w:sz w:val="44"/>
          <w:szCs w:val="44"/>
          <w:lang w:eastAsia="zh-CN"/>
          <w14:ligatures w14:val="none"/>
        </w:rPr>
      </w:pPr>
      <w:r w:rsidRPr="00CF4AA0">
        <w:rPr>
          <w:rFonts w:ascii="Arial" w:eastAsia="Calibri" w:hAnsi="Arial" w:cs="Arial"/>
          <w:b/>
          <w:bCs/>
          <w:noProof/>
          <w:kern w:val="0"/>
          <w:sz w:val="44"/>
          <w:szCs w:val="44"/>
          <w:lang w:eastAsia="zh-CN"/>
          <w14:ligatures w14:val="none"/>
        </w:rPr>
        <w:drawing>
          <wp:inline distT="0" distB="0" distL="0" distR="0" wp14:anchorId="5FDB6674" wp14:editId="1F407E1E">
            <wp:extent cx="3841667" cy="1204169"/>
            <wp:effectExtent l="0" t="0" r="6985" b="0"/>
            <wp:docPr id="1678797680" name="Picture 7"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1339" cy="1210335"/>
                    </a:xfrm>
                    <a:prstGeom prst="rect">
                      <a:avLst/>
                    </a:prstGeom>
                    <a:noFill/>
                    <a:ln>
                      <a:noFill/>
                    </a:ln>
                  </pic:spPr>
                </pic:pic>
              </a:graphicData>
            </a:graphic>
          </wp:inline>
        </w:drawing>
      </w:r>
    </w:p>
    <w:p w14:paraId="6315D32B" w14:textId="177AC5FA" w:rsidR="00C078DB" w:rsidRPr="00C078DB" w:rsidRDefault="00C078DB" w:rsidP="00CF4AA0">
      <w:pPr>
        <w:keepNext/>
        <w:keepLines/>
        <w:widowControl w:val="0"/>
        <w:spacing w:before="240" w:after="0" w:line="240" w:lineRule="auto"/>
        <w:jc w:val="center"/>
        <w:rPr>
          <w:rFonts w:ascii="Arial" w:eastAsia="Calibri" w:hAnsi="Arial" w:cs="Arial"/>
          <w:b/>
          <w:bCs/>
          <w:kern w:val="0"/>
          <w:sz w:val="40"/>
          <w:szCs w:val="40"/>
          <w:lang w:eastAsia="zh-CN"/>
          <w14:ligatures w14:val="none"/>
        </w:rPr>
      </w:pPr>
      <w:r w:rsidRPr="00C078DB">
        <w:rPr>
          <w:rFonts w:ascii="Arial" w:eastAsia="Calibri" w:hAnsi="Arial" w:cs="Arial"/>
          <w:b/>
          <w:bCs/>
          <w:kern w:val="0"/>
          <w:sz w:val="40"/>
          <w:szCs w:val="40"/>
          <w:lang w:eastAsia="zh-CN"/>
          <w14:ligatures w14:val="none"/>
        </w:rPr>
        <w:t>UNIVERSITY OF WALES</w:t>
      </w:r>
    </w:p>
    <w:p w14:paraId="575312AE" w14:textId="77777777" w:rsidR="00C078DB" w:rsidRPr="00C078DB" w:rsidRDefault="00C078DB" w:rsidP="00CF4AA0">
      <w:pPr>
        <w:keepNext/>
        <w:keepLines/>
        <w:widowControl w:val="0"/>
        <w:spacing w:before="240" w:after="0" w:line="240" w:lineRule="auto"/>
        <w:jc w:val="center"/>
        <w:rPr>
          <w:rFonts w:ascii="Calibri Light" w:eastAsia="Calibri" w:hAnsi="Calibri Light" w:cs="Arial"/>
          <w:color w:val="2F5496"/>
          <w:kern w:val="0"/>
          <w:sz w:val="20"/>
          <w:szCs w:val="20"/>
          <w:lang w:eastAsia="zh-CN"/>
          <w14:ligatures w14:val="none"/>
        </w:rPr>
      </w:pPr>
      <w:r w:rsidRPr="00C078DB">
        <w:rPr>
          <w:rFonts w:ascii="Arial" w:eastAsia="Calibri" w:hAnsi="Arial" w:cs="Arial"/>
          <w:b/>
          <w:bCs/>
          <w:kern w:val="0"/>
          <w:sz w:val="40"/>
          <w:szCs w:val="40"/>
          <w:lang w:eastAsia="zh-CN"/>
          <w14:ligatures w14:val="none"/>
        </w:rPr>
        <w:t>TRINITY SAINT DAVID</w:t>
      </w:r>
    </w:p>
    <w:p w14:paraId="290072EE" w14:textId="77777777" w:rsidR="00C078DB" w:rsidRPr="00CF4AA0" w:rsidRDefault="00C078DB" w:rsidP="00CF4AA0">
      <w:pPr>
        <w:keepNext/>
        <w:keepLines/>
        <w:widowControl w:val="0"/>
        <w:spacing w:before="240" w:after="0" w:line="240" w:lineRule="auto"/>
        <w:jc w:val="both"/>
        <w:rPr>
          <w:rFonts w:ascii="Calibri Light" w:eastAsia="Calibri" w:hAnsi="Calibri Light" w:cs="Arial"/>
          <w:color w:val="2F5496"/>
          <w:kern w:val="0"/>
          <w:sz w:val="22"/>
          <w:szCs w:val="22"/>
          <w:lang w:eastAsia="zh-CN"/>
          <w14:ligatures w14:val="none"/>
        </w:rPr>
      </w:pPr>
      <w:r w:rsidRPr="00C078DB">
        <w:rPr>
          <w:rFonts w:ascii="Calibri Light" w:eastAsia="Calibri" w:hAnsi="Calibri Light" w:cs="Arial"/>
          <w:color w:val="2F5496"/>
          <w:kern w:val="0"/>
          <w:sz w:val="22"/>
          <w:szCs w:val="22"/>
          <w:lang w:eastAsia="zh-CN"/>
          <w14:ligatures w14:val="none"/>
        </w:rPr>
        <w:t xml:space="preserve"> </w:t>
      </w:r>
    </w:p>
    <w:p w14:paraId="052CE763" w14:textId="77777777" w:rsidR="00C078DB" w:rsidRPr="00C078DB" w:rsidRDefault="00C078DB" w:rsidP="00C078DB">
      <w:pPr>
        <w:keepNext/>
        <w:keepLines/>
        <w:widowControl w:val="0"/>
        <w:spacing w:before="240" w:after="0" w:line="360" w:lineRule="auto"/>
        <w:jc w:val="both"/>
        <w:rPr>
          <w:rFonts w:ascii="Calibri Light" w:eastAsia="Calibri" w:hAnsi="Calibri Light" w:cs="Arial"/>
          <w:color w:val="2F5496"/>
          <w:kern w:val="0"/>
          <w:lang w:eastAsia="zh-CN"/>
          <w14:ligatures w14:val="none"/>
        </w:rPr>
      </w:pPr>
    </w:p>
    <w:p w14:paraId="62844FEF" w14:textId="77777777" w:rsidR="00D5707F" w:rsidRDefault="00C078DB" w:rsidP="00A13266">
      <w:pPr>
        <w:keepNext/>
        <w:keepLines/>
        <w:widowControl w:val="0"/>
        <w:spacing w:before="240" w:after="0" w:line="240" w:lineRule="auto"/>
        <w:jc w:val="center"/>
        <w:rPr>
          <w:rFonts w:ascii="Arial" w:hAnsi="Arial" w:cs="Arial"/>
          <w:b/>
          <w:sz w:val="40"/>
          <w:szCs w:val="40"/>
        </w:rPr>
      </w:pPr>
      <w:r w:rsidRPr="00A13266">
        <w:rPr>
          <w:rFonts w:ascii="Arial" w:eastAsia="Calibri" w:hAnsi="Arial" w:cs="Arial"/>
          <w:b/>
          <w:bCs/>
          <w:kern w:val="0"/>
          <w:sz w:val="40"/>
          <w:szCs w:val="40"/>
          <w:lang w:eastAsia="zh-CN"/>
          <w14:ligatures w14:val="none"/>
        </w:rPr>
        <w:t>Topic</w:t>
      </w:r>
      <w:r w:rsidR="00240E75" w:rsidRPr="00A13266">
        <w:rPr>
          <w:rFonts w:ascii="Arial" w:eastAsia="Calibri" w:hAnsi="Arial" w:cs="Arial"/>
          <w:b/>
          <w:bCs/>
          <w:kern w:val="0"/>
          <w:sz w:val="40"/>
          <w:szCs w:val="40"/>
          <w:lang w:eastAsia="zh-CN"/>
          <w14:ligatures w14:val="none"/>
        </w:rPr>
        <w:t xml:space="preserve">: </w:t>
      </w:r>
      <w:r w:rsidR="00D5707F" w:rsidRPr="00D5707F">
        <w:rPr>
          <w:rFonts w:ascii="Arial" w:hAnsi="Arial" w:cs="Arial"/>
          <w:b/>
          <w:sz w:val="40"/>
          <w:szCs w:val="40"/>
        </w:rPr>
        <w:t xml:space="preserve">Elta Automotive Ltd – </w:t>
      </w:r>
    </w:p>
    <w:p w14:paraId="3F45250A" w14:textId="7197AAE7" w:rsidR="00CF4AA0" w:rsidRDefault="00D5707F" w:rsidP="00A13266">
      <w:pPr>
        <w:keepNext/>
        <w:keepLines/>
        <w:widowControl w:val="0"/>
        <w:spacing w:before="240" w:after="0" w:line="240" w:lineRule="auto"/>
        <w:jc w:val="center"/>
        <w:rPr>
          <w:rFonts w:ascii="Arial" w:hAnsi="Arial" w:cs="Arial"/>
          <w:b/>
          <w:sz w:val="40"/>
          <w:szCs w:val="40"/>
        </w:rPr>
      </w:pPr>
      <w:r w:rsidRPr="00D5707F">
        <w:rPr>
          <w:rFonts w:ascii="Arial" w:hAnsi="Arial" w:cs="Arial"/>
          <w:b/>
          <w:sz w:val="40"/>
          <w:szCs w:val="40"/>
        </w:rPr>
        <w:t>Strategic Expansion into Morocco</w:t>
      </w:r>
    </w:p>
    <w:p w14:paraId="7D5270BC" w14:textId="77777777" w:rsidR="00A13266" w:rsidRPr="00A13266" w:rsidRDefault="00A13266" w:rsidP="00A13266">
      <w:pPr>
        <w:keepNext/>
        <w:keepLines/>
        <w:widowControl w:val="0"/>
        <w:spacing w:before="240" w:after="0" w:line="240" w:lineRule="auto"/>
        <w:jc w:val="center"/>
        <w:rPr>
          <w:rFonts w:ascii="Arial" w:eastAsia="Calibri" w:hAnsi="Arial" w:cs="Arial"/>
          <w:b/>
          <w:bCs/>
          <w:kern w:val="0"/>
          <w:sz w:val="40"/>
          <w:szCs w:val="40"/>
          <w:lang w:eastAsia="zh-CN"/>
          <w14:ligatures w14:val="none"/>
        </w:rPr>
      </w:pPr>
    </w:p>
    <w:p w14:paraId="1C04306C" w14:textId="2D44C03F" w:rsidR="00C078DB" w:rsidRPr="00035E73" w:rsidRDefault="00C078DB" w:rsidP="002F5FEF">
      <w:pPr>
        <w:keepNext/>
        <w:keepLines/>
        <w:widowControl w:val="0"/>
        <w:spacing w:before="240" w:after="0" w:line="360" w:lineRule="auto"/>
        <w:jc w:val="center"/>
        <w:rPr>
          <w:rFonts w:ascii="Arial" w:eastAsia="Calibri" w:hAnsi="Arial" w:cs="Arial"/>
          <w:b/>
          <w:bCs/>
          <w:kern w:val="0"/>
          <w:sz w:val="32"/>
          <w:szCs w:val="32"/>
          <w:lang w:eastAsia="zh-CN"/>
          <w14:ligatures w14:val="none"/>
        </w:rPr>
      </w:pPr>
      <w:r w:rsidRPr="00035E73">
        <w:rPr>
          <w:rFonts w:ascii="Arial" w:eastAsia="Calibri" w:hAnsi="Arial" w:cs="Arial"/>
          <w:b/>
          <w:bCs/>
          <w:kern w:val="0"/>
          <w:sz w:val="32"/>
          <w:szCs w:val="32"/>
          <w:lang w:eastAsia="zh-CN"/>
          <w14:ligatures w14:val="none"/>
        </w:rPr>
        <w:t xml:space="preserve">Student: </w:t>
      </w:r>
      <w:r w:rsidR="008B5FC8" w:rsidRPr="00035E73">
        <w:rPr>
          <w:rFonts w:ascii="Arial" w:eastAsia="Calibri" w:hAnsi="Arial" w:cs="Arial"/>
          <w:b/>
          <w:bCs/>
          <w:kern w:val="0"/>
          <w:sz w:val="32"/>
          <w:szCs w:val="32"/>
          <w:lang w:eastAsia="zh-CN"/>
          <w14:ligatures w14:val="none"/>
        </w:rPr>
        <w:t xml:space="preserve">Ivilina Atanasova </w:t>
      </w:r>
      <w:proofErr w:type="spellStart"/>
      <w:r w:rsidR="008B5FC8" w:rsidRPr="00035E73">
        <w:rPr>
          <w:rFonts w:ascii="Arial" w:eastAsia="Calibri" w:hAnsi="Arial" w:cs="Arial"/>
          <w:b/>
          <w:bCs/>
          <w:kern w:val="0"/>
          <w:sz w:val="32"/>
          <w:szCs w:val="32"/>
          <w:lang w:eastAsia="zh-CN"/>
          <w14:ligatures w14:val="none"/>
        </w:rPr>
        <w:t>Atanasova</w:t>
      </w:r>
      <w:proofErr w:type="spellEnd"/>
      <w:r w:rsidR="008B5FC8" w:rsidRPr="00035E73">
        <w:rPr>
          <w:rFonts w:ascii="Arial" w:eastAsia="Calibri" w:hAnsi="Arial" w:cs="Arial"/>
          <w:b/>
          <w:bCs/>
          <w:kern w:val="0"/>
          <w:sz w:val="32"/>
          <w:szCs w:val="32"/>
          <w:lang w:eastAsia="zh-CN"/>
          <w14:ligatures w14:val="none"/>
        </w:rPr>
        <w:t>: 2028391</w:t>
      </w:r>
    </w:p>
    <w:p w14:paraId="23DD2B65" w14:textId="77777777" w:rsidR="00035E73" w:rsidRDefault="00035E73" w:rsidP="002F5FEF">
      <w:pPr>
        <w:keepNext/>
        <w:keepLines/>
        <w:widowControl w:val="0"/>
        <w:spacing w:before="240" w:after="0" w:line="360" w:lineRule="auto"/>
        <w:jc w:val="center"/>
        <w:rPr>
          <w:rFonts w:ascii="Arial" w:eastAsia="Calibri" w:hAnsi="Arial" w:cs="Arial"/>
          <w:b/>
          <w:bCs/>
          <w:kern w:val="0"/>
          <w:sz w:val="36"/>
          <w:szCs w:val="36"/>
          <w:lang w:eastAsia="zh-CN"/>
          <w14:ligatures w14:val="none"/>
        </w:rPr>
      </w:pPr>
    </w:p>
    <w:p w14:paraId="058FFF17" w14:textId="798D722F" w:rsidR="00AC21C7" w:rsidRPr="00035E73" w:rsidRDefault="00035E73" w:rsidP="00080E0F">
      <w:pPr>
        <w:keepNext/>
        <w:keepLines/>
        <w:widowControl w:val="0"/>
        <w:spacing w:before="240" w:after="0" w:line="360" w:lineRule="auto"/>
        <w:jc w:val="center"/>
        <w:rPr>
          <w:rFonts w:ascii="Arial" w:eastAsia="Calibri" w:hAnsi="Arial" w:cs="Arial"/>
          <w:b/>
          <w:bCs/>
          <w:kern w:val="0"/>
          <w:sz w:val="28"/>
          <w:szCs w:val="28"/>
          <w:lang w:eastAsia="zh-CN"/>
          <w14:ligatures w14:val="none"/>
        </w:rPr>
      </w:pPr>
      <w:r w:rsidRPr="00035E73">
        <w:rPr>
          <w:rFonts w:ascii="Arial" w:eastAsia="Calibri" w:hAnsi="Arial" w:cs="Arial"/>
          <w:b/>
          <w:bCs/>
          <w:kern w:val="0"/>
          <w:sz w:val="28"/>
          <w:szCs w:val="28"/>
          <w:lang w:eastAsia="zh-CN"/>
          <w14:ligatures w14:val="none"/>
        </w:rPr>
        <w:t>Module:</w:t>
      </w:r>
      <w:r w:rsidRPr="00035E73">
        <w:rPr>
          <w:rFonts w:ascii="Arial" w:eastAsia="Calibri" w:hAnsi="Arial" w:cs="Arial"/>
          <w:b/>
          <w:bCs/>
          <w:kern w:val="0"/>
          <w:sz w:val="28"/>
          <w:szCs w:val="28"/>
          <w:lang w:eastAsia="zh-CN"/>
          <w14:ligatures w14:val="none"/>
        </w:rPr>
        <w:tab/>
      </w:r>
      <w:r w:rsidR="00080E0F" w:rsidRPr="00080E0F">
        <w:rPr>
          <w:rFonts w:ascii="Arial" w:eastAsia="Calibri" w:hAnsi="Arial" w:cs="Arial"/>
          <w:b/>
          <w:bCs/>
          <w:kern w:val="0"/>
          <w:sz w:val="28"/>
          <w:szCs w:val="28"/>
          <w:lang w:eastAsia="zh-CN"/>
          <w14:ligatures w14:val="none"/>
        </w:rPr>
        <w:t xml:space="preserve">Strategic Management </w:t>
      </w:r>
      <w:r w:rsidR="00080E0F">
        <w:rPr>
          <w:rFonts w:ascii="Arial" w:eastAsia="Calibri" w:hAnsi="Arial" w:cs="Arial"/>
          <w:b/>
          <w:bCs/>
          <w:kern w:val="0"/>
          <w:sz w:val="28"/>
          <w:szCs w:val="28"/>
          <w:lang w:eastAsia="zh-CN"/>
          <w14:ligatures w14:val="none"/>
        </w:rPr>
        <w:t>LCMB</w:t>
      </w:r>
      <w:r w:rsidRPr="00035E73">
        <w:rPr>
          <w:rFonts w:ascii="Arial" w:eastAsia="Calibri" w:hAnsi="Arial" w:cs="Arial"/>
          <w:b/>
          <w:bCs/>
          <w:kern w:val="0"/>
          <w:sz w:val="28"/>
          <w:szCs w:val="28"/>
          <w:lang w:eastAsia="zh-CN"/>
          <w14:ligatures w14:val="none"/>
        </w:rPr>
        <w:t>700</w:t>
      </w:r>
      <w:r w:rsidR="00613652">
        <w:rPr>
          <w:rFonts w:ascii="Arial" w:eastAsia="Calibri" w:hAnsi="Arial" w:cs="Arial"/>
          <w:b/>
          <w:bCs/>
          <w:kern w:val="0"/>
          <w:sz w:val="28"/>
          <w:szCs w:val="28"/>
          <w:lang w:eastAsia="zh-CN"/>
          <w14:ligatures w14:val="none"/>
        </w:rPr>
        <w:t>3</w:t>
      </w:r>
    </w:p>
    <w:p w14:paraId="67584C62" w14:textId="77777777" w:rsidR="00CF4AA0" w:rsidRDefault="00CF4AA0" w:rsidP="001D60C7">
      <w:pPr>
        <w:spacing w:after="0" w:line="360" w:lineRule="auto"/>
        <w:ind w:firstLine="567"/>
        <w:jc w:val="both"/>
        <w:rPr>
          <w:rFonts w:ascii="Arial" w:hAnsi="Arial" w:cs="Arial"/>
          <w:b/>
          <w:bCs/>
          <w:sz w:val="22"/>
          <w:szCs w:val="22"/>
        </w:rPr>
      </w:pPr>
    </w:p>
    <w:p w14:paraId="2DFEEC3A" w14:textId="77777777" w:rsidR="002F5FEF" w:rsidRDefault="002F5FEF" w:rsidP="001D60C7">
      <w:pPr>
        <w:spacing w:after="0" w:line="360" w:lineRule="auto"/>
        <w:ind w:firstLine="567"/>
        <w:jc w:val="both"/>
        <w:rPr>
          <w:rFonts w:ascii="Arial" w:hAnsi="Arial" w:cs="Arial"/>
          <w:b/>
          <w:bCs/>
          <w:sz w:val="22"/>
          <w:szCs w:val="22"/>
        </w:rPr>
      </w:pPr>
    </w:p>
    <w:p w14:paraId="05B4DA6E" w14:textId="77777777" w:rsidR="002F5FEF" w:rsidRDefault="002F5FEF" w:rsidP="001D60C7">
      <w:pPr>
        <w:spacing w:after="0" w:line="360" w:lineRule="auto"/>
        <w:ind w:firstLine="567"/>
        <w:jc w:val="both"/>
        <w:rPr>
          <w:rFonts w:ascii="Arial" w:hAnsi="Arial" w:cs="Arial"/>
          <w:b/>
          <w:bCs/>
          <w:sz w:val="22"/>
          <w:szCs w:val="22"/>
        </w:rPr>
      </w:pPr>
    </w:p>
    <w:p w14:paraId="6F581AB8" w14:textId="77777777" w:rsidR="002F5FEF" w:rsidRDefault="002F5FEF" w:rsidP="001D60C7">
      <w:pPr>
        <w:spacing w:after="0" w:line="360" w:lineRule="auto"/>
        <w:ind w:firstLine="567"/>
        <w:jc w:val="both"/>
        <w:rPr>
          <w:rFonts w:ascii="Arial" w:hAnsi="Arial" w:cs="Arial"/>
          <w:b/>
          <w:bCs/>
          <w:sz w:val="22"/>
          <w:szCs w:val="22"/>
        </w:rPr>
      </w:pPr>
    </w:p>
    <w:p w14:paraId="5ABA7D97" w14:textId="77777777" w:rsidR="002F5FEF" w:rsidRDefault="002F5FEF" w:rsidP="001D60C7">
      <w:pPr>
        <w:spacing w:after="0" w:line="360" w:lineRule="auto"/>
        <w:ind w:firstLine="567"/>
        <w:jc w:val="both"/>
        <w:rPr>
          <w:rFonts w:ascii="Arial" w:hAnsi="Arial" w:cs="Arial"/>
          <w:b/>
          <w:bCs/>
          <w:sz w:val="22"/>
          <w:szCs w:val="22"/>
        </w:rPr>
      </w:pPr>
    </w:p>
    <w:p w14:paraId="6A040803" w14:textId="77777777" w:rsidR="002F5FEF" w:rsidRDefault="002F5FEF" w:rsidP="001D60C7">
      <w:pPr>
        <w:spacing w:after="0" w:line="360" w:lineRule="auto"/>
        <w:ind w:firstLine="567"/>
        <w:jc w:val="both"/>
        <w:rPr>
          <w:rFonts w:ascii="Arial" w:hAnsi="Arial" w:cs="Arial"/>
          <w:b/>
          <w:bCs/>
          <w:sz w:val="22"/>
          <w:szCs w:val="22"/>
        </w:rPr>
      </w:pPr>
    </w:p>
    <w:p w14:paraId="21CF5989" w14:textId="04236911" w:rsidR="00F61BD9" w:rsidRPr="00080E0F" w:rsidRDefault="00F61BD9" w:rsidP="003C3923">
      <w:pPr>
        <w:spacing w:after="0" w:line="360" w:lineRule="auto"/>
        <w:jc w:val="center"/>
        <w:rPr>
          <w:rFonts w:ascii="Arial" w:hAnsi="Arial" w:cs="Arial"/>
          <w:b/>
          <w:bCs/>
          <w:sz w:val="28"/>
          <w:szCs w:val="28"/>
        </w:rPr>
      </w:pPr>
      <w:r w:rsidRPr="00080E0F">
        <w:rPr>
          <w:rFonts w:ascii="Arial" w:hAnsi="Arial" w:cs="Arial"/>
          <w:b/>
          <w:bCs/>
          <w:sz w:val="28"/>
          <w:szCs w:val="28"/>
        </w:rPr>
        <w:t>Lecturer:</w:t>
      </w:r>
      <w:r w:rsidR="00661AE3" w:rsidRPr="00080E0F">
        <w:rPr>
          <w:rFonts w:ascii="Arial" w:hAnsi="Arial" w:cs="Arial"/>
          <w:b/>
          <w:bCs/>
          <w:sz w:val="28"/>
          <w:szCs w:val="28"/>
        </w:rPr>
        <w:t xml:space="preserve"> </w:t>
      </w:r>
      <w:r w:rsidR="003C3923" w:rsidRPr="00080E0F">
        <w:rPr>
          <w:rFonts w:ascii="Arial" w:hAnsi="Arial" w:cs="Arial"/>
          <w:b/>
          <w:bCs/>
          <w:sz w:val="28"/>
          <w:szCs w:val="28"/>
        </w:rPr>
        <w:t>Dr. Simon Chatterton</w:t>
      </w:r>
    </w:p>
    <w:p w14:paraId="6FCAEBC2" w14:textId="7084F3F4" w:rsidR="00F61BD9" w:rsidRPr="00080E0F" w:rsidRDefault="003C3923" w:rsidP="00C872DD">
      <w:pPr>
        <w:spacing w:after="0" w:line="360" w:lineRule="auto"/>
        <w:jc w:val="center"/>
        <w:rPr>
          <w:rFonts w:ascii="Arial" w:hAnsi="Arial" w:cs="Arial"/>
          <w:b/>
          <w:bCs/>
          <w:sz w:val="28"/>
          <w:szCs w:val="28"/>
        </w:rPr>
      </w:pPr>
      <w:r w:rsidRPr="00080E0F">
        <w:rPr>
          <w:rFonts w:ascii="Arial" w:hAnsi="Arial" w:cs="Arial"/>
          <w:b/>
          <w:bCs/>
          <w:sz w:val="28"/>
          <w:szCs w:val="28"/>
        </w:rPr>
        <w:t>21</w:t>
      </w:r>
      <w:r w:rsidR="00F61BD9" w:rsidRPr="00080E0F">
        <w:rPr>
          <w:rFonts w:ascii="Arial" w:hAnsi="Arial" w:cs="Arial"/>
          <w:b/>
          <w:bCs/>
          <w:sz w:val="28"/>
          <w:szCs w:val="28"/>
        </w:rPr>
        <w:t>/</w:t>
      </w:r>
      <w:r w:rsidRPr="00080E0F">
        <w:rPr>
          <w:rFonts w:ascii="Arial" w:hAnsi="Arial" w:cs="Arial"/>
          <w:b/>
          <w:bCs/>
          <w:sz w:val="28"/>
          <w:szCs w:val="28"/>
        </w:rPr>
        <w:t>11</w:t>
      </w:r>
      <w:r w:rsidR="00C872DD" w:rsidRPr="00080E0F">
        <w:rPr>
          <w:rFonts w:ascii="Arial" w:hAnsi="Arial" w:cs="Arial"/>
          <w:b/>
          <w:bCs/>
          <w:sz w:val="28"/>
          <w:szCs w:val="28"/>
        </w:rPr>
        <w:t>/2025</w:t>
      </w:r>
    </w:p>
    <w:p w14:paraId="0E282FF6" w14:textId="77777777" w:rsidR="002F5FEF" w:rsidRDefault="002F5FEF" w:rsidP="00945E19">
      <w:pPr>
        <w:spacing w:after="0" w:line="360" w:lineRule="auto"/>
        <w:jc w:val="both"/>
        <w:rPr>
          <w:rFonts w:ascii="Arial" w:hAnsi="Arial" w:cs="Arial"/>
          <w:b/>
          <w:bCs/>
          <w:sz w:val="22"/>
          <w:szCs w:val="22"/>
        </w:rPr>
      </w:pPr>
    </w:p>
    <w:p w14:paraId="7A881613" w14:textId="77777777" w:rsidR="00945E19" w:rsidRDefault="00945E19" w:rsidP="00945E19">
      <w:pPr>
        <w:spacing w:after="0" w:line="360" w:lineRule="auto"/>
        <w:jc w:val="both"/>
        <w:rPr>
          <w:rFonts w:ascii="Arial" w:hAnsi="Arial" w:cs="Arial"/>
          <w:b/>
          <w:bCs/>
          <w:sz w:val="22"/>
          <w:szCs w:val="22"/>
        </w:rPr>
      </w:pPr>
    </w:p>
    <w:p w14:paraId="338B3509" w14:textId="77777777" w:rsidR="00080E0F" w:rsidRDefault="00080E0F" w:rsidP="00945E19">
      <w:pPr>
        <w:spacing w:after="0" w:line="360" w:lineRule="auto"/>
        <w:jc w:val="both"/>
        <w:rPr>
          <w:rFonts w:ascii="Arial" w:hAnsi="Arial" w:cs="Arial"/>
          <w:b/>
          <w:bCs/>
          <w:sz w:val="22"/>
          <w:szCs w:val="22"/>
        </w:rPr>
      </w:pPr>
    </w:p>
    <w:p w14:paraId="50F78D59" w14:textId="77777777" w:rsidR="00080E0F" w:rsidRDefault="00080E0F" w:rsidP="00945E19">
      <w:pPr>
        <w:spacing w:after="0" w:line="360" w:lineRule="auto"/>
        <w:jc w:val="both"/>
        <w:rPr>
          <w:rFonts w:ascii="Arial" w:hAnsi="Arial" w:cs="Arial"/>
          <w:b/>
          <w:bCs/>
          <w:sz w:val="22"/>
          <w:szCs w:val="22"/>
        </w:rPr>
      </w:pPr>
    </w:p>
    <w:sdt>
      <w:sdtPr>
        <w:rPr>
          <w:rFonts w:asciiTheme="minorHAnsi" w:eastAsiaTheme="minorHAnsi" w:hAnsiTheme="minorHAnsi" w:cstheme="minorBidi"/>
          <w:color w:val="auto"/>
          <w:kern w:val="2"/>
          <w:sz w:val="24"/>
          <w:szCs w:val="24"/>
          <w:lang w:eastAsia="en-US"/>
          <w14:ligatures w14:val="standardContextual"/>
        </w:rPr>
        <w:id w:val="1898012644"/>
        <w:docPartObj>
          <w:docPartGallery w:val="Table of Contents"/>
          <w:docPartUnique/>
        </w:docPartObj>
      </w:sdtPr>
      <w:sdtEndPr>
        <w:rPr>
          <w:b/>
          <w:bCs/>
        </w:rPr>
      </w:sdtEndPr>
      <w:sdtContent>
        <w:p w14:paraId="4F3FC7FB" w14:textId="10B2DB3B" w:rsidR="00F64821" w:rsidRPr="00F64821" w:rsidRDefault="00F64821">
          <w:pPr>
            <w:pStyle w:val="TOCHeading"/>
            <w:rPr>
              <w:b/>
              <w:bCs/>
              <w:sz w:val="24"/>
              <w:szCs w:val="24"/>
            </w:rPr>
          </w:pPr>
          <w:r w:rsidRPr="00F64821">
            <w:rPr>
              <w:b/>
              <w:bCs/>
              <w:sz w:val="24"/>
              <w:szCs w:val="24"/>
            </w:rPr>
            <w:t>Table of Contents</w:t>
          </w:r>
        </w:p>
        <w:p w14:paraId="574A3957" w14:textId="6D9723D6" w:rsidR="00F64821" w:rsidRPr="00F64821" w:rsidRDefault="00F64821" w:rsidP="00F64821">
          <w:pPr>
            <w:pStyle w:val="TOC1"/>
          </w:pPr>
          <w:r>
            <w:fldChar w:fldCharType="begin"/>
          </w:r>
          <w:r>
            <w:instrText xml:space="preserve"> TOC \o "1-3" \h \z \u </w:instrText>
          </w:r>
          <w:r>
            <w:fldChar w:fldCharType="separate"/>
          </w:r>
          <w:hyperlink w:anchor="_Toc212805339" w:history="1">
            <w:r w:rsidRPr="00F64821">
              <w:rPr>
                <w:rStyle w:val="Hyperlink"/>
                <w:b/>
                <w:bCs/>
              </w:rPr>
              <w:t>Introduction</w:t>
            </w:r>
            <w:r w:rsidRPr="00F64821">
              <w:rPr>
                <w:webHidden/>
              </w:rPr>
              <w:tab/>
            </w:r>
            <w:r w:rsidRPr="00F64821">
              <w:rPr>
                <w:webHidden/>
              </w:rPr>
              <w:fldChar w:fldCharType="begin"/>
            </w:r>
            <w:r w:rsidRPr="00F64821">
              <w:rPr>
                <w:webHidden/>
              </w:rPr>
              <w:instrText xml:space="preserve"> PAGEREF _Toc212805339 \h </w:instrText>
            </w:r>
            <w:r w:rsidRPr="00F64821">
              <w:rPr>
                <w:webHidden/>
              </w:rPr>
            </w:r>
            <w:r w:rsidRPr="00F64821">
              <w:rPr>
                <w:webHidden/>
              </w:rPr>
              <w:fldChar w:fldCharType="separate"/>
            </w:r>
            <w:r w:rsidR="00704934">
              <w:rPr>
                <w:webHidden/>
              </w:rPr>
              <w:t>3</w:t>
            </w:r>
            <w:r w:rsidRPr="00F64821">
              <w:rPr>
                <w:webHidden/>
              </w:rPr>
              <w:fldChar w:fldCharType="end"/>
            </w:r>
          </w:hyperlink>
        </w:p>
        <w:p w14:paraId="5586A089" w14:textId="04102F16" w:rsidR="00F64821" w:rsidRPr="00F64821" w:rsidRDefault="00F64821" w:rsidP="00F64821">
          <w:pPr>
            <w:pStyle w:val="TOC1"/>
          </w:pPr>
          <w:hyperlink w:anchor="_Toc212805340" w:history="1">
            <w:r w:rsidRPr="00F64821">
              <w:rPr>
                <w:rStyle w:val="Hyperlink"/>
                <w:b/>
                <w:bCs/>
              </w:rPr>
              <w:t>1. Selection of Organisation and Target Market</w:t>
            </w:r>
            <w:r w:rsidRPr="00F64821">
              <w:rPr>
                <w:webHidden/>
              </w:rPr>
              <w:tab/>
            </w:r>
            <w:r w:rsidRPr="00F64821">
              <w:rPr>
                <w:webHidden/>
              </w:rPr>
              <w:fldChar w:fldCharType="begin"/>
            </w:r>
            <w:r w:rsidRPr="00F64821">
              <w:rPr>
                <w:webHidden/>
              </w:rPr>
              <w:instrText xml:space="preserve"> PAGEREF _Toc212805340 \h </w:instrText>
            </w:r>
            <w:r w:rsidRPr="00F64821">
              <w:rPr>
                <w:webHidden/>
              </w:rPr>
            </w:r>
            <w:r w:rsidRPr="00F64821">
              <w:rPr>
                <w:webHidden/>
              </w:rPr>
              <w:fldChar w:fldCharType="separate"/>
            </w:r>
            <w:r w:rsidR="00704934">
              <w:rPr>
                <w:webHidden/>
              </w:rPr>
              <w:t>4</w:t>
            </w:r>
            <w:r w:rsidRPr="00F64821">
              <w:rPr>
                <w:webHidden/>
              </w:rPr>
              <w:fldChar w:fldCharType="end"/>
            </w:r>
          </w:hyperlink>
        </w:p>
        <w:p w14:paraId="28C9911F" w14:textId="18BE04D0" w:rsidR="00F64821" w:rsidRPr="00F64821" w:rsidRDefault="00F64821" w:rsidP="00F64821">
          <w:pPr>
            <w:pStyle w:val="TOC1"/>
          </w:pPr>
          <w:hyperlink w:anchor="_Toc212805341" w:history="1">
            <w:r w:rsidRPr="00F64821">
              <w:rPr>
                <w:rStyle w:val="Hyperlink"/>
              </w:rPr>
              <w:t>1.1. Market size and growth potential</w:t>
            </w:r>
            <w:r w:rsidRPr="00F64821">
              <w:rPr>
                <w:webHidden/>
              </w:rPr>
              <w:tab/>
            </w:r>
            <w:r w:rsidRPr="00F64821">
              <w:rPr>
                <w:webHidden/>
              </w:rPr>
              <w:fldChar w:fldCharType="begin"/>
            </w:r>
            <w:r w:rsidRPr="00F64821">
              <w:rPr>
                <w:webHidden/>
              </w:rPr>
              <w:instrText xml:space="preserve"> PAGEREF _Toc212805341 \h </w:instrText>
            </w:r>
            <w:r w:rsidRPr="00F64821">
              <w:rPr>
                <w:webHidden/>
              </w:rPr>
            </w:r>
            <w:r w:rsidRPr="00F64821">
              <w:rPr>
                <w:webHidden/>
              </w:rPr>
              <w:fldChar w:fldCharType="separate"/>
            </w:r>
            <w:r w:rsidR="00704934">
              <w:rPr>
                <w:webHidden/>
              </w:rPr>
              <w:t>4</w:t>
            </w:r>
            <w:r w:rsidRPr="00F64821">
              <w:rPr>
                <w:webHidden/>
              </w:rPr>
              <w:fldChar w:fldCharType="end"/>
            </w:r>
          </w:hyperlink>
        </w:p>
        <w:p w14:paraId="57D11492" w14:textId="39139429" w:rsidR="00F64821" w:rsidRPr="00F64821" w:rsidRDefault="00F64821" w:rsidP="00F64821">
          <w:pPr>
            <w:pStyle w:val="TOC1"/>
          </w:pPr>
          <w:hyperlink w:anchor="_Toc212805342" w:history="1">
            <w:r w:rsidRPr="00F64821">
              <w:rPr>
                <w:rStyle w:val="Hyperlink"/>
              </w:rPr>
              <w:t>1.2. Cultural fit and demand</w:t>
            </w:r>
            <w:r w:rsidRPr="00F64821">
              <w:rPr>
                <w:webHidden/>
              </w:rPr>
              <w:tab/>
            </w:r>
            <w:r w:rsidRPr="00F64821">
              <w:rPr>
                <w:webHidden/>
              </w:rPr>
              <w:fldChar w:fldCharType="begin"/>
            </w:r>
            <w:r w:rsidRPr="00F64821">
              <w:rPr>
                <w:webHidden/>
              </w:rPr>
              <w:instrText xml:space="preserve"> PAGEREF _Toc212805342 \h </w:instrText>
            </w:r>
            <w:r w:rsidRPr="00F64821">
              <w:rPr>
                <w:webHidden/>
              </w:rPr>
            </w:r>
            <w:r w:rsidRPr="00F64821">
              <w:rPr>
                <w:webHidden/>
              </w:rPr>
              <w:fldChar w:fldCharType="separate"/>
            </w:r>
            <w:r w:rsidR="00704934">
              <w:rPr>
                <w:webHidden/>
              </w:rPr>
              <w:t>7</w:t>
            </w:r>
            <w:r w:rsidRPr="00F64821">
              <w:rPr>
                <w:webHidden/>
              </w:rPr>
              <w:fldChar w:fldCharType="end"/>
            </w:r>
          </w:hyperlink>
        </w:p>
        <w:p w14:paraId="0B0F1BBB" w14:textId="54BBDF9D" w:rsidR="00F64821" w:rsidRPr="00F64821" w:rsidRDefault="00F64821" w:rsidP="00F64821">
          <w:pPr>
            <w:pStyle w:val="TOC1"/>
          </w:pPr>
          <w:hyperlink w:anchor="_Toc212805343" w:history="1">
            <w:r w:rsidRPr="00F64821">
              <w:rPr>
                <w:rStyle w:val="Hyperlink"/>
              </w:rPr>
              <w:t>1.3. Strategic alignment with the organisation’s goals</w:t>
            </w:r>
            <w:r w:rsidRPr="00F64821">
              <w:rPr>
                <w:webHidden/>
              </w:rPr>
              <w:tab/>
            </w:r>
            <w:r w:rsidRPr="00F64821">
              <w:rPr>
                <w:webHidden/>
              </w:rPr>
              <w:fldChar w:fldCharType="begin"/>
            </w:r>
            <w:r w:rsidRPr="00F64821">
              <w:rPr>
                <w:webHidden/>
              </w:rPr>
              <w:instrText xml:space="preserve"> PAGEREF _Toc212805343 \h </w:instrText>
            </w:r>
            <w:r w:rsidRPr="00F64821">
              <w:rPr>
                <w:webHidden/>
              </w:rPr>
            </w:r>
            <w:r w:rsidRPr="00F64821">
              <w:rPr>
                <w:webHidden/>
              </w:rPr>
              <w:fldChar w:fldCharType="separate"/>
            </w:r>
            <w:r w:rsidR="00704934">
              <w:rPr>
                <w:webHidden/>
              </w:rPr>
              <w:t>7</w:t>
            </w:r>
            <w:r w:rsidRPr="00F64821">
              <w:rPr>
                <w:webHidden/>
              </w:rPr>
              <w:fldChar w:fldCharType="end"/>
            </w:r>
          </w:hyperlink>
        </w:p>
        <w:p w14:paraId="5DA77D9E" w14:textId="3AFB960A" w:rsidR="00F64821" w:rsidRPr="00F64821" w:rsidRDefault="00F64821" w:rsidP="00F64821">
          <w:pPr>
            <w:pStyle w:val="TOC1"/>
          </w:pPr>
          <w:hyperlink w:anchor="_Toc212805344" w:history="1">
            <w:r w:rsidRPr="00F64821">
              <w:rPr>
                <w:rStyle w:val="Hyperlink"/>
                <w:b/>
                <w:bCs/>
              </w:rPr>
              <w:t>2. Comprehensive Strategic Analysis</w:t>
            </w:r>
            <w:r w:rsidRPr="00F64821">
              <w:rPr>
                <w:webHidden/>
              </w:rPr>
              <w:tab/>
            </w:r>
            <w:r w:rsidRPr="00F64821">
              <w:rPr>
                <w:webHidden/>
              </w:rPr>
              <w:fldChar w:fldCharType="begin"/>
            </w:r>
            <w:r w:rsidRPr="00F64821">
              <w:rPr>
                <w:webHidden/>
              </w:rPr>
              <w:instrText xml:space="preserve"> PAGEREF _Toc212805344 \h </w:instrText>
            </w:r>
            <w:r w:rsidRPr="00F64821">
              <w:rPr>
                <w:webHidden/>
              </w:rPr>
            </w:r>
            <w:r w:rsidRPr="00F64821">
              <w:rPr>
                <w:webHidden/>
              </w:rPr>
              <w:fldChar w:fldCharType="separate"/>
            </w:r>
            <w:r w:rsidR="00704934">
              <w:rPr>
                <w:webHidden/>
              </w:rPr>
              <w:t>7</w:t>
            </w:r>
            <w:r w:rsidRPr="00F64821">
              <w:rPr>
                <w:webHidden/>
              </w:rPr>
              <w:fldChar w:fldCharType="end"/>
            </w:r>
          </w:hyperlink>
        </w:p>
        <w:p w14:paraId="7D8B0870" w14:textId="224D81D5" w:rsidR="00F64821" w:rsidRPr="00F64821" w:rsidRDefault="00F64821" w:rsidP="00F64821">
          <w:pPr>
            <w:pStyle w:val="TOC1"/>
          </w:pPr>
          <w:hyperlink w:anchor="_Toc212805345" w:history="1">
            <w:r w:rsidRPr="00F64821">
              <w:rPr>
                <w:rStyle w:val="Hyperlink"/>
              </w:rPr>
              <w:t>2.1. Macro-environmental tools</w:t>
            </w:r>
            <w:r w:rsidRPr="00F64821">
              <w:rPr>
                <w:webHidden/>
              </w:rPr>
              <w:tab/>
            </w:r>
            <w:r w:rsidRPr="00F64821">
              <w:rPr>
                <w:webHidden/>
              </w:rPr>
              <w:fldChar w:fldCharType="begin"/>
            </w:r>
            <w:r w:rsidRPr="00F64821">
              <w:rPr>
                <w:webHidden/>
              </w:rPr>
              <w:instrText xml:space="preserve"> PAGEREF _Toc212805345 \h </w:instrText>
            </w:r>
            <w:r w:rsidRPr="00F64821">
              <w:rPr>
                <w:webHidden/>
              </w:rPr>
            </w:r>
            <w:r w:rsidRPr="00F64821">
              <w:rPr>
                <w:webHidden/>
              </w:rPr>
              <w:fldChar w:fldCharType="separate"/>
            </w:r>
            <w:r w:rsidR="00704934">
              <w:rPr>
                <w:webHidden/>
              </w:rPr>
              <w:t>8</w:t>
            </w:r>
            <w:r w:rsidRPr="00F64821">
              <w:rPr>
                <w:webHidden/>
              </w:rPr>
              <w:fldChar w:fldCharType="end"/>
            </w:r>
          </w:hyperlink>
        </w:p>
        <w:p w14:paraId="59CF9C0F" w14:textId="0E7E2362" w:rsidR="00F64821" w:rsidRPr="00F64821" w:rsidRDefault="00F64821" w:rsidP="00F64821">
          <w:pPr>
            <w:pStyle w:val="TOC1"/>
          </w:pPr>
          <w:hyperlink w:anchor="_Toc212805346" w:history="1">
            <w:r w:rsidRPr="00F64821">
              <w:rPr>
                <w:rStyle w:val="Hyperlink"/>
              </w:rPr>
              <w:t>2.1.1. PESTEL Analysis</w:t>
            </w:r>
            <w:r w:rsidRPr="00F64821">
              <w:rPr>
                <w:webHidden/>
              </w:rPr>
              <w:tab/>
            </w:r>
            <w:r w:rsidRPr="00F64821">
              <w:rPr>
                <w:webHidden/>
              </w:rPr>
              <w:fldChar w:fldCharType="begin"/>
            </w:r>
            <w:r w:rsidRPr="00F64821">
              <w:rPr>
                <w:webHidden/>
              </w:rPr>
              <w:instrText xml:space="preserve"> PAGEREF _Toc212805346 \h </w:instrText>
            </w:r>
            <w:r w:rsidRPr="00F64821">
              <w:rPr>
                <w:webHidden/>
              </w:rPr>
            </w:r>
            <w:r w:rsidRPr="00F64821">
              <w:rPr>
                <w:webHidden/>
              </w:rPr>
              <w:fldChar w:fldCharType="separate"/>
            </w:r>
            <w:r w:rsidR="00704934">
              <w:rPr>
                <w:webHidden/>
              </w:rPr>
              <w:t>8</w:t>
            </w:r>
            <w:r w:rsidRPr="00F64821">
              <w:rPr>
                <w:webHidden/>
              </w:rPr>
              <w:fldChar w:fldCharType="end"/>
            </w:r>
          </w:hyperlink>
        </w:p>
        <w:p w14:paraId="0CA2D088" w14:textId="698AFFFB" w:rsidR="00F64821" w:rsidRPr="00F64821" w:rsidRDefault="00F64821" w:rsidP="00F64821">
          <w:pPr>
            <w:pStyle w:val="TOC1"/>
          </w:pPr>
          <w:hyperlink w:anchor="_Toc212805347" w:history="1">
            <w:r w:rsidRPr="00F64821">
              <w:rPr>
                <w:rStyle w:val="Hyperlink"/>
              </w:rPr>
              <w:t>2.1.2. CAGE (Cultural, Administrative, Geographic, Economic distance) for international context</w:t>
            </w:r>
            <w:r w:rsidRPr="00F64821">
              <w:rPr>
                <w:webHidden/>
              </w:rPr>
              <w:tab/>
            </w:r>
            <w:r w:rsidRPr="00F64821">
              <w:rPr>
                <w:webHidden/>
              </w:rPr>
              <w:fldChar w:fldCharType="begin"/>
            </w:r>
            <w:r w:rsidRPr="00F64821">
              <w:rPr>
                <w:webHidden/>
              </w:rPr>
              <w:instrText xml:space="preserve"> PAGEREF _Toc212805347 \h </w:instrText>
            </w:r>
            <w:r w:rsidRPr="00F64821">
              <w:rPr>
                <w:webHidden/>
              </w:rPr>
            </w:r>
            <w:r w:rsidRPr="00F64821">
              <w:rPr>
                <w:webHidden/>
              </w:rPr>
              <w:fldChar w:fldCharType="separate"/>
            </w:r>
            <w:r w:rsidR="00704934">
              <w:rPr>
                <w:webHidden/>
              </w:rPr>
              <w:t>10</w:t>
            </w:r>
            <w:r w:rsidRPr="00F64821">
              <w:rPr>
                <w:webHidden/>
              </w:rPr>
              <w:fldChar w:fldCharType="end"/>
            </w:r>
          </w:hyperlink>
        </w:p>
        <w:p w14:paraId="5D26A628" w14:textId="158E846E" w:rsidR="00F64821" w:rsidRPr="00F64821" w:rsidRDefault="00F64821" w:rsidP="00F64821">
          <w:pPr>
            <w:pStyle w:val="TOC1"/>
          </w:pPr>
          <w:hyperlink w:anchor="_Toc212805348" w:history="1">
            <w:r w:rsidRPr="00F64821">
              <w:rPr>
                <w:rStyle w:val="Hyperlink"/>
              </w:rPr>
              <w:t>2.2. Industry/competitive tools</w:t>
            </w:r>
            <w:r w:rsidRPr="00F64821">
              <w:rPr>
                <w:webHidden/>
              </w:rPr>
              <w:tab/>
            </w:r>
            <w:r w:rsidRPr="00F64821">
              <w:rPr>
                <w:webHidden/>
              </w:rPr>
              <w:fldChar w:fldCharType="begin"/>
            </w:r>
            <w:r w:rsidRPr="00F64821">
              <w:rPr>
                <w:webHidden/>
              </w:rPr>
              <w:instrText xml:space="preserve"> PAGEREF _Toc212805348 \h </w:instrText>
            </w:r>
            <w:r w:rsidRPr="00F64821">
              <w:rPr>
                <w:webHidden/>
              </w:rPr>
            </w:r>
            <w:r w:rsidRPr="00F64821">
              <w:rPr>
                <w:webHidden/>
              </w:rPr>
              <w:fldChar w:fldCharType="separate"/>
            </w:r>
            <w:r w:rsidR="00704934">
              <w:rPr>
                <w:webHidden/>
              </w:rPr>
              <w:t>11</w:t>
            </w:r>
            <w:r w:rsidRPr="00F64821">
              <w:rPr>
                <w:webHidden/>
              </w:rPr>
              <w:fldChar w:fldCharType="end"/>
            </w:r>
          </w:hyperlink>
        </w:p>
        <w:p w14:paraId="2EC12194" w14:textId="463CD15C" w:rsidR="00F64821" w:rsidRPr="00F64821" w:rsidRDefault="00F64821" w:rsidP="00F64821">
          <w:pPr>
            <w:pStyle w:val="TOC1"/>
          </w:pPr>
          <w:hyperlink w:anchor="_Toc212805349" w:history="1">
            <w:r w:rsidRPr="00F64821">
              <w:rPr>
                <w:rStyle w:val="Hyperlink"/>
              </w:rPr>
              <w:t>2.2.1. Porter’s Five Forces</w:t>
            </w:r>
            <w:r w:rsidRPr="00F64821">
              <w:rPr>
                <w:webHidden/>
              </w:rPr>
              <w:tab/>
            </w:r>
            <w:r w:rsidRPr="00F64821">
              <w:rPr>
                <w:webHidden/>
              </w:rPr>
              <w:fldChar w:fldCharType="begin"/>
            </w:r>
            <w:r w:rsidRPr="00F64821">
              <w:rPr>
                <w:webHidden/>
              </w:rPr>
              <w:instrText xml:space="preserve"> PAGEREF _Toc212805349 \h </w:instrText>
            </w:r>
            <w:r w:rsidRPr="00F64821">
              <w:rPr>
                <w:webHidden/>
              </w:rPr>
            </w:r>
            <w:r w:rsidRPr="00F64821">
              <w:rPr>
                <w:webHidden/>
              </w:rPr>
              <w:fldChar w:fldCharType="separate"/>
            </w:r>
            <w:r w:rsidR="00704934">
              <w:rPr>
                <w:webHidden/>
              </w:rPr>
              <w:t>11</w:t>
            </w:r>
            <w:r w:rsidRPr="00F64821">
              <w:rPr>
                <w:webHidden/>
              </w:rPr>
              <w:fldChar w:fldCharType="end"/>
            </w:r>
          </w:hyperlink>
        </w:p>
        <w:p w14:paraId="4231E476" w14:textId="3CA0131F" w:rsidR="00F64821" w:rsidRPr="00F64821" w:rsidRDefault="00F64821" w:rsidP="00F64821">
          <w:pPr>
            <w:pStyle w:val="TOC2"/>
            <w:tabs>
              <w:tab w:val="right" w:leader="dot" w:pos="9016"/>
            </w:tabs>
            <w:spacing w:line="240" w:lineRule="auto"/>
            <w:ind w:left="0"/>
            <w:rPr>
              <w:rFonts w:ascii="Arial" w:hAnsi="Arial" w:cs="Arial"/>
              <w:noProof/>
              <w:sz w:val="20"/>
              <w:szCs w:val="20"/>
            </w:rPr>
          </w:pPr>
          <w:hyperlink w:anchor="_Toc212805350" w:history="1">
            <w:r w:rsidRPr="00F64821">
              <w:rPr>
                <w:rStyle w:val="Hyperlink"/>
                <w:rFonts w:ascii="Arial" w:hAnsi="Arial" w:cs="Arial"/>
                <w:noProof/>
                <w:sz w:val="20"/>
                <w:szCs w:val="20"/>
              </w:rPr>
              <w:t>2.2.2. SWOT Analysis</w:t>
            </w:r>
            <w:r w:rsidRPr="00F64821">
              <w:rPr>
                <w:rFonts w:ascii="Arial" w:hAnsi="Arial" w:cs="Arial"/>
                <w:noProof/>
                <w:webHidden/>
                <w:sz w:val="20"/>
                <w:szCs w:val="20"/>
              </w:rPr>
              <w:tab/>
            </w:r>
            <w:r w:rsidRPr="00F64821">
              <w:rPr>
                <w:rFonts w:ascii="Arial" w:hAnsi="Arial" w:cs="Arial"/>
                <w:noProof/>
                <w:webHidden/>
                <w:sz w:val="20"/>
                <w:szCs w:val="20"/>
              </w:rPr>
              <w:fldChar w:fldCharType="begin"/>
            </w:r>
            <w:r w:rsidRPr="00F64821">
              <w:rPr>
                <w:rFonts w:ascii="Arial" w:hAnsi="Arial" w:cs="Arial"/>
                <w:noProof/>
                <w:webHidden/>
                <w:sz w:val="20"/>
                <w:szCs w:val="20"/>
              </w:rPr>
              <w:instrText xml:space="preserve"> PAGEREF _Toc212805350 \h </w:instrText>
            </w:r>
            <w:r w:rsidRPr="00F64821">
              <w:rPr>
                <w:rFonts w:ascii="Arial" w:hAnsi="Arial" w:cs="Arial"/>
                <w:noProof/>
                <w:webHidden/>
                <w:sz w:val="20"/>
                <w:szCs w:val="20"/>
              </w:rPr>
            </w:r>
            <w:r w:rsidRPr="00F64821">
              <w:rPr>
                <w:rFonts w:ascii="Arial" w:hAnsi="Arial" w:cs="Arial"/>
                <w:noProof/>
                <w:webHidden/>
                <w:sz w:val="20"/>
                <w:szCs w:val="20"/>
              </w:rPr>
              <w:fldChar w:fldCharType="separate"/>
            </w:r>
            <w:r w:rsidR="00704934">
              <w:rPr>
                <w:rFonts w:ascii="Arial" w:hAnsi="Arial" w:cs="Arial"/>
                <w:noProof/>
                <w:webHidden/>
                <w:sz w:val="20"/>
                <w:szCs w:val="20"/>
              </w:rPr>
              <w:t>13</w:t>
            </w:r>
            <w:r w:rsidRPr="00F64821">
              <w:rPr>
                <w:rFonts w:ascii="Arial" w:hAnsi="Arial" w:cs="Arial"/>
                <w:noProof/>
                <w:webHidden/>
                <w:sz w:val="20"/>
                <w:szCs w:val="20"/>
              </w:rPr>
              <w:fldChar w:fldCharType="end"/>
            </w:r>
          </w:hyperlink>
        </w:p>
        <w:p w14:paraId="0F165777" w14:textId="7DB85597" w:rsidR="00F64821" w:rsidRPr="00F64821" w:rsidRDefault="00F64821" w:rsidP="00F64821">
          <w:pPr>
            <w:pStyle w:val="TOC1"/>
          </w:pPr>
          <w:hyperlink w:anchor="_Toc212805351" w:history="1">
            <w:r w:rsidRPr="00F64821">
              <w:rPr>
                <w:rStyle w:val="Hyperlink"/>
              </w:rPr>
              <w:t>2.2.3. Competitor Benchmarking - positioning mapping</w:t>
            </w:r>
            <w:r w:rsidRPr="00F64821">
              <w:rPr>
                <w:webHidden/>
              </w:rPr>
              <w:tab/>
            </w:r>
            <w:r w:rsidRPr="00F64821">
              <w:rPr>
                <w:webHidden/>
              </w:rPr>
              <w:fldChar w:fldCharType="begin"/>
            </w:r>
            <w:r w:rsidRPr="00F64821">
              <w:rPr>
                <w:webHidden/>
              </w:rPr>
              <w:instrText xml:space="preserve"> PAGEREF _Toc212805351 \h </w:instrText>
            </w:r>
            <w:r w:rsidRPr="00F64821">
              <w:rPr>
                <w:webHidden/>
              </w:rPr>
            </w:r>
            <w:r w:rsidRPr="00F64821">
              <w:rPr>
                <w:webHidden/>
              </w:rPr>
              <w:fldChar w:fldCharType="separate"/>
            </w:r>
            <w:r w:rsidR="00704934">
              <w:rPr>
                <w:webHidden/>
              </w:rPr>
              <w:t>14</w:t>
            </w:r>
            <w:r w:rsidRPr="00F64821">
              <w:rPr>
                <w:webHidden/>
              </w:rPr>
              <w:fldChar w:fldCharType="end"/>
            </w:r>
          </w:hyperlink>
        </w:p>
        <w:p w14:paraId="6726267A" w14:textId="26B28CFA" w:rsidR="00F64821" w:rsidRPr="00F64821" w:rsidRDefault="00F64821" w:rsidP="00F64821">
          <w:pPr>
            <w:pStyle w:val="TOC1"/>
          </w:pPr>
          <w:hyperlink w:anchor="_Toc212805352" w:history="1">
            <w:r w:rsidRPr="00F64821">
              <w:rPr>
                <w:rStyle w:val="Hyperlink"/>
                <w:b/>
                <w:bCs/>
              </w:rPr>
              <w:t>3. Strategy Development and Formulation</w:t>
            </w:r>
            <w:r w:rsidRPr="00F64821">
              <w:rPr>
                <w:webHidden/>
              </w:rPr>
              <w:tab/>
            </w:r>
            <w:r w:rsidRPr="00F64821">
              <w:rPr>
                <w:webHidden/>
              </w:rPr>
              <w:fldChar w:fldCharType="begin"/>
            </w:r>
            <w:r w:rsidRPr="00F64821">
              <w:rPr>
                <w:webHidden/>
              </w:rPr>
              <w:instrText xml:space="preserve"> PAGEREF _Toc212805352 \h </w:instrText>
            </w:r>
            <w:r w:rsidRPr="00F64821">
              <w:rPr>
                <w:webHidden/>
              </w:rPr>
            </w:r>
            <w:r w:rsidRPr="00F64821">
              <w:rPr>
                <w:webHidden/>
              </w:rPr>
              <w:fldChar w:fldCharType="separate"/>
            </w:r>
            <w:r w:rsidR="00704934">
              <w:rPr>
                <w:webHidden/>
              </w:rPr>
              <w:t>14</w:t>
            </w:r>
            <w:r w:rsidRPr="00F64821">
              <w:rPr>
                <w:webHidden/>
              </w:rPr>
              <w:fldChar w:fldCharType="end"/>
            </w:r>
          </w:hyperlink>
        </w:p>
        <w:p w14:paraId="3D9F03A4" w14:textId="4A7ECF74" w:rsidR="00F64821" w:rsidRPr="00F64821" w:rsidRDefault="00F64821" w:rsidP="00F64821">
          <w:pPr>
            <w:pStyle w:val="TOC1"/>
          </w:pPr>
          <w:hyperlink w:anchor="_Toc212805353" w:history="1">
            <w:r w:rsidRPr="00F64821">
              <w:rPr>
                <w:rStyle w:val="Hyperlink"/>
              </w:rPr>
              <w:t>3.1. The Vertical joint venture entry strategy</w:t>
            </w:r>
            <w:r w:rsidRPr="00F64821">
              <w:rPr>
                <w:webHidden/>
              </w:rPr>
              <w:tab/>
            </w:r>
            <w:r w:rsidRPr="00F64821">
              <w:rPr>
                <w:webHidden/>
              </w:rPr>
              <w:fldChar w:fldCharType="begin"/>
            </w:r>
            <w:r w:rsidRPr="00F64821">
              <w:rPr>
                <w:webHidden/>
              </w:rPr>
              <w:instrText xml:space="preserve"> PAGEREF _Toc212805353 \h </w:instrText>
            </w:r>
            <w:r w:rsidRPr="00F64821">
              <w:rPr>
                <w:webHidden/>
              </w:rPr>
            </w:r>
            <w:r w:rsidRPr="00F64821">
              <w:rPr>
                <w:webHidden/>
              </w:rPr>
              <w:fldChar w:fldCharType="separate"/>
            </w:r>
            <w:r w:rsidR="00704934">
              <w:rPr>
                <w:webHidden/>
              </w:rPr>
              <w:t>15</w:t>
            </w:r>
            <w:r w:rsidRPr="00F64821">
              <w:rPr>
                <w:webHidden/>
              </w:rPr>
              <w:fldChar w:fldCharType="end"/>
            </w:r>
          </w:hyperlink>
        </w:p>
        <w:p w14:paraId="185B84F2" w14:textId="2DD76273" w:rsidR="00F64821" w:rsidRPr="00F64821" w:rsidRDefault="00F64821" w:rsidP="00F64821">
          <w:pPr>
            <w:pStyle w:val="TOC1"/>
          </w:pPr>
          <w:hyperlink w:anchor="_Toc212805354" w:history="1">
            <w:r w:rsidRPr="00F64821">
              <w:rPr>
                <w:rStyle w:val="Hyperlink"/>
              </w:rPr>
              <w:t>3.2. Ansoff Matrix (Market Development)</w:t>
            </w:r>
            <w:r w:rsidRPr="00F64821">
              <w:rPr>
                <w:webHidden/>
              </w:rPr>
              <w:tab/>
            </w:r>
            <w:r w:rsidRPr="00F64821">
              <w:rPr>
                <w:webHidden/>
              </w:rPr>
              <w:fldChar w:fldCharType="begin"/>
            </w:r>
            <w:r w:rsidRPr="00F64821">
              <w:rPr>
                <w:webHidden/>
              </w:rPr>
              <w:instrText xml:space="preserve"> PAGEREF _Toc212805354 \h </w:instrText>
            </w:r>
            <w:r w:rsidRPr="00F64821">
              <w:rPr>
                <w:webHidden/>
              </w:rPr>
            </w:r>
            <w:r w:rsidRPr="00F64821">
              <w:rPr>
                <w:webHidden/>
              </w:rPr>
              <w:fldChar w:fldCharType="separate"/>
            </w:r>
            <w:r w:rsidR="00704934">
              <w:rPr>
                <w:webHidden/>
              </w:rPr>
              <w:t>16</w:t>
            </w:r>
            <w:r w:rsidRPr="00F64821">
              <w:rPr>
                <w:webHidden/>
              </w:rPr>
              <w:fldChar w:fldCharType="end"/>
            </w:r>
          </w:hyperlink>
        </w:p>
        <w:p w14:paraId="0A07EDA4" w14:textId="2FE7CE50" w:rsidR="00F64821" w:rsidRPr="00F64821" w:rsidRDefault="00F64821" w:rsidP="00F64821">
          <w:pPr>
            <w:pStyle w:val="TOC1"/>
          </w:pPr>
          <w:hyperlink w:anchor="_Toc212805355" w:history="1">
            <w:r w:rsidRPr="00F64821">
              <w:rPr>
                <w:rStyle w:val="Hyperlink"/>
              </w:rPr>
              <w:t>3.3. Porter’s Generic Strategies (Cost Leadership, Differentiation, Focus)</w:t>
            </w:r>
            <w:r w:rsidRPr="00F64821">
              <w:rPr>
                <w:webHidden/>
              </w:rPr>
              <w:tab/>
            </w:r>
            <w:r w:rsidRPr="00F64821">
              <w:rPr>
                <w:webHidden/>
              </w:rPr>
              <w:fldChar w:fldCharType="begin"/>
            </w:r>
            <w:r w:rsidRPr="00F64821">
              <w:rPr>
                <w:webHidden/>
              </w:rPr>
              <w:instrText xml:space="preserve"> PAGEREF _Toc212805355 \h </w:instrText>
            </w:r>
            <w:r w:rsidRPr="00F64821">
              <w:rPr>
                <w:webHidden/>
              </w:rPr>
            </w:r>
            <w:r w:rsidRPr="00F64821">
              <w:rPr>
                <w:webHidden/>
              </w:rPr>
              <w:fldChar w:fldCharType="separate"/>
            </w:r>
            <w:r w:rsidR="00704934">
              <w:rPr>
                <w:webHidden/>
              </w:rPr>
              <w:t>16</w:t>
            </w:r>
            <w:r w:rsidRPr="00F64821">
              <w:rPr>
                <w:webHidden/>
              </w:rPr>
              <w:fldChar w:fldCharType="end"/>
            </w:r>
          </w:hyperlink>
        </w:p>
        <w:p w14:paraId="6D34691E" w14:textId="04F7069F" w:rsidR="00F64821" w:rsidRPr="00F64821" w:rsidRDefault="00F64821" w:rsidP="00F64821">
          <w:pPr>
            <w:pStyle w:val="TOC1"/>
          </w:pPr>
          <w:hyperlink w:anchor="_Toc212805356" w:history="1">
            <w:r w:rsidRPr="00F64821">
              <w:rPr>
                <w:rStyle w:val="Hyperlink"/>
              </w:rPr>
              <w:t>3.4. Elta’s VRIO Framework (Resources and capabilities)</w:t>
            </w:r>
            <w:r w:rsidRPr="00F64821">
              <w:rPr>
                <w:webHidden/>
              </w:rPr>
              <w:tab/>
            </w:r>
            <w:r w:rsidRPr="00F64821">
              <w:rPr>
                <w:webHidden/>
              </w:rPr>
              <w:fldChar w:fldCharType="begin"/>
            </w:r>
            <w:r w:rsidRPr="00F64821">
              <w:rPr>
                <w:webHidden/>
              </w:rPr>
              <w:instrText xml:space="preserve"> PAGEREF _Toc212805356 \h </w:instrText>
            </w:r>
            <w:r w:rsidRPr="00F64821">
              <w:rPr>
                <w:webHidden/>
              </w:rPr>
            </w:r>
            <w:r w:rsidRPr="00F64821">
              <w:rPr>
                <w:webHidden/>
              </w:rPr>
              <w:fldChar w:fldCharType="separate"/>
            </w:r>
            <w:r w:rsidR="00704934">
              <w:rPr>
                <w:webHidden/>
              </w:rPr>
              <w:t>17</w:t>
            </w:r>
            <w:r w:rsidRPr="00F64821">
              <w:rPr>
                <w:webHidden/>
              </w:rPr>
              <w:fldChar w:fldCharType="end"/>
            </w:r>
          </w:hyperlink>
        </w:p>
        <w:p w14:paraId="0EB19B1D" w14:textId="1C95B044" w:rsidR="00F64821" w:rsidRPr="00F64821" w:rsidRDefault="00F64821" w:rsidP="00F64821">
          <w:pPr>
            <w:pStyle w:val="TOC1"/>
          </w:pPr>
          <w:hyperlink w:anchor="_Toc212805357" w:history="1">
            <w:r w:rsidRPr="00F64821">
              <w:rPr>
                <w:rStyle w:val="Hyperlink"/>
              </w:rPr>
              <w:t>3.5. Risks and mitigation strategies</w:t>
            </w:r>
            <w:r w:rsidRPr="00F64821">
              <w:rPr>
                <w:webHidden/>
              </w:rPr>
              <w:tab/>
            </w:r>
            <w:r w:rsidRPr="00F64821">
              <w:rPr>
                <w:webHidden/>
              </w:rPr>
              <w:fldChar w:fldCharType="begin"/>
            </w:r>
            <w:r w:rsidRPr="00F64821">
              <w:rPr>
                <w:webHidden/>
              </w:rPr>
              <w:instrText xml:space="preserve"> PAGEREF _Toc212805357 \h </w:instrText>
            </w:r>
            <w:r w:rsidRPr="00F64821">
              <w:rPr>
                <w:webHidden/>
              </w:rPr>
            </w:r>
            <w:r w:rsidRPr="00F64821">
              <w:rPr>
                <w:webHidden/>
              </w:rPr>
              <w:fldChar w:fldCharType="separate"/>
            </w:r>
            <w:r w:rsidR="00704934">
              <w:rPr>
                <w:webHidden/>
              </w:rPr>
              <w:t>19</w:t>
            </w:r>
            <w:r w:rsidRPr="00F64821">
              <w:rPr>
                <w:webHidden/>
              </w:rPr>
              <w:fldChar w:fldCharType="end"/>
            </w:r>
          </w:hyperlink>
        </w:p>
        <w:p w14:paraId="4E985AB6" w14:textId="3E9753BE" w:rsidR="00F64821" w:rsidRPr="00F64821" w:rsidRDefault="00F64821" w:rsidP="00F64821">
          <w:pPr>
            <w:pStyle w:val="TOC1"/>
          </w:pPr>
          <w:hyperlink w:anchor="_Toc212805358" w:history="1">
            <w:r w:rsidRPr="00F64821">
              <w:rPr>
                <w:rStyle w:val="Hyperlink"/>
                <w:b/>
                <w:bCs/>
              </w:rPr>
              <w:t>4. Performance Evaluation Framework - Custom KPI dashboard</w:t>
            </w:r>
            <w:r w:rsidRPr="00F64821">
              <w:rPr>
                <w:webHidden/>
              </w:rPr>
              <w:tab/>
            </w:r>
            <w:r w:rsidRPr="00F64821">
              <w:rPr>
                <w:webHidden/>
              </w:rPr>
              <w:fldChar w:fldCharType="begin"/>
            </w:r>
            <w:r w:rsidRPr="00F64821">
              <w:rPr>
                <w:webHidden/>
              </w:rPr>
              <w:instrText xml:space="preserve"> PAGEREF _Toc212805358 \h </w:instrText>
            </w:r>
            <w:r w:rsidRPr="00F64821">
              <w:rPr>
                <w:webHidden/>
              </w:rPr>
            </w:r>
            <w:r w:rsidRPr="00F64821">
              <w:rPr>
                <w:webHidden/>
              </w:rPr>
              <w:fldChar w:fldCharType="separate"/>
            </w:r>
            <w:r w:rsidR="00704934">
              <w:rPr>
                <w:webHidden/>
              </w:rPr>
              <w:t>19</w:t>
            </w:r>
            <w:r w:rsidRPr="00F64821">
              <w:rPr>
                <w:webHidden/>
              </w:rPr>
              <w:fldChar w:fldCharType="end"/>
            </w:r>
          </w:hyperlink>
        </w:p>
        <w:p w14:paraId="45DCD447" w14:textId="3FD995F3" w:rsidR="00F64821" w:rsidRPr="00F64821" w:rsidRDefault="00F64821" w:rsidP="00F64821">
          <w:pPr>
            <w:pStyle w:val="TOC1"/>
          </w:pPr>
          <w:hyperlink w:anchor="_Toc212805359" w:history="1">
            <w:r w:rsidRPr="00F64821">
              <w:rPr>
                <w:rStyle w:val="Hyperlink"/>
              </w:rPr>
              <w:t>4.1. Key Performance Indicators</w:t>
            </w:r>
            <w:r w:rsidRPr="00F64821">
              <w:rPr>
                <w:webHidden/>
              </w:rPr>
              <w:tab/>
            </w:r>
            <w:r w:rsidRPr="00F64821">
              <w:rPr>
                <w:webHidden/>
              </w:rPr>
              <w:fldChar w:fldCharType="begin"/>
            </w:r>
            <w:r w:rsidRPr="00F64821">
              <w:rPr>
                <w:webHidden/>
              </w:rPr>
              <w:instrText xml:space="preserve"> PAGEREF _Toc212805359 \h </w:instrText>
            </w:r>
            <w:r w:rsidRPr="00F64821">
              <w:rPr>
                <w:webHidden/>
              </w:rPr>
            </w:r>
            <w:r w:rsidRPr="00F64821">
              <w:rPr>
                <w:webHidden/>
              </w:rPr>
              <w:fldChar w:fldCharType="separate"/>
            </w:r>
            <w:r w:rsidR="00704934">
              <w:rPr>
                <w:webHidden/>
              </w:rPr>
              <w:t>19</w:t>
            </w:r>
            <w:r w:rsidRPr="00F64821">
              <w:rPr>
                <w:webHidden/>
              </w:rPr>
              <w:fldChar w:fldCharType="end"/>
            </w:r>
          </w:hyperlink>
        </w:p>
        <w:p w14:paraId="43C891AB" w14:textId="2FBE1D14" w:rsidR="00F64821" w:rsidRPr="00F64821" w:rsidRDefault="00F64821" w:rsidP="00F64821">
          <w:pPr>
            <w:pStyle w:val="TOC1"/>
          </w:pPr>
          <w:hyperlink w:anchor="_Toc212805360" w:history="1">
            <w:r w:rsidRPr="00F64821">
              <w:rPr>
                <w:rStyle w:val="Hyperlink"/>
              </w:rPr>
              <w:t>4.2. Potential new worldwide market KPI: measure progress and guide decision-making</w:t>
            </w:r>
            <w:r w:rsidRPr="00F64821">
              <w:rPr>
                <w:webHidden/>
              </w:rPr>
              <w:tab/>
            </w:r>
            <w:r w:rsidRPr="00F64821">
              <w:rPr>
                <w:webHidden/>
              </w:rPr>
              <w:fldChar w:fldCharType="begin"/>
            </w:r>
            <w:r w:rsidRPr="00F64821">
              <w:rPr>
                <w:webHidden/>
              </w:rPr>
              <w:instrText xml:space="preserve"> PAGEREF _Toc212805360 \h </w:instrText>
            </w:r>
            <w:r w:rsidRPr="00F64821">
              <w:rPr>
                <w:webHidden/>
              </w:rPr>
            </w:r>
            <w:r w:rsidRPr="00F64821">
              <w:rPr>
                <w:webHidden/>
              </w:rPr>
              <w:fldChar w:fldCharType="separate"/>
            </w:r>
            <w:r w:rsidR="00704934">
              <w:rPr>
                <w:webHidden/>
              </w:rPr>
              <w:t>21</w:t>
            </w:r>
            <w:r w:rsidRPr="00F64821">
              <w:rPr>
                <w:webHidden/>
              </w:rPr>
              <w:fldChar w:fldCharType="end"/>
            </w:r>
          </w:hyperlink>
        </w:p>
        <w:p w14:paraId="008919DA" w14:textId="761BB5F1" w:rsidR="00F64821" w:rsidRPr="00F64821" w:rsidRDefault="00F64821" w:rsidP="00F64821">
          <w:pPr>
            <w:pStyle w:val="TOC1"/>
          </w:pPr>
          <w:hyperlink w:anchor="_Toc212805361" w:history="1">
            <w:r w:rsidRPr="00F64821">
              <w:rPr>
                <w:rStyle w:val="Hyperlink"/>
                <w:b/>
                <w:bCs/>
              </w:rPr>
              <w:t>Conclusion</w:t>
            </w:r>
            <w:r w:rsidRPr="00F64821">
              <w:rPr>
                <w:webHidden/>
              </w:rPr>
              <w:tab/>
            </w:r>
            <w:r w:rsidRPr="00F64821">
              <w:rPr>
                <w:webHidden/>
              </w:rPr>
              <w:fldChar w:fldCharType="begin"/>
            </w:r>
            <w:r w:rsidRPr="00F64821">
              <w:rPr>
                <w:webHidden/>
              </w:rPr>
              <w:instrText xml:space="preserve"> PAGEREF _Toc212805361 \h </w:instrText>
            </w:r>
            <w:r w:rsidRPr="00F64821">
              <w:rPr>
                <w:webHidden/>
              </w:rPr>
            </w:r>
            <w:r w:rsidRPr="00F64821">
              <w:rPr>
                <w:webHidden/>
              </w:rPr>
              <w:fldChar w:fldCharType="separate"/>
            </w:r>
            <w:r w:rsidR="00704934">
              <w:rPr>
                <w:webHidden/>
              </w:rPr>
              <w:t>23</w:t>
            </w:r>
            <w:r w:rsidRPr="00F64821">
              <w:rPr>
                <w:webHidden/>
              </w:rPr>
              <w:fldChar w:fldCharType="end"/>
            </w:r>
          </w:hyperlink>
        </w:p>
        <w:p w14:paraId="26B173AC" w14:textId="673E8009" w:rsidR="00F64821" w:rsidRPr="00F64821" w:rsidRDefault="00F64821" w:rsidP="00F64821">
          <w:pPr>
            <w:pStyle w:val="TOC1"/>
          </w:pPr>
          <w:hyperlink w:anchor="_Toc212805362" w:history="1">
            <w:r w:rsidRPr="00F64821">
              <w:rPr>
                <w:rStyle w:val="Hyperlink"/>
                <w:b/>
                <w:bCs/>
              </w:rPr>
              <w:t>Appendix 1. Sales Dashboard Summary (Netx2 – October 2025)</w:t>
            </w:r>
            <w:r w:rsidRPr="00F64821">
              <w:rPr>
                <w:webHidden/>
              </w:rPr>
              <w:tab/>
            </w:r>
            <w:r w:rsidRPr="00F64821">
              <w:rPr>
                <w:webHidden/>
              </w:rPr>
              <w:fldChar w:fldCharType="begin"/>
            </w:r>
            <w:r w:rsidRPr="00F64821">
              <w:rPr>
                <w:webHidden/>
              </w:rPr>
              <w:instrText xml:space="preserve"> PAGEREF _Toc212805362 \h </w:instrText>
            </w:r>
            <w:r w:rsidRPr="00F64821">
              <w:rPr>
                <w:webHidden/>
              </w:rPr>
            </w:r>
            <w:r w:rsidRPr="00F64821">
              <w:rPr>
                <w:webHidden/>
              </w:rPr>
              <w:fldChar w:fldCharType="separate"/>
            </w:r>
            <w:r w:rsidR="00704934">
              <w:rPr>
                <w:webHidden/>
              </w:rPr>
              <w:t>24</w:t>
            </w:r>
            <w:r w:rsidRPr="00F64821">
              <w:rPr>
                <w:webHidden/>
              </w:rPr>
              <w:fldChar w:fldCharType="end"/>
            </w:r>
          </w:hyperlink>
        </w:p>
        <w:p w14:paraId="00AF5F29" w14:textId="71DFFC66" w:rsidR="00F64821" w:rsidRDefault="00F64821" w:rsidP="00F64821">
          <w:pPr>
            <w:pStyle w:val="TOC1"/>
          </w:pPr>
          <w:hyperlink w:anchor="_Toc212805363" w:history="1">
            <w:r w:rsidRPr="00F64821">
              <w:rPr>
                <w:rStyle w:val="Hyperlink"/>
                <w:b/>
                <w:bCs/>
              </w:rPr>
              <w:t>References:</w:t>
            </w:r>
            <w:r w:rsidRPr="00F64821">
              <w:rPr>
                <w:webHidden/>
              </w:rPr>
              <w:tab/>
            </w:r>
            <w:r w:rsidRPr="00F64821">
              <w:rPr>
                <w:webHidden/>
              </w:rPr>
              <w:fldChar w:fldCharType="begin"/>
            </w:r>
            <w:r w:rsidRPr="00F64821">
              <w:rPr>
                <w:webHidden/>
              </w:rPr>
              <w:instrText xml:space="preserve"> PAGEREF _Toc212805363 \h </w:instrText>
            </w:r>
            <w:r w:rsidRPr="00F64821">
              <w:rPr>
                <w:webHidden/>
              </w:rPr>
            </w:r>
            <w:r w:rsidRPr="00F64821">
              <w:rPr>
                <w:webHidden/>
              </w:rPr>
              <w:fldChar w:fldCharType="separate"/>
            </w:r>
            <w:r w:rsidR="00704934">
              <w:rPr>
                <w:webHidden/>
              </w:rPr>
              <w:t>26</w:t>
            </w:r>
            <w:r w:rsidRPr="00F64821">
              <w:rPr>
                <w:webHidden/>
              </w:rPr>
              <w:fldChar w:fldCharType="end"/>
            </w:r>
          </w:hyperlink>
        </w:p>
        <w:p w14:paraId="5CE7CFE2" w14:textId="5CB11656" w:rsidR="00F64821" w:rsidRDefault="00F64821">
          <w:r>
            <w:rPr>
              <w:b/>
              <w:bCs/>
            </w:rPr>
            <w:fldChar w:fldCharType="end"/>
          </w:r>
        </w:p>
      </w:sdtContent>
    </w:sdt>
    <w:p w14:paraId="4E4C6192" w14:textId="77777777" w:rsidR="0085729B" w:rsidRDefault="0085729B" w:rsidP="002F1463">
      <w:pPr>
        <w:spacing w:after="0" w:line="240" w:lineRule="auto"/>
        <w:jc w:val="center"/>
        <w:rPr>
          <w:sz w:val="22"/>
          <w:szCs w:val="22"/>
        </w:rPr>
      </w:pPr>
    </w:p>
    <w:p w14:paraId="5C75D378" w14:textId="77777777" w:rsidR="0085729B" w:rsidRDefault="0085729B" w:rsidP="001D60C7">
      <w:pPr>
        <w:spacing w:after="0" w:line="360" w:lineRule="auto"/>
        <w:ind w:firstLine="567"/>
        <w:jc w:val="both"/>
        <w:rPr>
          <w:sz w:val="22"/>
          <w:szCs w:val="22"/>
        </w:rPr>
      </w:pPr>
    </w:p>
    <w:p w14:paraId="0ABCE590" w14:textId="77777777" w:rsidR="0085729B" w:rsidRDefault="0085729B" w:rsidP="001D60C7">
      <w:pPr>
        <w:spacing w:after="0" w:line="360" w:lineRule="auto"/>
        <w:ind w:firstLine="567"/>
        <w:jc w:val="both"/>
        <w:rPr>
          <w:sz w:val="22"/>
          <w:szCs w:val="22"/>
        </w:rPr>
      </w:pPr>
    </w:p>
    <w:p w14:paraId="4947E90D" w14:textId="77777777" w:rsidR="0085729B" w:rsidRDefault="0085729B" w:rsidP="001D60C7">
      <w:pPr>
        <w:spacing w:after="0" w:line="360" w:lineRule="auto"/>
        <w:ind w:firstLine="567"/>
        <w:jc w:val="both"/>
        <w:rPr>
          <w:sz w:val="22"/>
          <w:szCs w:val="22"/>
        </w:rPr>
      </w:pPr>
    </w:p>
    <w:p w14:paraId="16DB6ECB" w14:textId="77777777" w:rsidR="0085729B" w:rsidRDefault="0085729B" w:rsidP="001D60C7">
      <w:pPr>
        <w:spacing w:after="0" w:line="360" w:lineRule="auto"/>
        <w:ind w:firstLine="567"/>
        <w:jc w:val="both"/>
        <w:rPr>
          <w:sz w:val="22"/>
          <w:szCs w:val="22"/>
        </w:rPr>
      </w:pPr>
    </w:p>
    <w:p w14:paraId="5F839208" w14:textId="77777777" w:rsidR="0047556C" w:rsidRDefault="0047556C" w:rsidP="001D60C7">
      <w:pPr>
        <w:spacing w:after="0" w:line="360" w:lineRule="auto"/>
        <w:ind w:firstLine="567"/>
        <w:jc w:val="both"/>
        <w:rPr>
          <w:sz w:val="22"/>
          <w:szCs w:val="22"/>
        </w:rPr>
      </w:pPr>
    </w:p>
    <w:p w14:paraId="17FA306C" w14:textId="77777777" w:rsidR="0047556C" w:rsidRDefault="0047556C" w:rsidP="001D60C7">
      <w:pPr>
        <w:spacing w:after="0" w:line="360" w:lineRule="auto"/>
        <w:ind w:firstLine="567"/>
        <w:jc w:val="both"/>
        <w:rPr>
          <w:sz w:val="22"/>
          <w:szCs w:val="22"/>
        </w:rPr>
      </w:pPr>
    </w:p>
    <w:p w14:paraId="369F864E" w14:textId="77777777" w:rsidR="0085729B" w:rsidRDefault="0085729B" w:rsidP="001D60C7">
      <w:pPr>
        <w:spacing w:after="0" w:line="360" w:lineRule="auto"/>
        <w:ind w:firstLine="567"/>
        <w:jc w:val="both"/>
        <w:rPr>
          <w:sz w:val="22"/>
          <w:szCs w:val="22"/>
        </w:rPr>
      </w:pPr>
    </w:p>
    <w:p w14:paraId="383B03F4" w14:textId="77777777" w:rsidR="0085729B" w:rsidRDefault="0085729B" w:rsidP="001D60C7">
      <w:pPr>
        <w:spacing w:after="0" w:line="360" w:lineRule="auto"/>
        <w:ind w:firstLine="567"/>
        <w:jc w:val="both"/>
        <w:rPr>
          <w:sz w:val="22"/>
          <w:szCs w:val="22"/>
        </w:rPr>
      </w:pPr>
    </w:p>
    <w:p w14:paraId="4A4E8EE0" w14:textId="77777777" w:rsidR="0085729B" w:rsidRDefault="0085729B" w:rsidP="00F64821">
      <w:pPr>
        <w:spacing w:after="0" w:line="360" w:lineRule="auto"/>
        <w:jc w:val="both"/>
        <w:rPr>
          <w:sz w:val="22"/>
          <w:szCs w:val="22"/>
        </w:rPr>
      </w:pPr>
    </w:p>
    <w:p w14:paraId="2540C4B5" w14:textId="77777777" w:rsidR="0085729B" w:rsidRDefault="0085729B" w:rsidP="001D60C7">
      <w:pPr>
        <w:spacing w:after="0" w:line="360" w:lineRule="auto"/>
        <w:ind w:firstLine="567"/>
        <w:jc w:val="both"/>
        <w:rPr>
          <w:sz w:val="22"/>
          <w:szCs w:val="22"/>
        </w:rPr>
      </w:pPr>
    </w:p>
    <w:p w14:paraId="7CA1CDA2" w14:textId="3E6C966D" w:rsidR="00AC21C7" w:rsidRPr="00FF3825" w:rsidRDefault="006E3964" w:rsidP="00FF3825">
      <w:pPr>
        <w:pStyle w:val="Heading1"/>
        <w:spacing w:before="0" w:after="0"/>
        <w:rPr>
          <w:b/>
          <w:bCs/>
          <w:sz w:val="22"/>
          <w:szCs w:val="22"/>
        </w:rPr>
      </w:pPr>
      <w:bookmarkStart w:id="0" w:name="_Toc212805339"/>
      <w:r w:rsidRPr="00FF3825">
        <w:rPr>
          <w:b/>
          <w:bCs/>
          <w:sz w:val="22"/>
          <w:szCs w:val="22"/>
        </w:rPr>
        <w:lastRenderedPageBreak/>
        <w:t>Introduction</w:t>
      </w:r>
      <w:bookmarkEnd w:id="0"/>
    </w:p>
    <w:p w14:paraId="617AD5D1" w14:textId="359B03C1" w:rsidR="006E3964" w:rsidRDefault="005770EA" w:rsidP="001D60C7">
      <w:pPr>
        <w:spacing w:after="0" w:line="360" w:lineRule="auto"/>
        <w:ind w:firstLine="567"/>
        <w:jc w:val="both"/>
        <w:rPr>
          <w:rFonts w:ascii="Arial" w:hAnsi="Arial" w:cs="Arial"/>
          <w:sz w:val="22"/>
          <w:szCs w:val="22"/>
        </w:rPr>
      </w:pPr>
      <w:r w:rsidRPr="005770EA">
        <w:rPr>
          <w:rFonts w:ascii="Arial" w:hAnsi="Arial" w:cs="Arial"/>
          <w:sz w:val="22"/>
          <w:szCs w:val="22"/>
        </w:rPr>
        <w:t>The strategic expansion into Morocco by Elta Automotive Ltd. is characterised by a development of capabilities rather than a simple increase in geographic reach, according to this report's critical appraisal.  It looks at how the company's strategy for partnerships, data-driven management, and quality assurance turn operational control into global competitiveness.  Using tools like PESTEL, SWOT, Porter's Five Forces, and Competitor Benchmarking, the paper delves into how Elta's internal strengths interact with the market circumstances in Morocco.  Incorporating accuracy, flexibility, and trust into worldwide operations guarantees resilience and quantifiable long-term advantage, as shown by KPI Dashboard data (£10.37 million in sales, 52.2% profit, and 4.2/5 customer satisfaction).</w:t>
      </w:r>
    </w:p>
    <w:p w14:paraId="2C752AF0" w14:textId="77777777" w:rsidR="006E3964" w:rsidRDefault="006E3964" w:rsidP="001D60C7">
      <w:pPr>
        <w:spacing w:after="0" w:line="360" w:lineRule="auto"/>
        <w:ind w:firstLine="567"/>
        <w:jc w:val="both"/>
        <w:rPr>
          <w:rFonts w:ascii="Arial" w:hAnsi="Arial" w:cs="Arial"/>
          <w:sz w:val="22"/>
          <w:szCs w:val="22"/>
        </w:rPr>
      </w:pPr>
    </w:p>
    <w:p w14:paraId="753ACE78" w14:textId="77777777" w:rsidR="006E3964" w:rsidRDefault="006E3964" w:rsidP="001D60C7">
      <w:pPr>
        <w:spacing w:after="0" w:line="360" w:lineRule="auto"/>
        <w:ind w:firstLine="567"/>
        <w:jc w:val="both"/>
        <w:rPr>
          <w:rFonts w:ascii="Arial" w:hAnsi="Arial" w:cs="Arial"/>
          <w:sz w:val="22"/>
          <w:szCs w:val="22"/>
        </w:rPr>
      </w:pPr>
    </w:p>
    <w:p w14:paraId="31A92235" w14:textId="77777777" w:rsidR="006E3964" w:rsidRDefault="006E3964" w:rsidP="001D60C7">
      <w:pPr>
        <w:spacing w:after="0" w:line="360" w:lineRule="auto"/>
        <w:ind w:firstLine="567"/>
        <w:jc w:val="both"/>
        <w:rPr>
          <w:rFonts w:ascii="Arial" w:hAnsi="Arial" w:cs="Arial"/>
          <w:sz w:val="22"/>
          <w:szCs w:val="22"/>
        </w:rPr>
      </w:pPr>
    </w:p>
    <w:p w14:paraId="3D840AFC" w14:textId="77777777" w:rsidR="006E3964" w:rsidRDefault="006E3964" w:rsidP="001D60C7">
      <w:pPr>
        <w:spacing w:after="0" w:line="360" w:lineRule="auto"/>
        <w:ind w:firstLine="567"/>
        <w:jc w:val="both"/>
        <w:rPr>
          <w:rFonts w:ascii="Arial" w:hAnsi="Arial" w:cs="Arial"/>
          <w:sz w:val="22"/>
          <w:szCs w:val="22"/>
        </w:rPr>
      </w:pPr>
    </w:p>
    <w:p w14:paraId="3B176A74" w14:textId="77777777" w:rsidR="006E3964" w:rsidRDefault="006E3964" w:rsidP="001D60C7">
      <w:pPr>
        <w:spacing w:after="0" w:line="360" w:lineRule="auto"/>
        <w:ind w:firstLine="567"/>
        <w:jc w:val="both"/>
        <w:rPr>
          <w:rFonts w:ascii="Arial" w:hAnsi="Arial" w:cs="Arial"/>
          <w:sz w:val="22"/>
          <w:szCs w:val="22"/>
        </w:rPr>
      </w:pPr>
    </w:p>
    <w:p w14:paraId="3335BEA8" w14:textId="77777777" w:rsidR="006E3964" w:rsidRDefault="006E3964" w:rsidP="001D60C7">
      <w:pPr>
        <w:spacing w:after="0" w:line="360" w:lineRule="auto"/>
        <w:ind w:firstLine="567"/>
        <w:jc w:val="both"/>
        <w:rPr>
          <w:rFonts w:ascii="Arial" w:hAnsi="Arial" w:cs="Arial"/>
          <w:sz w:val="22"/>
          <w:szCs w:val="22"/>
        </w:rPr>
      </w:pPr>
    </w:p>
    <w:p w14:paraId="3CD70CAC" w14:textId="77777777" w:rsidR="006E3964" w:rsidRDefault="006E3964" w:rsidP="001D60C7">
      <w:pPr>
        <w:spacing w:after="0" w:line="360" w:lineRule="auto"/>
        <w:ind w:firstLine="567"/>
        <w:jc w:val="both"/>
        <w:rPr>
          <w:rFonts w:ascii="Arial" w:hAnsi="Arial" w:cs="Arial"/>
          <w:sz w:val="22"/>
          <w:szCs w:val="22"/>
        </w:rPr>
      </w:pPr>
    </w:p>
    <w:p w14:paraId="3192C272" w14:textId="77777777" w:rsidR="006E3964" w:rsidRDefault="006E3964" w:rsidP="001D60C7">
      <w:pPr>
        <w:spacing w:after="0" w:line="360" w:lineRule="auto"/>
        <w:ind w:firstLine="567"/>
        <w:jc w:val="both"/>
        <w:rPr>
          <w:rFonts w:ascii="Arial" w:hAnsi="Arial" w:cs="Arial"/>
          <w:sz w:val="22"/>
          <w:szCs w:val="22"/>
        </w:rPr>
      </w:pPr>
    </w:p>
    <w:p w14:paraId="67389310" w14:textId="77777777" w:rsidR="006E3964" w:rsidRDefault="006E3964" w:rsidP="001D60C7">
      <w:pPr>
        <w:spacing w:after="0" w:line="360" w:lineRule="auto"/>
        <w:ind w:firstLine="567"/>
        <w:jc w:val="both"/>
        <w:rPr>
          <w:rFonts w:ascii="Arial" w:hAnsi="Arial" w:cs="Arial"/>
          <w:sz w:val="22"/>
          <w:szCs w:val="22"/>
        </w:rPr>
      </w:pPr>
    </w:p>
    <w:p w14:paraId="332C819D" w14:textId="77777777" w:rsidR="006E3964" w:rsidRDefault="006E3964" w:rsidP="001D60C7">
      <w:pPr>
        <w:spacing w:after="0" w:line="360" w:lineRule="auto"/>
        <w:ind w:firstLine="567"/>
        <w:jc w:val="both"/>
        <w:rPr>
          <w:rFonts w:ascii="Arial" w:hAnsi="Arial" w:cs="Arial"/>
          <w:sz w:val="22"/>
          <w:szCs w:val="22"/>
        </w:rPr>
      </w:pPr>
    </w:p>
    <w:p w14:paraId="22D6F9F3" w14:textId="77777777" w:rsidR="006E3964" w:rsidRDefault="006E3964" w:rsidP="001D60C7">
      <w:pPr>
        <w:spacing w:after="0" w:line="360" w:lineRule="auto"/>
        <w:ind w:firstLine="567"/>
        <w:jc w:val="both"/>
        <w:rPr>
          <w:rFonts w:ascii="Arial" w:hAnsi="Arial" w:cs="Arial"/>
          <w:sz w:val="22"/>
          <w:szCs w:val="22"/>
        </w:rPr>
      </w:pPr>
    </w:p>
    <w:p w14:paraId="235A2953" w14:textId="77777777" w:rsidR="006E3964" w:rsidRPr="006E3964" w:rsidRDefault="006E3964" w:rsidP="001D60C7">
      <w:pPr>
        <w:spacing w:after="0" w:line="360" w:lineRule="auto"/>
        <w:ind w:firstLine="567"/>
        <w:jc w:val="both"/>
        <w:rPr>
          <w:rFonts w:ascii="Arial" w:hAnsi="Arial" w:cs="Arial"/>
          <w:sz w:val="22"/>
          <w:szCs w:val="22"/>
        </w:rPr>
      </w:pPr>
    </w:p>
    <w:p w14:paraId="4285C364" w14:textId="77777777" w:rsidR="004D44D2" w:rsidRDefault="004D44D2" w:rsidP="002F1463">
      <w:pPr>
        <w:spacing w:after="0" w:line="360" w:lineRule="auto"/>
        <w:jc w:val="both"/>
        <w:rPr>
          <w:sz w:val="22"/>
          <w:szCs w:val="22"/>
        </w:rPr>
      </w:pPr>
    </w:p>
    <w:p w14:paraId="5FAB290A" w14:textId="77777777" w:rsidR="002F1463" w:rsidRDefault="002F1463" w:rsidP="002F1463">
      <w:pPr>
        <w:spacing w:after="0" w:line="360" w:lineRule="auto"/>
        <w:jc w:val="both"/>
        <w:rPr>
          <w:rFonts w:ascii="Arial" w:hAnsi="Arial" w:cs="Arial"/>
          <w:b/>
          <w:bCs/>
          <w:sz w:val="22"/>
          <w:szCs w:val="22"/>
        </w:rPr>
      </w:pPr>
    </w:p>
    <w:p w14:paraId="0D58EEA9" w14:textId="77777777" w:rsidR="004D44D2" w:rsidRDefault="004D44D2" w:rsidP="001D60C7">
      <w:pPr>
        <w:spacing w:after="0" w:line="360" w:lineRule="auto"/>
        <w:ind w:firstLine="567"/>
        <w:jc w:val="both"/>
        <w:rPr>
          <w:rFonts w:ascii="Arial" w:hAnsi="Arial" w:cs="Arial"/>
          <w:b/>
          <w:bCs/>
          <w:sz w:val="22"/>
          <w:szCs w:val="22"/>
        </w:rPr>
      </w:pPr>
    </w:p>
    <w:p w14:paraId="63452FE5" w14:textId="77777777" w:rsidR="00137E1C" w:rsidRDefault="00137E1C" w:rsidP="001D60C7">
      <w:pPr>
        <w:spacing w:after="0" w:line="360" w:lineRule="auto"/>
        <w:ind w:firstLine="567"/>
        <w:jc w:val="both"/>
        <w:rPr>
          <w:rFonts w:ascii="Arial" w:hAnsi="Arial" w:cs="Arial"/>
          <w:b/>
          <w:bCs/>
          <w:sz w:val="22"/>
          <w:szCs w:val="22"/>
        </w:rPr>
      </w:pPr>
    </w:p>
    <w:p w14:paraId="1593FCAC" w14:textId="77777777" w:rsidR="00137E1C" w:rsidRDefault="00137E1C" w:rsidP="001D60C7">
      <w:pPr>
        <w:spacing w:after="0" w:line="360" w:lineRule="auto"/>
        <w:ind w:firstLine="567"/>
        <w:jc w:val="both"/>
        <w:rPr>
          <w:rFonts w:ascii="Arial" w:hAnsi="Arial" w:cs="Arial"/>
          <w:b/>
          <w:bCs/>
          <w:sz w:val="22"/>
          <w:szCs w:val="22"/>
        </w:rPr>
      </w:pPr>
    </w:p>
    <w:p w14:paraId="6389C99B" w14:textId="77777777" w:rsidR="00137E1C" w:rsidRDefault="00137E1C" w:rsidP="001D60C7">
      <w:pPr>
        <w:spacing w:after="0" w:line="360" w:lineRule="auto"/>
        <w:ind w:firstLine="567"/>
        <w:jc w:val="both"/>
        <w:rPr>
          <w:rFonts w:ascii="Arial" w:hAnsi="Arial" w:cs="Arial"/>
          <w:b/>
          <w:bCs/>
          <w:sz w:val="22"/>
          <w:szCs w:val="22"/>
        </w:rPr>
      </w:pPr>
    </w:p>
    <w:p w14:paraId="2F1D5A67" w14:textId="77777777" w:rsidR="00137E1C" w:rsidRDefault="00137E1C" w:rsidP="001D60C7">
      <w:pPr>
        <w:spacing w:after="0" w:line="360" w:lineRule="auto"/>
        <w:ind w:firstLine="567"/>
        <w:jc w:val="both"/>
        <w:rPr>
          <w:rFonts w:ascii="Arial" w:hAnsi="Arial" w:cs="Arial"/>
          <w:b/>
          <w:bCs/>
          <w:sz w:val="22"/>
          <w:szCs w:val="22"/>
        </w:rPr>
      </w:pPr>
    </w:p>
    <w:p w14:paraId="55418D53" w14:textId="77777777" w:rsidR="00080E0F" w:rsidRDefault="00080E0F" w:rsidP="001D60C7">
      <w:pPr>
        <w:spacing w:after="0" w:line="360" w:lineRule="auto"/>
        <w:ind w:firstLine="567"/>
        <w:jc w:val="both"/>
        <w:rPr>
          <w:rFonts w:ascii="Arial" w:hAnsi="Arial" w:cs="Arial"/>
          <w:b/>
          <w:bCs/>
          <w:sz w:val="22"/>
          <w:szCs w:val="22"/>
        </w:rPr>
      </w:pPr>
    </w:p>
    <w:p w14:paraId="3E69E932" w14:textId="77777777" w:rsidR="00080E0F" w:rsidRDefault="00080E0F" w:rsidP="001D60C7">
      <w:pPr>
        <w:spacing w:after="0" w:line="360" w:lineRule="auto"/>
        <w:ind w:firstLine="567"/>
        <w:jc w:val="both"/>
        <w:rPr>
          <w:rFonts w:ascii="Arial" w:hAnsi="Arial" w:cs="Arial"/>
          <w:b/>
          <w:bCs/>
          <w:sz w:val="22"/>
          <w:szCs w:val="22"/>
        </w:rPr>
      </w:pPr>
    </w:p>
    <w:p w14:paraId="7C4CA7F5" w14:textId="77777777" w:rsidR="00080E0F" w:rsidRDefault="00080E0F" w:rsidP="001D60C7">
      <w:pPr>
        <w:spacing w:after="0" w:line="360" w:lineRule="auto"/>
        <w:ind w:firstLine="567"/>
        <w:jc w:val="both"/>
        <w:rPr>
          <w:rFonts w:ascii="Arial" w:hAnsi="Arial" w:cs="Arial"/>
          <w:b/>
          <w:bCs/>
          <w:sz w:val="22"/>
          <w:szCs w:val="22"/>
        </w:rPr>
      </w:pPr>
    </w:p>
    <w:p w14:paraId="27A2B5FA" w14:textId="77777777" w:rsidR="00080E0F" w:rsidRDefault="00080E0F" w:rsidP="001D60C7">
      <w:pPr>
        <w:spacing w:after="0" w:line="360" w:lineRule="auto"/>
        <w:ind w:firstLine="567"/>
        <w:jc w:val="both"/>
        <w:rPr>
          <w:rFonts w:ascii="Arial" w:hAnsi="Arial" w:cs="Arial"/>
          <w:b/>
          <w:bCs/>
          <w:sz w:val="22"/>
          <w:szCs w:val="22"/>
        </w:rPr>
      </w:pPr>
    </w:p>
    <w:p w14:paraId="38BAAB1A" w14:textId="77777777" w:rsidR="00080E0F" w:rsidRDefault="00080E0F" w:rsidP="001D60C7">
      <w:pPr>
        <w:spacing w:after="0" w:line="360" w:lineRule="auto"/>
        <w:ind w:firstLine="567"/>
        <w:jc w:val="both"/>
        <w:rPr>
          <w:rFonts w:ascii="Arial" w:hAnsi="Arial" w:cs="Arial"/>
          <w:b/>
          <w:bCs/>
          <w:sz w:val="22"/>
          <w:szCs w:val="22"/>
        </w:rPr>
      </w:pPr>
    </w:p>
    <w:p w14:paraId="58AA727B" w14:textId="77777777" w:rsidR="00080E0F" w:rsidRDefault="00080E0F" w:rsidP="001D60C7">
      <w:pPr>
        <w:spacing w:after="0" w:line="360" w:lineRule="auto"/>
        <w:ind w:firstLine="567"/>
        <w:jc w:val="both"/>
        <w:rPr>
          <w:rFonts w:ascii="Arial" w:hAnsi="Arial" w:cs="Arial"/>
          <w:b/>
          <w:bCs/>
          <w:sz w:val="22"/>
          <w:szCs w:val="22"/>
        </w:rPr>
      </w:pPr>
    </w:p>
    <w:p w14:paraId="273322C5" w14:textId="77777777" w:rsidR="00080E0F" w:rsidRDefault="00080E0F" w:rsidP="00BB2049">
      <w:pPr>
        <w:spacing w:after="0" w:line="360" w:lineRule="auto"/>
        <w:jc w:val="both"/>
        <w:rPr>
          <w:rFonts w:ascii="Arial" w:hAnsi="Arial" w:cs="Arial"/>
          <w:b/>
          <w:bCs/>
          <w:sz w:val="22"/>
          <w:szCs w:val="22"/>
        </w:rPr>
      </w:pPr>
    </w:p>
    <w:p w14:paraId="698D3D05" w14:textId="77777777" w:rsidR="005770EA" w:rsidRDefault="005770EA" w:rsidP="00BB2049">
      <w:pPr>
        <w:spacing w:after="0" w:line="360" w:lineRule="auto"/>
        <w:jc w:val="both"/>
        <w:rPr>
          <w:rFonts w:ascii="Arial" w:hAnsi="Arial" w:cs="Arial"/>
          <w:b/>
          <w:bCs/>
          <w:sz w:val="22"/>
          <w:szCs w:val="22"/>
        </w:rPr>
      </w:pPr>
    </w:p>
    <w:p w14:paraId="28A11F0B" w14:textId="5D7247A9" w:rsidR="00080E0F" w:rsidRPr="00FF3825" w:rsidRDefault="00BE288E" w:rsidP="00FF3825">
      <w:pPr>
        <w:pStyle w:val="Heading1"/>
        <w:spacing w:before="0" w:after="0"/>
        <w:rPr>
          <w:b/>
          <w:bCs/>
          <w:sz w:val="22"/>
          <w:szCs w:val="22"/>
        </w:rPr>
      </w:pPr>
      <w:bookmarkStart w:id="1" w:name="_Toc212805340"/>
      <w:r w:rsidRPr="00FF3825">
        <w:rPr>
          <w:b/>
          <w:bCs/>
          <w:sz w:val="22"/>
          <w:szCs w:val="22"/>
        </w:rPr>
        <w:lastRenderedPageBreak/>
        <w:t xml:space="preserve">1. </w:t>
      </w:r>
      <w:r w:rsidR="00F97DBE" w:rsidRPr="00FF3825">
        <w:rPr>
          <w:b/>
          <w:bCs/>
          <w:sz w:val="22"/>
          <w:szCs w:val="22"/>
        </w:rPr>
        <w:t>Selection of Organisation and Target Market</w:t>
      </w:r>
      <w:bookmarkEnd w:id="1"/>
    </w:p>
    <w:p w14:paraId="3051C9FA" w14:textId="117FDE7C" w:rsidR="00C34345" w:rsidRPr="00C34345" w:rsidRDefault="003A6772" w:rsidP="00BE288E">
      <w:pPr>
        <w:spacing w:after="0" w:line="360" w:lineRule="auto"/>
        <w:ind w:firstLine="567"/>
        <w:jc w:val="both"/>
        <w:rPr>
          <w:rFonts w:ascii="Arial" w:hAnsi="Arial" w:cs="Arial"/>
          <w:sz w:val="22"/>
          <w:szCs w:val="22"/>
        </w:rPr>
      </w:pPr>
      <w:r w:rsidRPr="003A6772">
        <w:rPr>
          <w:rFonts w:ascii="Arial" w:hAnsi="Arial" w:cs="Arial"/>
          <w:sz w:val="22"/>
          <w:szCs w:val="22"/>
        </w:rPr>
        <w:t xml:space="preserve">The expansion into Morocco by Elta Automotive Ltd is more of a strategic continuation of a successful competitive pattern than a sign of genuine regional interest.  The business operates in the competitive European aftermarket for car components, where confidence in the network, reputation, and dependability of the product </w:t>
      </w:r>
      <w:r w:rsidR="00CF2DE3" w:rsidRPr="003A6772">
        <w:rPr>
          <w:rFonts w:ascii="Arial" w:hAnsi="Arial" w:cs="Arial"/>
          <w:sz w:val="22"/>
          <w:szCs w:val="22"/>
        </w:rPr>
        <w:t>is</w:t>
      </w:r>
      <w:r w:rsidRPr="003A6772">
        <w:rPr>
          <w:rFonts w:ascii="Arial" w:hAnsi="Arial" w:cs="Arial"/>
          <w:sz w:val="22"/>
          <w:szCs w:val="22"/>
        </w:rPr>
        <w:t xml:space="preserve"> more important than features for determining profit.  Elta, which began operations in 1993 in Coleshill, UK, supplies independent motor factors and international purchasing groups with over 10,000 stock-keeping devices sold under the VXPRO and VISIONPRO brands (Elta Automotive, 2024).  Look for Elta and Key Competitors in Table 1. That provides Elta a solid technological background, but the company's real strength is more complex: it has perfected the process of converting complex supply systems into smooth client experiences.</w:t>
      </w:r>
    </w:p>
    <w:p w14:paraId="3D1FD859" w14:textId="77777777" w:rsidR="00296D55" w:rsidRPr="00200681" w:rsidRDefault="00296D55" w:rsidP="00296D55">
      <w:pPr>
        <w:spacing w:after="0" w:line="360" w:lineRule="auto"/>
        <w:jc w:val="both"/>
        <w:rPr>
          <w:rFonts w:ascii="Arial" w:hAnsi="Arial" w:cs="Arial"/>
          <w:b/>
          <w:bCs/>
          <w:sz w:val="16"/>
          <w:szCs w:val="16"/>
        </w:rPr>
      </w:pPr>
    </w:p>
    <w:p w14:paraId="5FFCDB29" w14:textId="74F1CF90" w:rsidR="00296D55" w:rsidRPr="00200681" w:rsidRDefault="00C64FFC" w:rsidP="00200681">
      <w:pPr>
        <w:spacing w:after="0" w:line="360" w:lineRule="auto"/>
        <w:jc w:val="center"/>
        <w:rPr>
          <w:rFonts w:ascii="Arial" w:hAnsi="Arial" w:cs="Arial"/>
          <w:sz w:val="20"/>
          <w:szCs w:val="20"/>
        </w:rPr>
      </w:pPr>
      <w:r>
        <w:rPr>
          <w:rFonts w:ascii="Arial" w:hAnsi="Arial" w:cs="Arial"/>
          <w:sz w:val="20"/>
          <w:szCs w:val="20"/>
        </w:rPr>
        <w:t>Table</w:t>
      </w:r>
      <w:r w:rsidR="00CF2DE3" w:rsidRPr="00CF2DE3">
        <w:rPr>
          <w:rFonts w:ascii="Arial" w:hAnsi="Arial" w:cs="Arial"/>
          <w:sz w:val="20"/>
          <w:szCs w:val="20"/>
        </w:rPr>
        <w:t xml:space="preserve"> 1. Elta and Key Competitors in Aftermarket Electricals</w:t>
      </w:r>
    </w:p>
    <w:p w14:paraId="332B14C5" w14:textId="14C43171" w:rsidR="00296D55" w:rsidRPr="00C64FFC" w:rsidRDefault="00C13744" w:rsidP="00C64FFC">
      <w:pPr>
        <w:spacing w:after="0" w:line="360" w:lineRule="auto"/>
        <w:jc w:val="center"/>
        <w:rPr>
          <w:rFonts w:ascii="Arial" w:hAnsi="Arial" w:cs="Arial"/>
          <w:sz w:val="22"/>
          <w:szCs w:val="22"/>
        </w:rPr>
      </w:pPr>
      <w:r w:rsidRPr="00C13744">
        <w:rPr>
          <w:rFonts w:ascii="Arial" w:hAnsi="Arial" w:cs="Arial"/>
          <w:noProof/>
          <w:sz w:val="22"/>
          <w:szCs w:val="22"/>
        </w:rPr>
        <w:drawing>
          <wp:inline distT="0" distB="0" distL="0" distR="0" wp14:anchorId="45A97CA4" wp14:editId="4C4EF775">
            <wp:extent cx="5731510" cy="2061210"/>
            <wp:effectExtent l="0" t="0" r="2540" b="0"/>
            <wp:docPr id="1320820348" name="Picture 1"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820348" name="Picture 1" descr="A white table with black text&#10;&#10;AI-generated content may be incorrect."/>
                    <pic:cNvPicPr/>
                  </pic:nvPicPr>
                  <pic:blipFill>
                    <a:blip r:embed="rId9"/>
                    <a:stretch>
                      <a:fillRect/>
                    </a:stretch>
                  </pic:blipFill>
                  <pic:spPr>
                    <a:xfrm>
                      <a:off x="0" y="0"/>
                      <a:ext cx="5731510" cy="2061210"/>
                    </a:xfrm>
                    <a:prstGeom prst="rect">
                      <a:avLst/>
                    </a:prstGeom>
                  </pic:spPr>
                </pic:pic>
              </a:graphicData>
            </a:graphic>
          </wp:inline>
        </w:drawing>
      </w:r>
    </w:p>
    <w:p w14:paraId="2B204AB9" w14:textId="129D00FC" w:rsidR="00296D55" w:rsidRPr="00707D0D" w:rsidRDefault="00707D0D" w:rsidP="00707D0D">
      <w:pPr>
        <w:spacing w:after="0" w:line="360" w:lineRule="auto"/>
        <w:jc w:val="center"/>
        <w:rPr>
          <w:rFonts w:ascii="Arial" w:hAnsi="Arial" w:cs="Arial"/>
          <w:i/>
          <w:iCs/>
          <w:sz w:val="22"/>
          <w:szCs w:val="22"/>
        </w:rPr>
      </w:pPr>
      <w:r w:rsidRPr="00707D0D">
        <w:rPr>
          <w:rFonts w:ascii="Arial" w:hAnsi="Arial" w:cs="Arial"/>
          <w:i/>
          <w:iCs/>
          <w:sz w:val="20"/>
          <w:szCs w:val="20"/>
        </w:rPr>
        <w:t>(Source: Created by Author - Company websites, 2024)</w:t>
      </w:r>
    </w:p>
    <w:p w14:paraId="66A8A9E4" w14:textId="77777777" w:rsidR="00296D55" w:rsidRPr="00B50926" w:rsidRDefault="00296D55" w:rsidP="00296D55">
      <w:pPr>
        <w:spacing w:after="0" w:line="360" w:lineRule="auto"/>
        <w:jc w:val="both"/>
        <w:rPr>
          <w:rFonts w:ascii="Arial" w:hAnsi="Arial" w:cs="Arial"/>
          <w:sz w:val="16"/>
          <w:szCs w:val="16"/>
        </w:rPr>
      </w:pPr>
    </w:p>
    <w:p w14:paraId="31D593CE" w14:textId="6C05BDCC" w:rsidR="00296D55" w:rsidRPr="00FF3825" w:rsidRDefault="009A01D1" w:rsidP="00FF3825">
      <w:pPr>
        <w:pStyle w:val="Heading1"/>
        <w:spacing w:before="0" w:after="0"/>
        <w:rPr>
          <w:b/>
          <w:bCs/>
          <w:sz w:val="22"/>
          <w:szCs w:val="22"/>
        </w:rPr>
      </w:pPr>
      <w:bookmarkStart w:id="2" w:name="_Toc212805341"/>
      <w:r w:rsidRPr="00FF3825">
        <w:rPr>
          <w:b/>
          <w:bCs/>
          <w:sz w:val="22"/>
          <w:szCs w:val="22"/>
        </w:rPr>
        <w:t xml:space="preserve">1.1. </w:t>
      </w:r>
      <w:r w:rsidR="00B50926" w:rsidRPr="00FF3825">
        <w:rPr>
          <w:b/>
          <w:bCs/>
          <w:sz w:val="22"/>
          <w:szCs w:val="22"/>
        </w:rPr>
        <w:t>Market size and growth potential</w:t>
      </w:r>
      <w:bookmarkEnd w:id="2"/>
    </w:p>
    <w:p w14:paraId="0BAF11ED" w14:textId="77777777" w:rsidR="0006645E" w:rsidRPr="0006645E" w:rsidRDefault="0006645E" w:rsidP="0006645E">
      <w:pPr>
        <w:spacing w:after="0" w:line="360" w:lineRule="auto"/>
        <w:jc w:val="both"/>
        <w:rPr>
          <w:rFonts w:ascii="Arial" w:hAnsi="Arial" w:cs="Arial"/>
          <w:sz w:val="22"/>
          <w:szCs w:val="22"/>
        </w:rPr>
      </w:pPr>
      <w:r w:rsidRPr="0006645E">
        <w:rPr>
          <w:rFonts w:ascii="Arial" w:hAnsi="Arial" w:cs="Arial"/>
          <w:sz w:val="22"/>
          <w:szCs w:val="22"/>
        </w:rPr>
        <w:t xml:space="preserve">This competence is strategically important because in developing economies, people rely more on how reliable a brand is than on how familiar the brand is.  Only in the presence of scarce and well-organised internal resources can an advantage grow over time, as highlighted out by Hitt, Ireland, and </w:t>
      </w:r>
      <w:proofErr w:type="spellStart"/>
      <w:r w:rsidRPr="0006645E">
        <w:rPr>
          <w:rFonts w:ascii="Arial" w:hAnsi="Arial" w:cs="Arial"/>
          <w:sz w:val="22"/>
          <w:szCs w:val="22"/>
        </w:rPr>
        <w:t>Hoskisson</w:t>
      </w:r>
      <w:proofErr w:type="spellEnd"/>
      <w:r w:rsidRPr="0006645E">
        <w:rPr>
          <w:rFonts w:ascii="Arial" w:hAnsi="Arial" w:cs="Arial"/>
          <w:sz w:val="22"/>
          <w:szCs w:val="22"/>
        </w:rPr>
        <w:t xml:space="preserve"> (2024).  Elta's product managers show end-to-end control by conducting quality audits at partner manufacturers twice a year and giving certification reports.  This kind of checking is more than just covered tape; it turns imprecise assurances into measurable outcomes.  The foundation of persistent advantage, according to Barney (1991), are valuable and difficult-to-imitate qualities.  These audits represent Elta's trust and knowledge that a newbie would not be able to immediately imitate.  As they expand outside their home base, they establish a strong and defendable brand centred on reliable quality at affordable prices.</w:t>
      </w:r>
    </w:p>
    <w:p w14:paraId="564F791A" w14:textId="77777777" w:rsidR="0006645E" w:rsidRPr="0006645E" w:rsidRDefault="0006645E" w:rsidP="0006645E">
      <w:pPr>
        <w:spacing w:after="0" w:line="360" w:lineRule="auto"/>
        <w:jc w:val="both"/>
        <w:rPr>
          <w:rFonts w:ascii="Arial" w:hAnsi="Arial" w:cs="Arial"/>
          <w:sz w:val="22"/>
          <w:szCs w:val="22"/>
        </w:rPr>
      </w:pPr>
    </w:p>
    <w:p w14:paraId="13A76E4D" w14:textId="417C3C7F" w:rsidR="00743801" w:rsidRDefault="0006645E" w:rsidP="0006645E">
      <w:pPr>
        <w:spacing w:after="0" w:line="360" w:lineRule="auto"/>
        <w:jc w:val="both"/>
        <w:rPr>
          <w:rFonts w:ascii="Arial" w:hAnsi="Arial" w:cs="Arial"/>
          <w:sz w:val="22"/>
          <w:szCs w:val="22"/>
        </w:rPr>
      </w:pPr>
      <w:r w:rsidRPr="0006645E">
        <w:rPr>
          <w:rFonts w:ascii="Arial" w:hAnsi="Arial" w:cs="Arial"/>
          <w:sz w:val="22"/>
          <w:szCs w:val="22"/>
        </w:rPr>
        <w:lastRenderedPageBreak/>
        <w:t xml:space="preserve"> What sets Morocco apart from other export destinations is its relationship-based reliability.  Imports of motor-vehicle parts and accessories under code HS 8708 increased from USD 406 million in 2020 to over USD 1.2 billion in 2024, indicating a fast-growing automotive aftermarket in the nation (UN Comtrade, 2025).  To facilitate precise comparison of import-export statistics, tariff analysis, and competitive assessment across worldwide markets, HS 8708 is used as the Harmonised System commodity code for automobile parts and accessories. This code standardises global trade categorisation.  An indicator of aftermarket vitality is HS 8708, the global categorisation for all significant vehicle parts other than tractors.  Figure 1 shows the worldwide automobile network, and the doubling of its value indicates both increased demand and integration into this network.  Therefore, rather than being cyclical, Morocco's development is structural</w:t>
      </w:r>
      <w:r w:rsidR="00F05F1F">
        <w:rPr>
          <w:rFonts w:ascii="Arial" w:hAnsi="Arial" w:cs="Arial"/>
          <w:sz w:val="22"/>
          <w:szCs w:val="22"/>
        </w:rPr>
        <w:t xml:space="preserve"> </w:t>
      </w:r>
      <w:r w:rsidR="00215DB5">
        <w:rPr>
          <w:rFonts w:ascii="Arial" w:hAnsi="Arial" w:cs="Arial"/>
          <w:sz w:val="22"/>
          <w:szCs w:val="22"/>
        </w:rPr>
        <w:t>visible in figure 2</w:t>
      </w:r>
      <w:r w:rsidRPr="0006645E">
        <w:rPr>
          <w:rFonts w:ascii="Arial" w:hAnsi="Arial" w:cs="Arial"/>
          <w:sz w:val="22"/>
          <w:szCs w:val="22"/>
        </w:rPr>
        <w:t>, and the country's economy is now part of the supply chains that feed Europe.  It is vital to note that difference:  Where there is existing logistical maturity and demand complexity, Elta's competitive advantage grows.</w:t>
      </w:r>
    </w:p>
    <w:p w14:paraId="67620872" w14:textId="77777777" w:rsidR="00215DB5" w:rsidRPr="00027382" w:rsidRDefault="00215DB5" w:rsidP="0006645E">
      <w:pPr>
        <w:spacing w:after="0" w:line="360" w:lineRule="auto"/>
        <w:jc w:val="both"/>
        <w:rPr>
          <w:rFonts w:ascii="Arial" w:hAnsi="Arial" w:cs="Arial"/>
          <w:sz w:val="16"/>
          <w:szCs w:val="16"/>
        </w:rPr>
      </w:pPr>
    </w:p>
    <w:p w14:paraId="06F6B298" w14:textId="45EA44B1" w:rsidR="009638A8" w:rsidRPr="00027382" w:rsidRDefault="00027382" w:rsidP="00027382">
      <w:pPr>
        <w:spacing w:after="0" w:line="360" w:lineRule="auto"/>
        <w:jc w:val="center"/>
        <w:rPr>
          <w:rFonts w:ascii="Arial" w:hAnsi="Arial" w:cs="Arial"/>
          <w:sz w:val="20"/>
          <w:szCs w:val="20"/>
        </w:rPr>
      </w:pPr>
      <w:r w:rsidRPr="00027382">
        <w:rPr>
          <w:rFonts w:ascii="Arial" w:hAnsi="Arial" w:cs="Arial"/>
          <w:sz w:val="20"/>
          <w:szCs w:val="20"/>
        </w:rPr>
        <w:t>Figure 1. Comparative Growth in HS 8708 Automotive Parts Imports (2020–2024)</w:t>
      </w:r>
    </w:p>
    <w:p w14:paraId="22930EB8" w14:textId="00C064FB" w:rsidR="009638A8" w:rsidRDefault="009638A8" w:rsidP="009638A8">
      <w:pPr>
        <w:spacing w:after="0" w:line="360" w:lineRule="auto"/>
        <w:jc w:val="center"/>
        <w:rPr>
          <w:rFonts w:ascii="Arial" w:hAnsi="Arial" w:cs="Arial"/>
          <w:sz w:val="22"/>
          <w:szCs w:val="22"/>
        </w:rPr>
      </w:pPr>
      <w:r w:rsidRPr="007C01C9">
        <w:rPr>
          <w:rFonts w:ascii="Arial" w:hAnsi="Arial" w:cs="Arial"/>
          <w:b/>
          <w:bCs/>
          <w:noProof/>
          <w:sz w:val="22"/>
          <w:szCs w:val="22"/>
        </w:rPr>
        <w:drawing>
          <wp:inline distT="0" distB="0" distL="0" distR="0" wp14:anchorId="6FEEB2AB" wp14:editId="4982BE59">
            <wp:extent cx="5470578" cy="2481943"/>
            <wp:effectExtent l="0" t="0" r="0" b="0"/>
            <wp:docPr id="127680172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93911" name="Picture 1" descr="A screenshot of a graph&#10;&#10;AI-generated content may be incorrect."/>
                    <pic:cNvPicPr/>
                  </pic:nvPicPr>
                  <pic:blipFill>
                    <a:blip r:embed="rId10"/>
                    <a:stretch>
                      <a:fillRect/>
                    </a:stretch>
                  </pic:blipFill>
                  <pic:spPr>
                    <a:xfrm>
                      <a:off x="0" y="0"/>
                      <a:ext cx="5494563" cy="2492825"/>
                    </a:xfrm>
                    <a:prstGeom prst="rect">
                      <a:avLst/>
                    </a:prstGeom>
                  </pic:spPr>
                </pic:pic>
              </a:graphicData>
            </a:graphic>
          </wp:inline>
        </w:drawing>
      </w:r>
    </w:p>
    <w:p w14:paraId="3AE79D33" w14:textId="127EC5F2" w:rsidR="00215DB5" w:rsidRPr="00027382" w:rsidRDefault="00027382" w:rsidP="00027382">
      <w:pPr>
        <w:spacing w:after="0" w:line="360" w:lineRule="auto"/>
        <w:jc w:val="center"/>
        <w:rPr>
          <w:rFonts w:ascii="Arial" w:hAnsi="Arial" w:cs="Arial"/>
          <w:i/>
          <w:iCs/>
          <w:sz w:val="20"/>
          <w:szCs w:val="20"/>
        </w:rPr>
      </w:pPr>
      <w:r w:rsidRPr="00027382">
        <w:rPr>
          <w:rFonts w:ascii="Arial" w:hAnsi="Arial" w:cs="Arial"/>
          <w:i/>
          <w:iCs/>
          <w:sz w:val="20"/>
          <w:szCs w:val="20"/>
        </w:rPr>
        <w:t>(Source: Created by author from comtradeplus.un.org)</w:t>
      </w:r>
    </w:p>
    <w:p w14:paraId="5B189472" w14:textId="77777777" w:rsidR="00215DB5" w:rsidRPr="00397998" w:rsidRDefault="00215DB5" w:rsidP="00397998">
      <w:pPr>
        <w:spacing w:after="0" w:line="360" w:lineRule="auto"/>
        <w:ind w:firstLine="567"/>
        <w:jc w:val="both"/>
        <w:rPr>
          <w:rFonts w:ascii="Arial" w:hAnsi="Arial" w:cs="Arial"/>
          <w:sz w:val="16"/>
          <w:szCs w:val="16"/>
        </w:rPr>
      </w:pPr>
    </w:p>
    <w:p w14:paraId="6ECA2CF8" w14:textId="4A3BB288" w:rsidR="00296D55" w:rsidRDefault="00397998" w:rsidP="00397998">
      <w:pPr>
        <w:spacing w:after="0" w:line="360" w:lineRule="auto"/>
        <w:ind w:firstLine="567"/>
        <w:jc w:val="both"/>
        <w:rPr>
          <w:rFonts w:ascii="Arial" w:hAnsi="Arial" w:cs="Arial"/>
          <w:sz w:val="22"/>
          <w:szCs w:val="22"/>
        </w:rPr>
      </w:pPr>
      <w:r w:rsidRPr="00397998">
        <w:rPr>
          <w:rFonts w:ascii="Arial" w:hAnsi="Arial" w:cs="Arial"/>
          <w:sz w:val="22"/>
          <w:szCs w:val="22"/>
        </w:rPr>
        <w:t>Figure 1 contrasts African HS 8708 import performance, whereas Figure 2 shows Morocco's significant rising trend, confirming its year-on-year rise as the region's largest importer.</w:t>
      </w:r>
    </w:p>
    <w:p w14:paraId="4DEA3400" w14:textId="77777777" w:rsidR="00397998" w:rsidRDefault="00397998" w:rsidP="00397998">
      <w:pPr>
        <w:spacing w:after="0" w:line="360" w:lineRule="auto"/>
        <w:ind w:firstLine="567"/>
        <w:jc w:val="both"/>
        <w:rPr>
          <w:rFonts w:ascii="Arial" w:hAnsi="Arial" w:cs="Arial"/>
          <w:sz w:val="16"/>
          <w:szCs w:val="16"/>
        </w:rPr>
      </w:pPr>
    </w:p>
    <w:p w14:paraId="593EE9A7" w14:textId="77777777" w:rsidR="00397998" w:rsidRDefault="00397998" w:rsidP="00397998">
      <w:pPr>
        <w:spacing w:after="0" w:line="360" w:lineRule="auto"/>
        <w:ind w:firstLine="567"/>
        <w:jc w:val="both"/>
        <w:rPr>
          <w:rFonts w:ascii="Arial" w:hAnsi="Arial" w:cs="Arial"/>
          <w:sz w:val="16"/>
          <w:szCs w:val="16"/>
        </w:rPr>
      </w:pPr>
    </w:p>
    <w:p w14:paraId="72EE5980" w14:textId="77777777" w:rsidR="00397998" w:rsidRDefault="00397998" w:rsidP="00397998">
      <w:pPr>
        <w:spacing w:after="0" w:line="360" w:lineRule="auto"/>
        <w:ind w:firstLine="567"/>
        <w:jc w:val="both"/>
        <w:rPr>
          <w:rFonts w:ascii="Arial" w:hAnsi="Arial" w:cs="Arial"/>
          <w:sz w:val="16"/>
          <w:szCs w:val="16"/>
        </w:rPr>
      </w:pPr>
    </w:p>
    <w:p w14:paraId="54B40E1B" w14:textId="77777777" w:rsidR="00397998" w:rsidRDefault="00397998" w:rsidP="00397998">
      <w:pPr>
        <w:spacing w:after="0" w:line="360" w:lineRule="auto"/>
        <w:ind w:firstLine="567"/>
        <w:jc w:val="both"/>
        <w:rPr>
          <w:rFonts w:ascii="Arial" w:hAnsi="Arial" w:cs="Arial"/>
          <w:sz w:val="16"/>
          <w:szCs w:val="16"/>
        </w:rPr>
      </w:pPr>
    </w:p>
    <w:p w14:paraId="57F85311" w14:textId="77777777" w:rsidR="00397998" w:rsidRDefault="00397998" w:rsidP="00397998">
      <w:pPr>
        <w:spacing w:after="0" w:line="360" w:lineRule="auto"/>
        <w:ind w:firstLine="567"/>
        <w:jc w:val="both"/>
        <w:rPr>
          <w:rFonts w:ascii="Arial" w:hAnsi="Arial" w:cs="Arial"/>
          <w:sz w:val="16"/>
          <w:szCs w:val="16"/>
        </w:rPr>
      </w:pPr>
    </w:p>
    <w:p w14:paraId="0C320DD4" w14:textId="77777777" w:rsidR="00397998" w:rsidRDefault="00397998" w:rsidP="00397998">
      <w:pPr>
        <w:spacing w:after="0" w:line="360" w:lineRule="auto"/>
        <w:ind w:firstLine="567"/>
        <w:jc w:val="both"/>
        <w:rPr>
          <w:rFonts w:ascii="Arial" w:hAnsi="Arial" w:cs="Arial"/>
          <w:sz w:val="16"/>
          <w:szCs w:val="16"/>
        </w:rPr>
      </w:pPr>
    </w:p>
    <w:p w14:paraId="4E417D57" w14:textId="77777777" w:rsidR="00397998" w:rsidRDefault="00397998" w:rsidP="00397998">
      <w:pPr>
        <w:spacing w:after="0" w:line="360" w:lineRule="auto"/>
        <w:ind w:firstLine="567"/>
        <w:jc w:val="both"/>
        <w:rPr>
          <w:rFonts w:ascii="Arial" w:hAnsi="Arial" w:cs="Arial"/>
          <w:sz w:val="16"/>
          <w:szCs w:val="16"/>
        </w:rPr>
      </w:pPr>
    </w:p>
    <w:p w14:paraId="5B4CE7AB" w14:textId="77777777" w:rsidR="00397998" w:rsidRDefault="00397998" w:rsidP="00397998">
      <w:pPr>
        <w:spacing w:after="0" w:line="360" w:lineRule="auto"/>
        <w:ind w:firstLine="567"/>
        <w:jc w:val="both"/>
        <w:rPr>
          <w:rFonts w:ascii="Arial" w:hAnsi="Arial" w:cs="Arial"/>
          <w:sz w:val="16"/>
          <w:szCs w:val="16"/>
        </w:rPr>
      </w:pPr>
    </w:p>
    <w:p w14:paraId="7E4A34CF" w14:textId="77777777" w:rsidR="00397998" w:rsidRPr="00397998" w:rsidRDefault="00397998" w:rsidP="00397998">
      <w:pPr>
        <w:spacing w:after="0" w:line="360" w:lineRule="auto"/>
        <w:ind w:firstLine="567"/>
        <w:jc w:val="both"/>
        <w:rPr>
          <w:rFonts w:ascii="Arial" w:hAnsi="Arial" w:cs="Arial"/>
          <w:sz w:val="16"/>
          <w:szCs w:val="16"/>
        </w:rPr>
      </w:pPr>
    </w:p>
    <w:p w14:paraId="610180DE" w14:textId="3DFC4574" w:rsidR="001C5905" w:rsidRDefault="001C5905" w:rsidP="001C5905">
      <w:pPr>
        <w:spacing w:after="0" w:line="360" w:lineRule="auto"/>
        <w:jc w:val="center"/>
        <w:rPr>
          <w:rFonts w:ascii="Arial" w:hAnsi="Arial" w:cs="Arial"/>
          <w:sz w:val="20"/>
          <w:szCs w:val="20"/>
        </w:rPr>
      </w:pPr>
      <w:r w:rsidRPr="001C5905">
        <w:rPr>
          <w:rFonts w:ascii="Arial" w:hAnsi="Arial" w:cs="Arial"/>
          <w:sz w:val="20"/>
          <w:szCs w:val="20"/>
        </w:rPr>
        <w:lastRenderedPageBreak/>
        <w:t xml:space="preserve">Figure </w:t>
      </w:r>
      <w:r w:rsidR="009638A8">
        <w:rPr>
          <w:rFonts w:ascii="Arial" w:hAnsi="Arial" w:cs="Arial"/>
          <w:sz w:val="20"/>
          <w:szCs w:val="20"/>
        </w:rPr>
        <w:t>2</w:t>
      </w:r>
      <w:r w:rsidRPr="001C5905">
        <w:rPr>
          <w:rFonts w:ascii="Arial" w:hAnsi="Arial" w:cs="Arial"/>
          <w:sz w:val="20"/>
          <w:szCs w:val="20"/>
        </w:rPr>
        <w:t>. Morocco HS 8708 Imports 2020 vs 2024 (USD million)</w:t>
      </w:r>
    </w:p>
    <w:p w14:paraId="6B1A0CE1" w14:textId="3901B109" w:rsidR="001C5905" w:rsidRPr="001C5905" w:rsidRDefault="008E7AD1" w:rsidP="001C5905">
      <w:pPr>
        <w:spacing w:after="0" w:line="360" w:lineRule="auto"/>
        <w:jc w:val="center"/>
        <w:rPr>
          <w:rFonts w:ascii="Arial" w:hAnsi="Arial" w:cs="Arial"/>
          <w:sz w:val="20"/>
          <w:szCs w:val="20"/>
        </w:rPr>
      </w:pPr>
      <w:r>
        <w:rPr>
          <w:noProof/>
        </w:rPr>
        <w:drawing>
          <wp:inline distT="0" distB="0" distL="0" distR="0" wp14:anchorId="10F1716D" wp14:editId="40D8AD83">
            <wp:extent cx="4649190" cy="2309750"/>
            <wp:effectExtent l="0" t="0" r="18415" b="14605"/>
            <wp:docPr id="2050337267" name="Chart 1">
              <a:extLst xmlns:a="http://schemas.openxmlformats.org/drawingml/2006/main">
                <a:ext uri="{FF2B5EF4-FFF2-40B4-BE49-F238E27FC236}">
                  <a16:creationId xmlns:a16="http://schemas.microsoft.com/office/drawing/2014/main" id="{B892BC1B-704D-FCFA-0B62-9F1564EA4C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3EBDEE" w14:textId="52E17B07" w:rsidR="00296D55" w:rsidRDefault="004233DB" w:rsidP="004233DB">
      <w:pPr>
        <w:spacing w:after="0" w:line="360" w:lineRule="auto"/>
        <w:jc w:val="center"/>
        <w:rPr>
          <w:rFonts w:ascii="Arial" w:hAnsi="Arial" w:cs="Arial"/>
          <w:i/>
          <w:iCs/>
          <w:sz w:val="20"/>
          <w:szCs w:val="20"/>
        </w:rPr>
      </w:pPr>
      <w:r w:rsidRPr="004233DB">
        <w:rPr>
          <w:rFonts w:ascii="Arial" w:hAnsi="Arial" w:cs="Arial"/>
          <w:i/>
          <w:iCs/>
          <w:sz w:val="20"/>
          <w:szCs w:val="20"/>
        </w:rPr>
        <w:t>(Source: created by author: UN Comtrade, 2025)</w:t>
      </w:r>
    </w:p>
    <w:p w14:paraId="1C3BAE8E" w14:textId="77777777" w:rsidR="009B3517" w:rsidRPr="009B3517" w:rsidRDefault="009B3517" w:rsidP="004233DB">
      <w:pPr>
        <w:spacing w:after="0" w:line="360" w:lineRule="auto"/>
        <w:jc w:val="center"/>
        <w:rPr>
          <w:rFonts w:ascii="Arial" w:hAnsi="Arial" w:cs="Arial"/>
          <w:sz w:val="16"/>
          <w:szCs w:val="16"/>
        </w:rPr>
      </w:pPr>
    </w:p>
    <w:p w14:paraId="20CCC9F0" w14:textId="089CFF81" w:rsidR="006C5794" w:rsidRPr="009B3517" w:rsidRDefault="009B3517" w:rsidP="009B3517">
      <w:pPr>
        <w:spacing w:after="0" w:line="360" w:lineRule="auto"/>
        <w:ind w:firstLine="567"/>
        <w:jc w:val="both"/>
        <w:rPr>
          <w:rFonts w:ascii="Arial" w:hAnsi="Arial" w:cs="Arial"/>
          <w:sz w:val="22"/>
          <w:szCs w:val="22"/>
        </w:rPr>
      </w:pPr>
      <w:r w:rsidRPr="009B3517">
        <w:rPr>
          <w:rFonts w:ascii="Arial" w:hAnsi="Arial" w:cs="Arial"/>
          <w:sz w:val="22"/>
          <w:szCs w:val="22"/>
        </w:rPr>
        <w:t xml:space="preserve">The domestic vehicle fleet has been growing at a comparable pace to this boom in commerce.  Figure 3 from the Ministry of Transport and Logistics (2024) shows that 4,52 million vehicles were registered in Morocco in 2022, a 35% increase from 2016, with roughly two-thirds of those vehicles being passenger automobiles.  </w:t>
      </w:r>
      <w:r w:rsidR="00057AFA" w:rsidRPr="009B3517">
        <w:rPr>
          <w:rFonts w:ascii="Arial" w:hAnsi="Arial" w:cs="Arial"/>
          <w:sz w:val="22"/>
          <w:szCs w:val="22"/>
        </w:rPr>
        <w:t>Most of</w:t>
      </w:r>
      <w:r w:rsidRPr="009B3517">
        <w:rPr>
          <w:rFonts w:ascii="Arial" w:hAnsi="Arial" w:cs="Arial"/>
          <w:sz w:val="22"/>
          <w:szCs w:val="22"/>
        </w:rPr>
        <w:t xml:space="preserve"> these cars adhere to European Union technical requirements and are manufactured by European brands including Renault, Peugeot, Citroën, and Dacia.  For a newcomer like Elta, the adaption cost is significantly reduced because to this alignment.  The company may avoid component re-engineering by completely integrating its current product lines into an established ecosystem.  That congruence transforms Morocco into a "plug-in" market from a strategic perspective, providing volume growth without design risk.</w:t>
      </w:r>
    </w:p>
    <w:p w14:paraId="1F4CE6C4" w14:textId="77777777" w:rsidR="006C5794" w:rsidRPr="00DC0E3A" w:rsidRDefault="006C5794" w:rsidP="006C5794">
      <w:pPr>
        <w:spacing w:after="0" w:line="360" w:lineRule="auto"/>
        <w:jc w:val="both"/>
        <w:rPr>
          <w:rFonts w:ascii="Arial" w:hAnsi="Arial" w:cs="Arial"/>
          <w:sz w:val="16"/>
          <w:szCs w:val="16"/>
        </w:rPr>
      </w:pPr>
    </w:p>
    <w:p w14:paraId="3F64ED7E" w14:textId="5E4B9E23" w:rsidR="00296D55" w:rsidRPr="002E5483" w:rsidRDefault="002E5483" w:rsidP="002E5483">
      <w:pPr>
        <w:spacing w:after="0" w:line="360" w:lineRule="auto"/>
        <w:jc w:val="center"/>
        <w:rPr>
          <w:rFonts w:ascii="Arial" w:hAnsi="Arial" w:cs="Arial"/>
          <w:sz w:val="20"/>
          <w:szCs w:val="20"/>
        </w:rPr>
      </w:pPr>
      <w:r w:rsidRPr="002E5483">
        <w:rPr>
          <w:rFonts w:ascii="Arial" w:hAnsi="Arial" w:cs="Arial"/>
          <w:sz w:val="20"/>
          <w:szCs w:val="20"/>
        </w:rPr>
        <w:t>Figure 3. Morocco’s Vehicle Fleet Composition 2016–2023</w:t>
      </w:r>
    </w:p>
    <w:p w14:paraId="49DD831A" w14:textId="46B93AA3" w:rsidR="00296D55" w:rsidRDefault="00DC0E3A" w:rsidP="00DC0E3A">
      <w:pPr>
        <w:spacing w:after="0" w:line="360" w:lineRule="auto"/>
        <w:jc w:val="center"/>
        <w:rPr>
          <w:rFonts w:ascii="Arial" w:hAnsi="Arial" w:cs="Arial"/>
          <w:b/>
          <w:bCs/>
          <w:sz w:val="22"/>
          <w:szCs w:val="22"/>
        </w:rPr>
      </w:pPr>
      <w:r>
        <w:rPr>
          <w:rFonts w:ascii="Arial" w:hAnsi="Arial" w:cs="Arial"/>
          <w:noProof/>
          <w:sz w:val="20"/>
          <w:szCs w:val="20"/>
        </w:rPr>
        <w:drawing>
          <wp:inline distT="0" distB="0" distL="0" distR="0" wp14:anchorId="4B0B4C64" wp14:editId="77110007">
            <wp:extent cx="4459419" cy="2698041"/>
            <wp:effectExtent l="0" t="0" r="0" b="7620"/>
            <wp:docPr id="374676948" name="Picture 2" descr="A graph of a vehicle fleet composi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76948" name="Picture 2" descr="A graph of a vehicle fleet composition&#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68708" cy="2703661"/>
                    </a:xfrm>
                    <a:prstGeom prst="rect">
                      <a:avLst/>
                    </a:prstGeom>
                    <a:noFill/>
                  </pic:spPr>
                </pic:pic>
              </a:graphicData>
            </a:graphic>
          </wp:inline>
        </w:drawing>
      </w:r>
    </w:p>
    <w:p w14:paraId="308C12D1" w14:textId="5EB63F5D" w:rsidR="00296D55" w:rsidRPr="00DC0E3A" w:rsidRDefault="00DC0E3A" w:rsidP="00DC0E3A">
      <w:pPr>
        <w:spacing w:after="0" w:line="360" w:lineRule="auto"/>
        <w:jc w:val="center"/>
        <w:rPr>
          <w:rFonts w:ascii="Arial" w:hAnsi="Arial" w:cs="Arial"/>
          <w:i/>
          <w:iCs/>
          <w:sz w:val="20"/>
          <w:szCs w:val="20"/>
        </w:rPr>
      </w:pPr>
      <w:r w:rsidRPr="00DC0E3A">
        <w:rPr>
          <w:rFonts w:ascii="Arial" w:hAnsi="Arial" w:cs="Arial"/>
          <w:i/>
          <w:iCs/>
          <w:sz w:val="20"/>
          <w:szCs w:val="20"/>
        </w:rPr>
        <w:t xml:space="preserve">(Source: Created by author: Ministry of Transport and Logistics 2024; Le Maroc </w:t>
      </w:r>
      <w:proofErr w:type="spellStart"/>
      <w:r w:rsidRPr="00DC0E3A">
        <w:rPr>
          <w:rFonts w:ascii="Arial" w:hAnsi="Arial" w:cs="Arial"/>
          <w:i/>
          <w:iCs/>
          <w:sz w:val="20"/>
          <w:szCs w:val="20"/>
        </w:rPr>
        <w:t>en</w:t>
      </w:r>
      <w:proofErr w:type="spellEnd"/>
      <w:r w:rsidRPr="00DC0E3A">
        <w:rPr>
          <w:rFonts w:ascii="Arial" w:hAnsi="Arial" w:cs="Arial"/>
          <w:i/>
          <w:iCs/>
          <w:sz w:val="20"/>
          <w:szCs w:val="20"/>
        </w:rPr>
        <w:t xml:space="preserve"> Chiffres, 2024)</w:t>
      </w:r>
    </w:p>
    <w:p w14:paraId="6B11250F" w14:textId="77777777" w:rsidR="00B74DBF" w:rsidRDefault="00B74DBF" w:rsidP="00B74DBF">
      <w:pPr>
        <w:spacing w:after="0" w:line="360" w:lineRule="auto"/>
        <w:ind w:firstLine="567"/>
        <w:jc w:val="both"/>
        <w:rPr>
          <w:rFonts w:ascii="Arial" w:hAnsi="Arial" w:cs="Arial"/>
          <w:sz w:val="22"/>
          <w:szCs w:val="22"/>
        </w:rPr>
      </w:pPr>
      <w:r w:rsidRPr="00B74DBF">
        <w:rPr>
          <w:rFonts w:ascii="Arial" w:hAnsi="Arial" w:cs="Arial"/>
          <w:sz w:val="22"/>
          <w:szCs w:val="22"/>
        </w:rPr>
        <w:lastRenderedPageBreak/>
        <w:t>Economic data support this.  The World Bank (2024) ranks Morocco's logistics performance among the best in Africa, with Tanger-Med Port allowing UK or European goods in under four days.  Transparency International (2024) rates the country politically stable with consistent customs enforcement.  Grant (2024) states that sustained foreign investment requires institutional circumstances that lower transaction costs and uncertainty.  Therefore, quantitative trade growth and qualitative infrastructure dependability create a market that favours operational competence over opportunism.</w:t>
      </w:r>
    </w:p>
    <w:p w14:paraId="5ED2E977" w14:textId="5FC78587" w:rsidR="00AD069B" w:rsidRPr="00FF3825" w:rsidRDefault="007D5D2A" w:rsidP="00FF3825">
      <w:pPr>
        <w:pStyle w:val="Heading1"/>
        <w:spacing w:before="0" w:after="0"/>
        <w:rPr>
          <w:b/>
          <w:bCs/>
          <w:sz w:val="22"/>
          <w:szCs w:val="22"/>
        </w:rPr>
      </w:pPr>
      <w:bookmarkStart w:id="3" w:name="_Toc212805342"/>
      <w:r w:rsidRPr="00FF3825">
        <w:rPr>
          <w:rFonts w:ascii="Arial" w:hAnsi="Arial" w:cs="Arial"/>
          <w:b/>
          <w:bCs/>
          <w:sz w:val="22"/>
          <w:szCs w:val="22"/>
        </w:rPr>
        <w:t xml:space="preserve">1.2. </w:t>
      </w:r>
      <w:r w:rsidRPr="00FF3825">
        <w:rPr>
          <w:b/>
          <w:bCs/>
          <w:sz w:val="22"/>
          <w:szCs w:val="22"/>
        </w:rPr>
        <w:t>Cultural fit and demand</w:t>
      </w:r>
      <w:bookmarkEnd w:id="3"/>
    </w:p>
    <w:p w14:paraId="05CABF19" w14:textId="5F415A86" w:rsidR="00D07E67" w:rsidRPr="00D07E67" w:rsidRDefault="00D07E67" w:rsidP="007D5D2A">
      <w:pPr>
        <w:spacing w:after="0" w:line="360" w:lineRule="auto"/>
        <w:ind w:firstLine="567"/>
        <w:jc w:val="both"/>
        <w:rPr>
          <w:rFonts w:ascii="Arial" w:hAnsi="Arial" w:cs="Arial"/>
          <w:sz w:val="22"/>
          <w:szCs w:val="22"/>
        </w:rPr>
      </w:pPr>
      <w:r w:rsidRPr="00D07E67">
        <w:rPr>
          <w:rFonts w:ascii="Arial" w:hAnsi="Arial" w:cs="Arial"/>
          <w:sz w:val="22"/>
          <w:szCs w:val="22"/>
        </w:rPr>
        <w:t xml:space="preserve">Business in Morocco is conducted in English and French, and the country's automotive regulations are in line with EU norms, which Elta Automotive also follows, thereby minimising regulatory obstacles.   Geographical distance is reduced via shipping lines, but economic distance is decreased by increasing purchasing power and vehicle ownership.  </w:t>
      </w:r>
      <w:r>
        <w:rPr>
          <w:rFonts w:ascii="Arial" w:hAnsi="Arial" w:cs="Arial"/>
          <w:sz w:val="22"/>
          <w:szCs w:val="22"/>
        </w:rPr>
        <w:t>Therefore</w:t>
      </w:r>
      <w:r w:rsidR="007255B8">
        <w:rPr>
          <w:rFonts w:ascii="Arial" w:hAnsi="Arial" w:cs="Arial"/>
          <w:sz w:val="22"/>
          <w:szCs w:val="22"/>
        </w:rPr>
        <w:t>,</w:t>
      </w:r>
      <w:r w:rsidRPr="00D07E67">
        <w:rPr>
          <w:rFonts w:ascii="Arial" w:hAnsi="Arial" w:cs="Arial"/>
          <w:sz w:val="22"/>
          <w:szCs w:val="22"/>
        </w:rPr>
        <w:t xml:space="preserve"> </w:t>
      </w:r>
      <w:r w:rsidR="007255B8">
        <w:rPr>
          <w:rFonts w:ascii="Arial" w:hAnsi="Arial" w:cs="Arial"/>
          <w:sz w:val="22"/>
          <w:szCs w:val="22"/>
        </w:rPr>
        <w:t>t</w:t>
      </w:r>
      <w:r w:rsidRPr="00D07E67">
        <w:rPr>
          <w:rFonts w:ascii="Arial" w:hAnsi="Arial" w:cs="Arial"/>
          <w:sz w:val="22"/>
          <w:szCs w:val="22"/>
        </w:rPr>
        <w:t>he "liability of foreignness" that impacts new entries is reduced along each dimension.</w:t>
      </w:r>
    </w:p>
    <w:p w14:paraId="42980609" w14:textId="71AF54C1" w:rsidR="00963E81" w:rsidRPr="00FF3825" w:rsidRDefault="00963E81" w:rsidP="00FF3825">
      <w:pPr>
        <w:pStyle w:val="Heading1"/>
        <w:spacing w:before="0" w:after="0"/>
        <w:rPr>
          <w:b/>
          <w:bCs/>
          <w:sz w:val="22"/>
          <w:szCs w:val="22"/>
        </w:rPr>
      </w:pPr>
      <w:bookmarkStart w:id="4" w:name="_Toc212805343"/>
      <w:r w:rsidRPr="00FF3825">
        <w:rPr>
          <w:b/>
          <w:bCs/>
          <w:sz w:val="22"/>
          <w:szCs w:val="22"/>
        </w:rPr>
        <w:t>1.3.</w:t>
      </w:r>
      <w:r w:rsidR="004D1040" w:rsidRPr="00FF3825">
        <w:rPr>
          <w:b/>
          <w:bCs/>
          <w:sz w:val="22"/>
          <w:szCs w:val="22"/>
        </w:rPr>
        <w:t xml:space="preserve"> Strategic alignment with the organisation’s goals</w:t>
      </w:r>
      <w:bookmarkEnd w:id="4"/>
    </w:p>
    <w:p w14:paraId="47C81829" w14:textId="58D8985D" w:rsidR="00050CB0" w:rsidRDefault="003949B6" w:rsidP="003949B6">
      <w:pPr>
        <w:spacing w:after="0" w:line="360" w:lineRule="auto"/>
        <w:ind w:firstLine="567"/>
        <w:jc w:val="both"/>
      </w:pPr>
      <w:bookmarkStart w:id="5" w:name="_Toc212805344"/>
      <w:r w:rsidRPr="003949B6">
        <w:rPr>
          <w:rFonts w:ascii="Arial" w:hAnsi="Arial" w:cs="Arial"/>
          <w:sz w:val="22"/>
          <w:szCs w:val="22"/>
        </w:rPr>
        <w:t>Morocco is a good choice for Elta if it needs to choose a new market due to it features rules that are in line with the EU, reliable transportation, and vendor rules that are based on relationships. This makes it easy for the company to move its quality-assurance practices there.  That's why the move protects control in an area where the risk of fakes is already high.  "Section 3: Strategy Development and Formulation" has a full VRIO review that comes next.  The way Elta grows shows how a mature home market with little room for growth pushes the company to focus on market development instead of product diversification.  Using old products and methods lets Elta build on its strengths while also looking for new ways to make money, combining efficiency with chance (The Strategy Institute, 2024) if competitive places in Morocco stay open.  Elta already does a great job of being reliable, certified, and quick, which are all things that Morocco values. This makes the strategy fit stronger.  The company isn't looking for cheap work or unneeded size. Instead, it's matching its relationship culture to a market where trust-based exchange is key to distribution.  Elta's European standards, safe government, and managed growth environment are a lot like those in Morocco. This is why the development builds on what's already been done instead of stretching it.  According to Porter's (1990) theory, a country's edge relies on factors like market intelligence and supporting industries. This makes it clear that Morocco gives Elta the structural base it needs.  The structure of the market boosts Elta's skills while lowering the risk of change, and the trustworthiness of the country's institutions encourages long-term commitment.  These things show that Morocco's choice is not tactical but strategic, combining its own strengths with opportunities outside the country to create a competitive edge rather than just trade</w:t>
      </w:r>
      <w:r w:rsidRPr="003949B6">
        <w:t>.</w:t>
      </w:r>
    </w:p>
    <w:p w14:paraId="78650546" w14:textId="77777777" w:rsidR="0009676E" w:rsidRPr="003949B6" w:rsidRDefault="0009676E" w:rsidP="003949B6">
      <w:pPr>
        <w:spacing w:after="0" w:line="360" w:lineRule="auto"/>
        <w:ind w:firstLine="567"/>
        <w:jc w:val="both"/>
      </w:pPr>
    </w:p>
    <w:p w14:paraId="41E52281" w14:textId="730CA94E" w:rsidR="00296D55" w:rsidRPr="00FF3825" w:rsidRDefault="00AF7317" w:rsidP="00FF3825">
      <w:pPr>
        <w:pStyle w:val="Heading1"/>
        <w:spacing w:before="0" w:after="0"/>
        <w:rPr>
          <w:b/>
          <w:bCs/>
          <w:sz w:val="22"/>
          <w:szCs w:val="22"/>
        </w:rPr>
      </w:pPr>
      <w:r w:rsidRPr="00FF3825">
        <w:rPr>
          <w:b/>
          <w:bCs/>
          <w:sz w:val="22"/>
          <w:szCs w:val="22"/>
        </w:rPr>
        <w:lastRenderedPageBreak/>
        <w:t xml:space="preserve">2. </w:t>
      </w:r>
      <w:r w:rsidR="00BE43E5" w:rsidRPr="00FF3825">
        <w:rPr>
          <w:b/>
          <w:bCs/>
          <w:sz w:val="22"/>
          <w:szCs w:val="22"/>
        </w:rPr>
        <w:t>Comprehensive Strategic Analysis</w:t>
      </w:r>
      <w:bookmarkEnd w:id="5"/>
    </w:p>
    <w:p w14:paraId="54255FAA" w14:textId="1C005A64" w:rsidR="00A06423" w:rsidRPr="0009676E" w:rsidRDefault="0009676E" w:rsidP="0009676E">
      <w:pPr>
        <w:spacing w:after="0" w:line="360" w:lineRule="auto"/>
        <w:ind w:firstLine="567"/>
        <w:jc w:val="both"/>
        <w:rPr>
          <w:rFonts w:ascii="Arial" w:hAnsi="Arial" w:cs="Arial"/>
          <w:sz w:val="22"/>
          <w:szCs w:val="22"/>
        </w:rPr>
      </w:pPr>
      <w:bookmarkStart w:id="6" w:name="_Toc212805345"/>
      <w:r w:rsidRPr="0009676E">
        <w:rPr>
          <w:rFonts w:ascii="Arial" w:hAnsi="Arial" w:cs="Arial"/>
          <w:sz w:val="22"/>
          <w:szCs w:val="22"/>
        </w:rPr>
        <w:t>Competing advantage comes from personal strengths matching external circumstances.   In Morocco, Elta Automotive challenges macroeconomic policies, institutional distance, and fierce aftermarket rivalry.   This section shows how Morocco's environment supports or hinders Elta's strategic goal using PESTLE, CAGE, Porter's Five Forces, SWOT, and competition benchmarking.   Objective: Critical understanding of external forces—what counts, where they provide leverage, and how their constraints affect managerial view.</w:t>
      </w:r>
    </w:p>
    <w:p w14:paraId="6EB88A9C" w14:textId="762DBFD6" w:rsidR="009C5951" w:rsidRPr="00FF3825" w:rsidRDefault="009C5951" w:rsidP="00FF3825">
      <w:pPr>
        <w:pStyle w:val="Heading1"/>
        <w:spacing w:before="0" w:after="0"/>
        <w:rPr>
          <w:b/>
          <w:bCs/>
          <w:sz w:val="22"/>
          <w:szCs w:val="22"/>
        </w:rPr>
      </w:pPr>
      <w:r w:rsidRPr="00FF3825">
        <w:rPr>
          <w:b/>
          <w:bCs/>
          <w:sz w:val="22"/>
          <w:szCs w:val="22"/>
        </w:rPr>
        <w:t>2.1. Macro-environmental tools</w:t>
      </w:r>
      <w:bookmarkEnd w:id="6"/>
    </w:p>
    <w:p w14:paraId="04AAA33E" w14:textId="7EA11F85" w:rsidR="00CC2F86" w:rsidRPr="00FF3825" w:rsidRDefault="00CC2F86" w:rsidP="00FF3825">
      <w:pPr>
        <w:pStyle w:val="Heading1"/>
        <w:spacing w:before="0" w:after="0"/>
        <w:rPr>
          <w:b/>
          <w:bCs/>
          <w:sz w:val="22"/>
          <w:szCs w:val="22"/>
          <w:u w:val="single"/>
        </w:rPr>
      </w:pPr>
      <w:bookmarkStart w:id="7" w:name="_Toc212805346"/>
      <w:r w:rsidRPr="00FF3825">
        <w:rPr>
          <w:b/>
          <w:bCs/>
          <w:sz w:val="22"/>
          <w:szCs w:val="22"/>
          <w:u w:val="single"/>
        </w:rPr>
        <w:t>2.1.1. PESTEL Analysis</w:t>
      </w:r>
      <w:bookmarkEnd w:id="7"/>
    </w:p>
    <w:p w14:paraId="3D4C8DA5" w14:textId="78CDF5AE" w:rsidR="00346FAD" w:rsidRDefault="00517E26" w:rsidP="007858D1">
      <w:pPr>
        <w:spacing w:after="0" w:line="360" w:lineRule="auto"/>
        <w:ind w:firstLine="567"/>
        <w:jc w:val="both"/>
        <w:rPr>
          <w:rFonts w:ascii="Arial" w:hAnsi="Arial" w:cs="Arial"/>
          <w:sz w:val="22"/>
          <w:szCs w:val="22"/>
        </w:rPr>
      </w:pPr>
      <w:r w:rsidRPr="00517E26">
        <w:rPr>
          <w:rFonts w:ascii="Arial" w:hAnsi="Arial" w:cs="Arial"/>
          <w:sz w:val="22"/>
          <w:szCs w:val="22"/>
        </w:rPr>
        <w:t>Investment confidence rises as a result of less political risk and more predictability if Morocco's political climate is characterised by a stable constitutional monarchy. Even though institutions are stable, administrative efficiency is low due to factors such as excessive unemployment, poverty, and pervasive corruption. Constraints on governance raise transactional complexity and regulatory risk, but stability permits beneficial commerce (UK-Morocco Association Agreement, 2019). According to the UK Government (2025), exporters of HS 8708 automotive components from the UK face a politically stable but administratively complex environment. They may ensure long-term supply dependability by carefully managing compliance. While political stability does help boost trust, the real economic worth of Morocco is determined by how well its government handles its budget</w:t>
      </w:r>
      <w:r w:rsidR="002B0961" w:rsidRPr="002B0961">
        <w:rPr>
          <w:rFonts w:ascii="Arial" w:hAnsi="Arial" w:cs="Arial"/>
          <w:sz w:val="22"/>
          <w:szCs w:val="22"/>
        </w:rPr>
        <w:t>.</w:t>
      </w:r>
    </w:p>
    <w:p w14:paraId="23F5ED6E" w14:textId="41BAFB6E" w:rsidR="00D25A79" w:rsidRDefault="00AA18C6" w:rsidP="00F32868">
      <w:pPr>
        <w:spacing w:after="0" w:line="360" w:lineRule="auto"/>
        <w:ind w:firstLine="567"/>
        <w:jc w:val="both"/>
        <w:rPr>
          <w:rFonts w:ascii="Arial" w:hAnsi="Arial" w:cs="Arial"/>
          <w:sz w:val="22"/>
          <w:szCs w:val="22"/>
        </w:rPr>
      </w:pPr>
      <w:r w:rsidRPr="00AA18C6">
        <w:rPr>
          <w:rFonts w:ascii="Arial" w:hAnsi="Arial" w:cs="Arial"/>
          <w:sz w:val="22"/>
          <w:szCs w:val="22"/>
        </w:rPr>
        <w:t xml:space="preserve">Morocco's </w:t>
      </w:r>
      <w:r w:rsidRPr="00AA18C6">
        <w:rPr>
          <w:rFonts w:ascii="Arial" w:hAnsi="Arial" w:cs="Arial"/>
          <w:b/>
          <w:bCs/>
          <w:sz w:val="22"/>
          <w:szCs w:val="22"/>
        </w:rPr>
        <w:t>economic</w:t>
      </w:r>
      <w:r w:rsidRPr="00AA18C6">
        <w:rPr>
          <w:rFonts w:ascii="Arial" w:hAnsi="Arial" w:cs="Arial"/>
          <w:sz w:val="22"/>
          <w:szCs w:val="22"/>
        </w:rPr>
        <w:t xml:space="preserve"> resiliency between 2020 and 2024 explains its HS 8708 aftermarket appeal (figure 4).  </w:t>
      </w:r>
    </w:p>
    <w:p w14:paraId="6D3FC0DE" w14:textId="77777777" w:rsidR="009F7388" w:rsidRPr="009F7388" w:rsidRDefault="009F7388" w:rsidP="00F32868">
      <w:pPr>
        <w:spacing w:after="0" w:line="360" w:lineRule="auto"/>
        <w:ind w:firstLine="567"/>
        <w:jc w:val="both"/>
        <w:rPr>
          <w:rFonts w:ascii="Arial" w:hAnsi="Arial" w:cs="Arial"/>
          <w:sz w:val="16"/>
          <w:szCs w:val="16"/>
        </w:rPr>
      </w:pPr>
    </w:p>
    <w:p w14:paraId="6B0C27F9" w14:textId="67AAE26B" w:rsidR="00D25A79" w:rsidRPr="009F7388" w:rsidRDefault="009F7388" w:rsidP="009F7388">
      <w:pPr>
        <w:spacing w:after="0" w:line="360" w:lineRule="auto"/>
        <w:jc w:val="center"/>
        <w:rPr>
          <w:rFonts w:ascii="Arial" w:hAnsi="Arial" w:cs="Arial"/>
          <w:sz w:val="20"/>
          <w:szCs w:val="20"/>
        </w:rPr>
      </w:pPr>
      <w:r w:rsidRPr="009F7388">
        <w:rPr>
          <w:rFonts w:ascii="Arial" w:hAnsi="Arial" w:cs="Arial"/>
          <w:sz w:val="20"/>
          <w:szCs w:val="20"/>
        </w:rPr>
        <w:t>Figure 4. Morocco’s Key Economic Indicators (2020–2024)</w:t>
      </w:r>
    </w:p>
    <w:p w14:paraId="13100F3B" w14:textId="049574C6" w:rsidR="00D25A79" w:rsidRDefault="0069195F" w:rsidP="009F7388">
      <w:pPr>
        <w:spacing w:after="0" w:line="360" w:lineRule="auto"/>
        <w:jc w:val="center"/>
        <w:rPr>
          <w:rFonts w:ascii="Arial" w:hAnsi="Arial" w:cs="Arial"/>
          <w:sz w:val="22"/>
          <w:szCs w:val="22"/>
        </w:rPr>
      </w:pPr>
      <w:r>
        <w:rPr>
          <w:rFonts w:ascii="Arial" w:hAnsi="Arial" w:cs="Arial"/>
          <w:noProof/>
          <w:sz w:val="22"/>
          <w:szCs w:val="22"/>
        </w:rPr>
        <w:drawing>
          <wp:inline distT="0" distB="0" distL="0" distR="0" wp14:anchorId="376E9AA3" wp14:editId="06B473BB">
            <wp:extent cx="5752144" cy="2606634"/>
            <wp:effectExtent l="0" t="0" r="1270" b="3810"/>
            <wp:docPr id="1770584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89005" cy="2623338"/>
                    </a:xfrm>
                    <a:prstGeom prst="rect">
                      <a:avLst/>
                    </a:prstGeom>
                    <a:noFill/>
                  </pic:spPr>
                </pic:pic>
              </a:graphicData>
            </a:graphic>
          </wp:inline>
        </w:drawing>
      </w:r>
    </w:p>
    <w:p w14:paraId="7AC1CC73" w14:textId="5C2EC3E0" w:rsidR="00D25A79" w:rsidRDefault="006A04ED" w:rsidP="00041715">
      <w:pPr>
        <w:spacing w:after="0" w:line="360" w:lineRule="auto"/>
        <w:jc w:val="center"/>
        <w:rPr>
          <w:rFonts w:ascii="Arial" w:hAnsi="Arial" w:cs="Arial"/>
          <w:i/>
          <w:iCs/>
          <w:sz w:val="20"/>
          <w:szCs w:val="20"/>
        </w:rPr>
      </w:pPr>
      <w:r w:rsidRPr="000C2B89">
        <w:rPr>
          <w:rFonts w:ascii="Arial" w:hAnsi="Arial" w:cs="Arial"/>
          <w:i/>
          <w:iCs/>
          <w:sz w:val="20"/>
          <w:szCs w:val="20"/>
        </w:rPr>
        <w:t>(Source: Created by author from GOV.UK</w:t>
      </w:r>
      <w:r w:rsidR="007B70F9" w:rsidRPr="000C2B89">
        <w:rPr>
          <w:rFonts w:ascii="Arial" w:hAnsi="Arial" w:cs="Arial"/>
          <w:i/>
          <w:iCs/>
          <w:sz w:val="20"/>
          <w:szCs w:val="20"/>
        </w:rPr>
        <w:t xml:space="preserve">, </w:t>
      </w:r>
      <w:r w:rsidRPr="000C2B89">
        <w:rPr>
          <w:rFonts w:ascii="Arial" w:hAnsi="Arial" w:cs="Arial"/>
          <w:i/>
          <w:iCs/>
          <w:sz w:val="20"/>
          <w:szCs w:val="20"/>
        </w:rPr>
        <w:t>2024; World Bank</w:t>
      </w:r>
      <w:r w:rsidR="007B70F9" w:rsidRPr="000C2B89">
        <w:rPr>
          <w:rFonts w:ascii="Arial" w:hAnsi="Arial" w:cs="Arial"/>
          <w:i/>
          <w:iCs/>
          <w:sz w:val="20"/>
          <w:szCs w:val="20"/>
        </w:rPr>
        <w:t xml:space="preserve">, </w:t>
      </w:r>
      <w:r w:rsidRPr="000C2B89">
        <w:rPr>
          <w:rFonts w:ascii="Arial" w:hAnsi="Arial" w:cs="Arial"/>
          <w:i/>
          <w:iCs/>
          <w:sz w:val="20"/>
          <w:szCs w:val="20"/>
        </w:rPr>
        <w:t>2024; Trading Economics</w:t>
      </w:r>
      <w:r w:rsidR="007B70F9" w:rsidRPr="000C2B89">
        <w:rPr>
          <w:rFonts w:ascii="Arial" w:hAnsi="Arial" w:cs="Arial"/>
          <w:i/>
          <w:iCs/>
          <w:sz w:val="20"/>
          <w:szCs w:val="20"/>
        </w:rPr>
        <w:t xml:space="preserve">, </w:t>
      </w:r>
      <w:r w:rsidRPr="000C2B89">
        <w:rPr>
          <w:rFonts w:ascii="Arial" w:hAnsi="Arial" w:cs="Arial"/>
          <w:i/>
          <w:iCs/>
          <w:sz w:val="20"/>
          <w:szCs w:val="20"/>
        </w:rPr>
        <w:t>2024)</w:t>
      </w:r>
    </w:p>
    <w:p w14:paraId="770A8003" w14:textId="77777777" w:rsidR="007858D1" w:rsidRPr="007858D1" w:rsidRDefault="007858D1" w:rsidP="00041715">
      <w:pPr>
        <w:spacing w:after="0" w:line="360" w:lineRule="auto"/>
        <w:jc w:val="center"/>
        <w:rPr>
          <w:rFonts w:ascii="Arial" w:hAnsi="Arial" w:cs="Arial"/>
          <w:i/>
          <w:iCs/>
          <w:sz w:val="16"/>
          <w:szCs w:val="16"/>
        </w:rPr>
      </w:pPr>
    </w:p>
    <w:p w14:paraId="54C3D7B6" w14:textId="5DB6F6E1" w:rsidR="008C54ED" w:rsidRPr="008C54ED" w:rsidRDefault="008C54ED" w:rsidP="008C54ED">
      <w:pPr>
        <w:spacing w:after="0" w:line="360" w:lineRule="auto"/>
        <w:ind w:firstLine="567"/>
        <w:jc w:val="both"/>
        <w:rPr>
          <w:rFonts w:ascii="Arial" w:hAnsi="Arial" w:cs="Arial"/>
          <w:sz w:val="22"/>
          <w:szCs w:val="22"/>
        </w:rPr>
      </w:pPr>
      <w:r w:rsidRPr="008C54ED">
        <w:rPr>
          <w:rFonts w:ascii="Arial" w:hAnsi="Arial" w:cs="Arial"/>
          <w:sz w:val="22"/>
          <w:szCs w:val="22"/>
        </w:rPr>
        <w:t xml:space="preserve">Investor confidence remains high due to the stability of the MAD/GBP exchange rate and the continued growth in FDI despite changes in GDP, which range from -7.18 percent in </w:t>
      </w:r>
      <w:r w:rsidRPr="008C54ED">
        <w:rPr>
          <w:rFonts w:ascii="Arial" w:hAnsi="Arial" w:cs="Arial"/>
          <w:sz w:val="22"/>
          <w:szCs w:val="22"/>
        </w:rPr>
        <w:lastRenderedPageBreak/>
        <w:t xml:space="preserve">2020 to 3.2 percent in 2024, </w:t>
      </w:r>
      <w:r w:rsidR="005B3955" w:rsidRPr="008C54ED">
        <w:rPr>
          <w:rFonts w:ascii="Arial" w:hAnsi="Arial" w:cs="Arial"/>
          <w:sz w:val="22"/>
          <w:szCs w:val="22"/>
        </w:rPr>
        <w:t>if</w:t>
      </w:r>
      <w:r w:rsidRPr="008C54ED">
        <w:rPr>
          <w:rFonts w:ascii="Arial" w:hAnsi="Arial" w:cs="Arial"/>
          <w:sz w:val="22"/>
          <w:szCs w:val="22"/>
        </w:rPr>
        <w:t xml:space="preserve"> reforms, inflation, and robust trade flows characterise Morocco's recovery from 2020 to 2024. The UK's HS 8708 exports have less fiscal friction, which supports long-term investment in the automotive industry, according to the Double Taxation Convention (1981) and the Association Agreement (2021). Used cars and cheap HS 8708 parts are becoming more popular as a result of consumers' limited buying power due to rising unemployment and inflation (UK Government, 2025). With these criteria met, we may dive into the societal aspects influencing Moroccan consumers' purchasing habits.</w:t>
      </w:r>
    </w:p>
    <w:p w14:paraId="2AAE481D" w14:textId="77777777" w:rsidR="00A33C57" w:rsidRDefault="00383EC7" w:rsidP="00DF5A63">
      <w:pPr>
        <w:spacing w:after="0" w:line="360" w:lineRule="auto"/>
        <w:ind w:firstLine="567"/>
        <w:jc w:val="both"/>
        <w:rPr>
          <w:rFonts w:ascii="Arial" w:hAnsi="Arial" w:cs="Arial"/>
          <w:sz w:val="22"/>
          <w:szCs w:val="22"/>
        </w:rPr>
      </w:pPr>
      <w:r w:rsidRPr="00383EC7">
        <w:rPr>
          <w:rFonts w:ascii="Arial" w:hAnsi="Arial" w:cs="Arial"/>
          <w:b/>
          <w:bCs/>
          <w:sz w:val="22"/>
          <w:szCs w:val="22"/>
        </w:rPr>
        <w:t>Social</w:t>
      </w:r>
      <w:r w:rsidRPr="00383EC7">
        <w:rPr>
          <w:rFonts w:ascii="Arial" w:hAnsi="Arial" w:cs="Arial"/>
          <w:sz w:val="22"/>
          <w:szCs w:val="22"/>
        </w:rPr>
        <w:t xml:space="preserve"> dynamics in Morocco show how hierarchy, culture, and collective behaviour affect consumer choices and commercial partnerships</w:t>
      </w:r>
      <w:r w:rsidR="00A33C57">
        <w:rPr>
          <w:rFonts w:ascii="Arial" w:hAnsi="Arial" w:cs="Arial"/>
          <w:sz w:val="22"/>
          <w:szCs w:val="22"/>
        </w:rPr>
        <w:t xml:space="preserve"> - figure 5</w:t>
      </w:r>
      <w:r w:rsidRPr="00383EC7">
        <w:rPr>
          <w:rFonts w:ascii="Arial" w:hAnsi="Arial" w:cs="Arial"/>
          <w:sz w:val="22"/>
          <w:szCs w:val="22"/>
        </w:rPr>
        <w:t xml:space="preserve">.  </w:t>
      </w:r>
    </w:p>
    <w:p w14:paraId="6158027B" w14:textId="77777777" w:rsidR="00A33C57" w:rsidRPr="00913D61" w:rsidRDefault="00A33C57" w:rsidP="00DF5A63">
      <w:pPr>
        <w:spacing w:after="0" w:line="360" w:lineRule="auto"/>
        <w:ind w:firstLine="567"/>
        <w:jc w:val="both"/>
        <w:rPr>
          <w:rFonts w:ascii="Arial" w:hAnsi="Arial" w:cs="Arial"/>
          <w:sz w:val="16"/>
          <w:szCs w:val="16"/>
        </w:rPr>
      </w:pPr>
    </w:p>
    <w:p w14:paraId="53B11C50" w14:textId="6F8F75B3" w:rsidR="00361FE8" w:rsidRPr="00913D61" w:rsidRDefault="00361FE8" w:rsidP="00913D61">
      <w:pPr>
        <w:spacing w:after="0" w:line="360" w:lineRule="auto"/>
        <w:jc w:val="center"/>
        <w:rPr>
          <w:rFonts w:ascii="Arial" w:hAnsi="Arial" w:cs="Arial"/>
          <w:sz w:val="20"/>
          <w:szCs w:val="20"/>
        </w:rPr>
      </w:pPr>
      <w:r w:rsidRPr="00913D61">
        <w:rPr>
          <w:rFonts w:ascii="Arial" w:hAnsi="Arial" w:cs="Arial"/>
          <w:sz w:val="20"/>
          <w:szCs w:val="20"/>
        </w:rPr>
        <w:t xml:space="preserve">Figure 5. </w:t>
      </w:r>
      <w:r w:rsidR="00913D61" w:rsidRPr="00913D61">
        <w:rPr>
          <w:rFonts w:ascii="Arial" w:hAnsi="Arial" w:cs="Arial"/>
          <w:sz w:val="20"/>
          <w:szCs w:val="20"/>
        </w:rPr>
        <w:t>Hofstede’s Cultural Dimensions Comparison: Morocco vs United Kingdom</w:t>
      </w:r>
    </w:p>
    <w:p w14:paraId="00E1136C" w14:textId="2032C5FD" w:rsidR="00A33C57" w:rsidRDefault="000B1001" w:rsidP="000B1001">
      <w:pPr>
        <w:spacing w:after="0" w:line="360" w:lineRule="auto"/>
        <w:jc w:val="center"/>
        <w:rPr>
          <w:rFonts w:ascii="Arial" w:hAnsi="Arial" w:cs="Arial"/>
          <w:sz w:val="22"/>
          <w:szCs w:val="22"/>
        </w:rPr>
      </w:pPr>
      <w:r>
        <w:rPr>
          <w:rFonts w:ascii="Arial" w:hAnsi="Arial" w:cs="Arial"/>
          <w:noProof/>
          <w:sz w:val="22"/>
          <w:szCs w:val="22"/>
        </w:rPr>
        <w:drawing>
          <wp:inline distT="0" distB="0" distL="0" distR="0" wp14:anchorId="1CEE0860" wp14:editId="5109921D">
            <wp:extent cx="5714217" cy="2333501"/>
            <wp:effectExtent l="0" t="0" r="1270" b="0"/>
            <wp:docPr id="6623614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41549" cy="2344662"/>
                    </a:xfrm>
                    <a:prstGeom prst="rect">
                      <a:avLst/>
                    </a:prstGeom>
                    <a:noFill/>
                  </pic:spPr>
                </pic:pic>
              </a:graphicData>
            </a:graphic>
          </wp:inline>
        </w:drawing>
      </w:r>
    </w:p>
    <w:p w14:paraId="6AAA179A" w14:textId="45A4E324" w:rsidR="00A33C57" w:rsidRDefault="00913D61" w:rsidP="00E03F96">
      <w:pPr>
        <w:spacing w:after="0" w:line="360" w:lineRule="auto"/>
        <w:jc w:val="center"/>
        <w:rPr>
          <w:rFonts w:ascii="Arial" w:hAnsi="Arial" w:cs="Arial"/>
          <w:i/>
          <w:iCs/>
          <w:sz w:val="20"/>
          <w:szCs w:val="20"/>
        </w:rPr>
      </w:pPr>
      <w:r w:rsidRPr="00E03F96">
        <w:rPr>
          <w:rFonts w:ascii="Arial" w:hAnsi="Arial" w:cs="Arial"/>
          <w:i/>
          <w:iCs/>
          <w:sz w:val="20"/>
          <w:szCs w:val="20"/>
        </w:rPr>
        <w:t>(Source: Created by author from</w:t>
      </w:r>
      <w:r w:rsidR="00E03F96" w:rsidRPr="00E03F96">
        <w:rPr>
          <w:rFonts w:ascii="Arial" w:hAnsi="Arial" w:cs="Arial"/>
          <w:i/>
          <w:iCs/>
          <w:sz w:val="20"/>
          <w:szCs w:val="20"/>
        </w:rPr>
        <w:t xml:space="preserve"> The Culture Factor, 2025)</w:t>
      </w:r>
    </w:p>
    <w:p w14:paraId="4A4891E1" w14:textId="77777777" w:rsidR="006334E5" w:rsidRPr="006334E5" w:rsidRDefault="006334E5" w:rsidP="00E03F96">
      <w:pPr>
        <w:spacing w:after="0" w:line="360" w:lineRule="auto"/>
        <w:jc w:val="center"/>
        <w:rPr>
          <w:rFonts w:ascii="Arial" w:hAnsi="Arial" w:cs="Arial"/>
          <w:i/>
          <w:iCs/>
          <w:sz w:val="16"/>
          <w:szCs w:val="16"/>
        </w:rPr>
      </w:pPr>
    </w:p>
    <w:p w14:paraId="6F5E1221" w14:textId="1FA910EE" w:rsidR="00CA0DB7" w:rsidRPr="006334E5" w:rsidRDefault="00CA0DB7" w:rsidP="006334E5">
      <w:pPr>
        <w:spacing w:after="0" w:line="360" w:lineRule="auto"/>
        <w:ind w:firstLine="567"/>
        <w:jc w:val="both"/>
        <w:rPr>
          <w:rFonts w:ascii="Arial" w:hAnsi="Arial" w:cs="Arial"/>
          <w:sz w:val="22"/>
          <w:szCs w:val="22"/>
        </w:rPr>
      </w:pPr>
      <w:r w:rsidRPr="006334E5">
        <w:rPr>
          <w:rFonts w:ascii="Arial" w:hAnsi="Arial" w:cs="Arial"/>
          <w:sz w:val="22"/>
          <w:szCs w:val="22"/>
        </w:rPr>
        <w:t xml:space="preserve">This preference for authority-approved suppliers and trustworthy middlemen is shaped by low Individualism (24) and </w:t>
      </w:r>
      <w:r w:rsidR="006334E5" w:rsidRPr="006334E5">
        <w:rPr>
          <w:rFonts w:ascii="Arial" w:hAnsi="Arial" w:cs="Arial"/>
          <w:sz w:val="22"/>
          <w:szCs w:val="22"/>
        </w:rPr>
        <w:t>high-Power</w:t>
      </w:r>
      <w:r w:rsidRPr="006334E5">
        <w:rPr>
          <w:rFonts w:ascii="Arial" w:hAnsi="Arial" w:cs="Arial"/>
          <w:sz w:val="22"/>
          <w:szCs w:val="22"/>
        </w:rPr>
        <w:t xml:space="preserve"> Distance (7</w:t>
      </w:r>
      <w:r w:rsidR="006334E5" w:rsidRPr="006334E5">
        <w:rPr>
          <w:rFonts w:ascii="Arial" w:hAnsi="Arial" w:cs="Arial"/>
          <w:sz w:val="22"/>
          <w:szCs w:val="22"/>
        </w:rPr>
        <w:t>0</w:t>
      </w:r>
      <w:r w:rsidRPr="006334E5">
        <w:rPr>
          <w:rFonts w:ascii="Arial" w:hAnsi="Arial" w:cs="Arial"/>
          <w:sz w:val="22"/>
          <w:szCs w:val="22"/>
        </w:rPr>
        <w:t>), which explains why Moroccan customers continuously buy international HS 8708 components from established wholesalers.  Greater autonomy increases brand distinction and fosters independent assessment, which is the opposite impact of the UK's individualistic and democratic culture. These patterns explain why.  The significance of trustworthiness in market behaviour is further shown by Morocco's high Uncertainty Avoidance (68), which indicates that risk-averse customers choose well-known UK exporters over newer or unverified competitors (The Culture Factor, 2025; Hofstede, 2001).  The technical factors that either facilitate or limit importer performance are a natural outgrowth of these social and cultural processes.</w:t>
      </w:r>
    </w:p>
    <w:p w14:paraId="692D3DB1" w14:textId="70F87D88" w:rsidR="00CA0DB7" w:rsidRPr="006334E5" w:rsidRDefault="00CA0DB7" w:rsidP="006334E5">
      <w:pPr>
        <w:spacing w:after="0" w:line="360" w:lineRule="auto"/>
        <w:ind w:firstLine="567"/>
        <w:jc w:val="both"/>
        <w:rPr>
          <w:rFonts w:ascii="Arial" w:hAnsi="Arial" w:cs="Arial"/>
          <w:sz w:val="22"/>
          <w:szCs w:val="22"/>
        </w:rPr>
      </w:pPr>
      <w:r w:rsidRPr="006334E5">
        <w:rPr>
          <w:rFonts w:ascii="Arial" w:hAnsi="Arial" w:cs="Arial"/>
          <w:sz w:val="22"/>
          <w:szCs w:val="22"/>
        </w:rPr>
        <w:t xml:space="preserve"> Increased efficiency in transportation, manufacturing, and data-driven operations is a direct result of Morocco's embrace of technology, which boosts the country's competitiveness.  Research and development expenditure is for just 0.8% of GDP. However, state-driven programs like Digital Morocco 2020 and new centres like CETIEV 2.0 and FEV-UTAC CERAM </w:t>
      </w:r>
      <w:r w:rsidRPr="006334E5">
        <w:rPr>
          <w:rFonts w:ascii="Arial" w:hAnsi="Arial" w:cs="Arial"/>
          <w:sz w:val="22"/>
          <w:szCs w:val="22"/>
        </w:rPr>
        <w:lastRenderedPageBreak/>
        <w:t xml:space="preserve">show how focused infrastructure attracts foreign companies and allows for the transfer of knowledge needed for high-quality HS 8708 imports.  According to </w:t>
      </w:r>
      <w:proofErr w:type="spellStart"/>
      <w:r w:rsidRPr="006334E5">
        <w:rPr>
          <w:rFonts w:ascii="Arial" w:hAnsi="Arial" w:cs="Arial"/>
          <w:sz w:val="22"/>
          <w:szCs w:val="22"/>
        </w:rPr>
        <w:t>Ouzif</w:t>
      </w:r>
      <w:proofErr w:type="spellEnd"/>
      <w:r w:rsidRPr="006334E5">
        <w:rPr>
          <w:rFonts w:ascii="Arial" w:hAnsi="Arial" w:cs="Arial"/>
          <w:sz w:val="22"/>
          <w:szCs w:val="22"/>
        </w:rPr>
        <w:t xml:space="preserve"> et al. (2024), if advancements in the Internet of Things (IoT), artificial intelligence (AI), and communication technologies keep growing, Morocco may become a reliable centre for suppliers from the UK. This will be achieved by reducing operating costs, boosting traceability, and building long-term industrial collaborations.  These technical underpinnings make it possible to investigate the regulatory framework that influences commerce between the United Kingdom and Morocco.</w:t>
      </w:r>
    </w:p>
    <w:p w14:paraId="5075817F" w14:textId="2B6AEB6A" w:rsidR="00CA0DB7" w:rsidRPr="006334E5" w:rsidRDefault="00CA0DB7" w:rsidP="006334E5">
      <w:pPr>
        <w:spacing w:after="0" w:line="360" w:lineRule="auto"/>
        <w:ind w:firstLine="567"/>
        <w:jc w:val="both"/>
        <w:rPr>
          <w:rFonts w:ascii="Arial" w:hAnsi="Arial" w:cs="Arial"/>
          <w:sz w:val="22"/>
          <w:szCs w:val="22"/>
        </w:rPr>
      </w:pPr>
      <w:r w:rsidRPr="006334E5">
        <w:rPr>
          <w:rFonts w:ascii="Arial" w:hAnsi="Arial" w:cs="Arial"/>
          <w:sz w:val="22"/>
          <w:szCs w:val="22"/>
        </w:rPr>
        <w:t xml:space="preserve"> </w:t>
      </w:r>
      <w:r w:rsidR="00FE4631" w:rsidRPr="006334E5">
        <w:rPr>
          <w:rFonts w:ascii="Arial" w:hAnsi="Arial" w:cs="Arial"/>
          <w:sz w:val="22"/>
          <w:szCs w:val="22"/>
        </w:rPr>
        <w:t>Governance</w:t>
      </w:r>
      <w:r w:rsidRPr="006334E5">
        <w:rPr>
          <w:rFonts w:ascii="Arial" w:hAnsi="Arial" w:cs="Arial"/>
          <w:sz w:val="22"/>
          <w:szCs w:val="22"/>
        </w:rPr>
        <w:t xml:space="preserve"> inadequacies continue to impede openness and equitable competition in Morocco, since the country ranks 99th out of 180 on the Corruption Perceptions Index (score 37/100).  But by collaborating with approved distributors, depending on documented electronic transactions, and adhering to the UK Bribery Act, exporters from the UK may lessen their risk of legal action (2010).  According to the UK Government (2025) and Coface (2024), the legal system is being steadily stabilised via judicial reform and trade modernisation, which allows for efficient and lucrative HS 8708 exchanges backed by bilateral agreements and UK monitoring mechanisms, as shown by Coface's "B" risk rating.</w:t>
      </w:r>
    </w:p>
    <w:p w14:paraId="3C1F4965" w14:textId="589B4CBC" w:rsidR="00E024F4" w:rsidRPr="006334E5" w:rsidRDefault="00CA0DB7" w:rsidP="006334E5">
      <w:pPr>
        <w:spacing w:after="0" w:line="360" w:lineRule="auto"/>
        <w:ind w:firstLine="567"/>
        <w:jc w:val="both"/>
        <w:rPr>
          <w:rFonts w:ascii="Arial" w:hAnsi="Arial" w:cs="Arial"/>
          <w:sz w:val="22"/>
          <w:szCs w:val="22"/>
        </w:rPr>
      </w:pPr>
      <w:r w:rsidRPr="006334E5">
        <w:rPr>
          <w:rFonts w:ascii="Arial" w:hAnsi="Arial" w:cs="Arial"/>
          <w:sz w:val="22"/>
          <w:szCs w:val="22"/>
        </w:rPr>
        <w:t xml:space="preserve"> Because sustainability rules are clearly enforced by law, environmental governance in Morocco boosts the country's prestige.  Lower carbon footprints and more predictable operating costs will benefit HS 8708 importers if infrastructure continues to be improved via the national energy transition, circular economy initiatives, and climate resilience measures.  Still, there are environmental hazards because of inadequate waste treatment and a lack of available resources.  Environmental legislation boosts competitiveness with well-implemented standards and innovation encouragement, confirming the strategic recommendations from the E3S Conference (2024).</w:t>
      </w:r>
      <w:bookmarkStart w:id="8" w:name="_Toc212805347"/>
    </w:p>
    <w:p w14:paraId="2D87ACBF" w14:textId="4C88EE00" w:rsidR="00242634" w:rsidRPr="00FF3825" w:rsidRDefault="00242634" w:rsidP="00FF3825">
      <w:pPr>
        <w:pStyle w:val="Heading1"/>
        <w:spacing w:before="0" w:after="0"/>
        <w:rPr>
          <w:b/>
          <w:bCs/>
          <w:sz w:val="22"/>
          <w:szCs w:val="22"/>
        </w:rPr>
      </w:pPr>
      <w:r w:rsidRPr="00FF3825">
        <w:rPr>
          <w:b/>
          <w:bCs/>
          <w:sz w:val="22"/>
          <w:szCs w:val="22"/>
        </w:rPr>
        <w:t xml:space="preserve">2.1.2. </w:t>
      </w:r>
      <w:r w:rsidR="0018077D" w:rsidRPr="00FF3825">
        <w:rPr>
          <w:b/>
          <w:bCs/>
          <w:sz w:val="22"/>
          <w:szCs w:val="22"/>
        </w:rPr>
        <w:t>CAGE (Cultural, Administrative, Geographic, Economic distance) for international context</w:t>
      </w:r>
      <w:bookmarkEnd w:id="8"/>
    </w:p>
    <w:p w14:paraId="4EBD61C3" w14:textId="49A743C1" w:rsidR="006B74DA" w:rsidRDefault="006B74DA" w:rsidP="00344BF4">
      <w:pPr>
        <w:spacing w:after="0" w:line="360" w:lineRule="auto"/>
        <w:ind w:firstLine="567"/>
        <w:jc w:val="both"/>
        <w:rPr>
          <w:rFonts w:ascii="Arial" w:hAnsi="Arial" w:cs="Arial"/>
          <w:sz w:val="22"/>
          <w:szCs w:val="22"/>
        </w:rPr>
      </w:pPr>
      <w:r w:rsidRPr="006B74DA">
        <w:rPr>
          <w:rFonts w:ascii="Arial" w:hAnsi="Arial" w:cs="Arial"/>
          <w:sz w:val="22"/>
          <w:szCs w:val="22"/>
        </w:rPr>
        <w:t xml:space="preserve"> </w:t>
      </w:r>
      <w:r w:rsidR="008011DB" w:rsidRPr="008011DB">
        <w:rPr>
          <w:rFonts w:ascii="Arial" w:hAnsi="Arial" w:cs="Arial"/>
          <w:sz w:val="22"/>
          <w:szCs w:val="22"/>
        </w:rPr>
        <w:t>CAGE is crucial to understanding why countries trade.  Cultural, institutional, and economic factors affect distance, not just geography.  This model shows why Morocco's trading potential with mature countries like the UK relies more on structural compatibility than proximity.  Moroccan integration into global value chains represents opportunity within asymmetry rather than equality, as administrative alignment, colonial history, and salary differentials encourage advantages</w:t>
      </w:r>
      <w:r w:rsidR="007063F1">
        <w:rPr>
          <w:rFonts w:ascii="Arial" w:hAnsi="Arial" w:cs="Arial"/>
          <w:sz w:val="22"/>
          <w:szCs w:val="22"/>
        </w:rPr>
        <w:t xml:space="preserve"> - table 2</w:t>
      </w:r>
      <w:r w:rsidRPr="006B74DA">
        <w:rPr>
          <w:rFonts w:ascii="Arial" w:hAnsi="Arial" w:cs="Arial"/>
          <w:sz w:val="22"/>
          <w:szCs w:val="22"/>
        </w:rPr>
        <w:t>(Ghemawat, 2024).</w:t>
      </w:r>
    </w:p>
    <w:p w14:paraId="19371592" w14:textId="77777777" w:rsidR="0035712A" w:rsidRPr="006334E5" w:rsidRDefault="0035712A" w:rsidP="006334E5">
      <w:pPr>
        <w:spacing w:after="0" w:line="360" w:lineRule="auto"/>
        <w:jc w:val="both"/>
        <w:rPr>
          <w:rFonts w:ascii="Arial" w:hAnsi="Arial" w:cs="Arial"/>
          <w:sz w:val="16"/>
          <w:szCs w:val="16"/>
        </w:rPr>
      </w:pPr>
    </w:p>
    <w:p w14:paraId="0B564F3F" w14:textId="40C45DD3" w:rsidR="007063F1" w:rsidRDefault="00A240BE" w:rsidP="00A240BE">
      <w:pPr>
        <w:spacing w:after="0" w:line="360" w:lineRule="auto"/>
        <w:jc w:val="center"/>
        <w:rPr>
          <w:rFonts w:ascii="Arial" w:hAnsi="Arial" w:cs="Arial"/>
          <w:sz w:val="20"/>
          <w:szCs w:val="20"/>
        </w:rPr>
      </w:pPr>
      <w:r w:rsidRPr="00A240BE">
        <w:rPr>
          <w:rFonts w:ascii="Arial" w:hAnsi="Arial" w:cs="Arial"/>
          <w:sz w:val="20"/>
          <w:szCs w:val="20"/>
        </w:rPr>
        <w:t xml:space="preserve">Table </w:t>
      </w:r>
      <w:r>
        <w:rPr>
          <w:rFonts w:ascii="Arial" w:hAnsi="Arial" w:cs="Arial"/>
          <w:sz w:val="20"/>
          <w:szCs w:val="20"/>
        </w:rPr>
        <w:t>2</w:t>
      </w:r>
      <w:r w:rsidRPr="00A240BE">
        <w:rPr>
          <w:rFonts w:ascii="Arial" w:hAnsi="Arial" w:cs="Arial"/>
          <w:sz w:val="20"/>
          <w:szCs w:val="20"/>
        </w:rPr>
        <w:t>. CAGE Distance Data: United Kingdom and Morocco (HS8708 Imports)</w:t>
      </w:r>
    </w:p>
    <w:p w14:paraId="4E29BBA3" w14:textId="58F3C61D" w:rsidR="001D4EEE" w:rsidRDefault="00612B93" w:rsidP="00A240BE">
      <w:pPr>
        <w:spacing w:after="0" w:line="360" w:lineRule="auto"/>
        <w:jc w:val="center"/>
        <w:rPr>
          <w:rFonts w:ascii="Arial" w:hAnsi="Arial" w:cs="Arial"/>
          <w:sz w:val="20"/>
          <w:szCs w:val="20"/>
        </w:rPr>
      </w:pPr>
      <w:r w:rsidRPr="00612B93">
        <w:rPr>
          <w:rFonts w:ascii="Arial" w:hAnsi="Arial" w:cs="Arial"/>
          <w:noProof/>
          <w:sz w:val="20"/>
          <w:szCs w:val="20"/>
        </w:rPr>
        <w:drawing>
          <wp:inline distT="0" distB="0" distL="0" distR="0" wp14:anchorId="1B0418E2" wp14:editId="1C1D5126">
            <wp:extent cx="5731510" cy="1031240"/>
            <wp:effectExtent l="0" t="0" r="2540" b="0"/>
            <wp:docPr id="766459015"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59015" name="Picture 1" descr="A close-up of a graph&#10;&#10;AI-generated content may be incorrect."/>
                    <pic:cNvPicPr/>
                  </pic:nvPicPr>
                  <pic:blipFill>
                    <a:blip r:embed="rId15"/>
                    <a:stretch>
                      <a:fillRect/>
                    </a:stretch>
                  </pic:blipFill>
                  <pic:spPr>
                    <a:xfrm>
                      <a:off x="0" y="0"/>
                      <a:ext cx="5731510" cy="1031240"/>
                    </a:xfrm>
                    <a:prstGeom prst="rect">
                      <a:avLst/>
                    </a:prstGeom>
                  </pic:spPr>
                </pic:pic>
              </a:graphicData>
            </a:graphic>
          </wp:inline>
        </w:drawing>
      </w:r>
    </w:p>
    <w:p w14:paraId="522E6A7C" w14:textId="24A09DE2" w:rsidR="00612B93" w:rsidRDefault="00E67476" w:rsidP="00A240BE">
      <w:pPr>
        <w:spacing w:after="0" w:line="360" w:lineRule="auto"/>
        <w:jc w:val="center"/>
        <w:rPr>
          <w:rFonts w:ascii="Arial" w:hAnsi="Arial" w:cs="Arial"/>
          <w:i/>
          <w:iCs/>
          <w:sz w:val="20"/>
          <w:szCs w:val="20"/>
        </w:rPr>
      </w:pPr>
      <w:r w:rsidRPr="00E67476">
        <w:rPr>
          <w:rFonts w:ascii="Arial" w:hAnsi="Arial" w:cs="Arial"/>
          <w:i/>
          <w:iCs/>
          <w:sz w:val="20"/>
          <w:szCs w:val="20"/>
        </w:rPr>
        <w:t>(Source: NYU Stern Globalization Explorer, CAGE Comparator, 2024)</w:t>
      </w:r>
    </w:p>
    <w:p w14:paraId="24D946D0" w14:textId="77777777" w:rsidR="001A45CB" w:rsidRPr="001A45CB" w:rsidRDefault="001A45CB" w:rsidP="00A240BE">
      <w:pPr>
        <w:spacing w:after="0" w:line="360" w:lineRule="auto"/>
        <w:jc w:val="center"/>
        <w:rPr>
          <w:rFonts w:ascii="Arial" w:hAnsi="Arial" w:cs="Arial"/>
          <w:i/>
          <w:iCs/>
          <w:sz w:val="16"/>
          <w:szCs w:val="16"/>
        </w:rPr>
      </w:pPr>
    </w:p>
    <w:p w14:paraId="4D32E9E1" w14:textId="450B719B" w:rsidR="002D5B61" w:rsidRPr="0009595C" w:rsidRDefault="0009595C" w:rsidP="0009595C">
      <w:pPr>
        <w:spacing w:after="0" w:line="360" w:lineRule="auto"/>
        <w:ind w:firstLine="567"/>
        <w:jc w:val="both"/>
        <w:rPr>
          <w:rFonts w:ascii="Arial" w:hAnsi="Arial" w:cs="Arial"/>
          <w:sz w:val="22"/>
          <w:szCs w:val="22"/>
        </w:rPr>
      </w:pPr>
      <w:bookmarkStart w:id="9" w:name="_Toc212805348"/>
      <w:r w:rsidRPr="0009595C">
        <w:rPr>
          <w:rFonts w:ascii="Arial" w:hAnsi="Arial" w:cs="Arial"/>
          <w:sz w:val="22"/>
          <w:szCs w:val="22"/>
        </w:rPr>
        <w:t>Given that Morocco is 2,168 km away from the UK and has a CAGE score of 1,260, there is likely to be considerable trade-integration friction. This is particularly true when the predicted import potential is 3.1% higher than actual imports, which is 0.3%.  Institutional alignment is more important than distance, and this gap explains why.  Institutional gaps shrink despite physical distance in English use, cultural impact, and commercial openness; competitive salaries tied to a GDP ratio of 1.073 enhance Morocco's allure (NYU Stern, 2024).  Relational dynamics between partners cannot be captured by PESTLE, despite the fact that it explains government stability and industry incentives.  Similarly, CAGE shows why tensions remain despite physical closeness, but it also runs the danger of oversimplifying complex sociopolitical issues.  Systemic alignment, not isolated national traits, shapes Morocco's trade orientation, according to both theories (Lee, 2023).</w:t>
      </w:r>
    </w:p>
    <w:p w14:paraId="5E5E493A" w14:textId="287936AA" w:rsidR="008D2332" w:rsidRPr="00FF3825" w:rsidRDefault="00592D5C" w:rsidP="00FF3825">
      <w:pPr>
        <w:pStyle w:val="Heading1"/>
        <w:spacing w:before="0" w:after="0"/>
        <w:rPr>
          <w:b/>
          <w:bCs/>
          <w:sz w:val="22"/>
          <w:szCs w:val="22"/>
        </w:rPr>
      </w:pPr>
      <w:r w:rsidRPr="00FF3825">
        <w:rPr>
          <w:rFonts w:ascii="Arial" w:hAnsi="Arial" w:cs="Arial"/>
          <w:b/>
          <w:bCs/>
          <w:sz w:val="22"/>
          <w:szCs w:val="22"/>
        </w:rPr>
        <w:t xml:space="preserve">2.2. </w:t>
      </w:r>
      <w:r w:rsidR="008D2332" w:rsidRPr="00FF3825">
        <w:rPr>
          <w:b/>
          <w:bCs/>
          <w:sz w:val="22"/>
          <w:szCs w:val="22"/>
        </w:rPr>
        <w:t>Industry/competitive tools</w:t>
      </w:r>
      <w:bookmarkEnd w:id="9"/>
    </w:p>
    <w:p w14:paraId="08205B9D" w14:textId="138A7137" w:rsidR="00592D5C" w:rsidRPr="0035712A" w:rsidRDefault="00045A54" w:rsidP="00FF3825">
      <w:pPr>
        <w:pStyle w:val="Heading1"/>
        <w:spacing w:before="0" w:after="0"/>
        <w:rPr>
          <w:rFonts w:ascii="Arial" w:hAnsi="Arial" w:cs="Arial"/>
          <w:b/>
          <w:bCs/>
          <w:i/>
          <w:iCs/>
          <w:sz w:val="22"/>
          <w:szCs w:val="22"/>
          <w:u w:val="single"/>
        </w:rPr>
      </w:pPr>
      <w:bookmarkStart w:id="10" w:name="_Toc212805349"/>
      <w:r w:rsidRPr="0035712A">
        <w:rPr>
          <w:rFonts w:ascii="Arial" w:hAnsi="Arial" w:cs="Arial"/>
          <w:b/>
          <w:bCs/>
          <w:i/>
          <w:iCs/>
          <w:sz w:val="22"/>
          <w:szCs w:val="22"/>
          <w:u w:val="single"/>
        </w:rPr>
        <w:t xml:space="preserve">2.2.1. </w:t>
      </w:r>
      <w:r w:rsidR="00A4089D" w:rsidRPr="0035712A">
        <w:rPr>
          <w:rFonts w:ascii="Arial" w:hAnsi="Arial" w:cs="Arial"/>
          <w:b/>
          <w:bCs/>
          <w:i/>
          <w:iCs/>
          <w:sz w:val="22"/>
          <w:szCs w:val="22"/>
          <w:u w:val="single"/>
        </w:rPr>
        <w:t>Porter’s Five Forces</w:t>
      </w:r>
      <w:bookmarkEnd w:id="10"/>
    </w:p>
    <w:p w14:paraId="2E34E00E" w14:textId="2097D044" w:rsidR="00C16871" w:rsidRDefault="003D374F" w:rsidP="008D2332">
      <w:pPr>
        <w:spacing w:after="0" w:line="360" w:lineRule="auto"/>
        <w:ind w:firstLine="567"/>
        <w:jc w:val="both"/>
        <w:rPr>
          <w:rFonts w:ascii="Arial" w:hAnsi="Arial" w:cs="Arial"/>
          <w:sz w:val="22"/>
          <w:szCs w:val="22"/>
        </w:rPr>
      </w:pPr>
      <w:r w:rsidRPr="003D374F">
        <w:rPr>
          <w:rFonts w:ascii="Arial" w:hAnsi="Arial" w:cs="Arial"/>
          <w:sz w:val="22"/>
          <w:szCs w:val="22"/>
        </w:rPr>
        <w:t>Industry and competitive tools highlight how strategic positioning, competition, and internal capabilities impact long-term competitiveness rather than market structure, explaining why organisations thrive or fail in dynamic markets.   Porter's Five Forces from Figure 6 explain why firm profitability varies by showing power dynamics that affect strategic decisions (Goyal, 2020).</w:t>
      </w:r>
    </w:p>
    <w:p w14:paraId="7FE33E7E" w14:textId="77777777" w:rsidR="003D374F" w:rsidRPr="003D374F" w:rsidRDefault="003D374F" w:rsidP="008D2332">
      <w:pPr>
        <w:spacing w:after="0" w:line="360" w:lineRule="auto"/>
        <w:ind w:firstLine="567"/>
        <w:jc w:val="both"/>
        <w:rPr>
          <w:rFonts w:ascii="Arial" w:hAnsi="Arial" w:cs="Arial"/>
          <w:sz w:val="16"/>
          <w:szCs w:val="16"/>
        </w:rPr>
      </w:pPr>
    </w:p>
    <w:p w14:paraId="13A876BC" w14:textId="2A40C080" w:rsidR="00C16871" w:rsidRPr="008810AC" w:rsidRDefault="00C16871" w:rsidP="008810AC">
      <w:pPr>
        <w:spacing w:after="0" w:line="360" w:lineRule="auto"/>
        <w:jc w:val="center"/>
        <w:rPr>
          <w:rFonts w:ascii="Arial" w:hAnsi="Arial" w:cs="Arial"/>
          <w:sz w:val="20"/>
          <w:szCs w:val="20"/>
        </w:rPr>
      </w:pPr>
      <w:r w:rsidRPr="008810AC">
        <w:rPr>
          <w:rFonts w:ascii="Arial" w:hAnsi="Arial" w:cs="Arial"/>
          <w:sz w:val="20"/>
          <w:szCs w:val="20"/>
        </w:rPr>
        <w:t xml:space="preserve">Figure 6. Porter's Five Forces </w:t>
      </w:r>
      <w:r w:rsidR="00B31C13" w:rsidRPr="008810AC">
        <w:rPr>
          <w:rFonts w:ascii="Arial" w:hAnsi="Arial" w:cs="Arial"/>
          <w:sz w:val="20"/>
          <w:szCs w:val="20"/>
        </w:rPr>
        <w:t>analysis framework</w:t>
      </w:r>
      <w:r w:rsidR="008810AC" w:rsidRPr="008810AC">
        <w:rPr>
          <w:rFonts w:ascii="Arial" w:hAnsi="Arial" w:cs="Arial"/>
          <w:sz w:val="20"/>
          <w:szCs w:val="20"/>
        </w:rPr>
        <w:t xml:space="preserve"> (Goyal, 2020)</w:t>
      </w:r>
    </w:p>
    <w:p w14:paraId="5A7401D9" w14:textId="06676CF8" w:rsidR="008D2332" w:rsidRPr="000C4419" w:rsidRDefault="005A67DF" w:rsidP="008810AC">
      <w:pPr>
        <w:spacing w:after="0" w:line="360" w:lineRule="auto"/>
        <w:jc w:val="center"/>
        <w:rPr>
          <w:rFonts w:ascii="Arial" w:hAnsi="Arial" w:cs="Arial"/>
          <w:sz w:val="22"/>
          <w:szCs w:val="22"/>
        </w:rPr>
      </w:pPr>
      <w:r w:rsidRPr="005A67DF">
        <w:rPr>
          <w:rFonts w:ascii="Arial" w:hAnsi="Arial" w:cs="Arial"/>
          <w:noProof/>
          <w:sz w:val="22"/>
          <w:szCs w:val="22"/>
        </w:rPr>
        <w:drawing>
          <wp:inline distT="0" distB="0" distL="0" distR="0" wp14:anchorId="63E2C408" wp14:editId="59FF5AA2">
            <wp:extent cx="3586233" cy="2138680"/>
            <wp:effectExtent l="0" t="0" r="0" b="0"/>
            <wp:docPr id="1580486424" name="Picture 1" descr="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5 Forc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92458" cy="2142392"/>
                    </a:xfrm>
                    <a:prstGeom prst="rect">
                      <a:avLst/>
                    </a:prstGeom>
                    <a:noFill/>
                    <a:ln>
                      <a:noFill/>
                    </a:ln>
                  </pic:spPr>
                </pic:pic>
              </a:graphicData>
            </a:graphic>
          </wp:inline>
        </w:drawing>
      </w:r>
    </w:p>
    <w:p w14:paraId="6C0708CA" w14:textId="77777777" w:rsidR="00296D55" w:rsidRPr="00DD29E9" w:rsidRDefault="00296D55" w:rsidP="00296D55">
      <w:pPr>
        <w:spacing w:after="0" w:line="360" w:lineRule="auto"/>
        <w:jc w:val="both"/>
        <w:rPr>
          <w:rFonts w:ascii="Arial" w:hAnsi="Arial" w:cs="Arial"/>
          <w:b/>
          <w:bCs/>
          <w:sz w:val="16"/>
          <w:szCs w:val="16"/>
        </w:rPr>
      </w:pPr>
    </w:p>
    <w:p w14:paraId="2C13D4F3" w14:textId="77777777" w:rsidR="005D5A56" w:rsidRDefault="00DD29E9" w:rsidP="00DD29E9">
      <w:pPr>
        <w:spacing w:after="0" w:line="360" w:lineRule="auto"/>
        <w:ind w:firstLine="567"/>
        <w:jc w:val="both"/>
        <w:rPr>
          <w:rFonts w:ascii="Arial" w:hAnsi="Arial" w:cs="Arial"/>
          <w:sz w:val="22"/>
          <w:szCs w:val="22"/>
        </w:rPr>
      </w:pPr>
      <w:r w:rsidRPr="00DD29E9">
        <w:rPr>
          <w:rFonts w:ascii="Arial" w:hAnsi="Arial" w:cs="Arial"/>
          <w:sz w:val="22"/>
          <w:szCs w:val="22"/>
        </w:rPr>
        <w:t xml:space="preserve">According to Porter's perspective, competition contributes to margin compression in Morocco's HS8708 aftermarket (see table 3).  </w:t>
      </w:r>
    </w:p>
    <w:p w14:paraId="2CD56CAC" w14:textId="77777777" w:rsidR="00076055" w:rsidRDefault="00076055" w:rsidP="00DD29E9">
      <w:pPr>
        <w:spacing w:after="0" w:line="360" w:lineRule="auto"/>
        <w:ind w:firstLine="567"/>
        <w:jc w:val="both"/>
        <w:rPr>
          <w:rFonts w:ascii="Arial" w:hAnsi="Arial" w:cs="Arial"/>
          <w:sz w:val="16"/>
          <w:szCs w:val="16"/>
        </w:rPr>
      </w:pPr>
    </w:p>
    <w:p w14:paraId="4FBDDDF0" w14:textId="77777777" w:rsidR="0094153D" w:rsidRDefault="0094153D" w:rsidP="00DD29E9">
      <w:pPr>
        <w:spacing w:after="0" w:line="360" w:lineRule="auto"/>
        <w:ind w:firstLine="567"/>
        <w:jc w:val="both"/>
        <w:rPr>
          <w:rFonts w:ascii="Arial" w:hAnsi="Arial" w:cs="Arial"/>
          <w:sz w:val="16"/>
          <w:szCs w:val="16"/>
        </w:rPr>
      </w:pPr>
    </w:p>
    <w:p w14:paraId="6855B5D5" w14:textId="77777777" w:rsidR="0094153D" w:rsidRDefault="0094153D" w:rsidP="00DD29E9">
      <w:pPr>
        <w:spacing w:after="0" w:line="360" w:lineRule="auto"/>
        <w:ind w:firstLine="567"/>
        <w:jc w:val="both"/>
        <w:rPr>
          <w:rFonts w:ascii="Arial" w:hAnsi="Arial" w:cs="Arial"/>
          <w:sz w:val="16"/>
          <w:szCs w:val="16"/>
        </w:rPr>
      </w:pPr>
    </w:p>
    <w:p w14:paraId="5CF01F1A" w14:textId="77777777" w:rsidR="0094153D" w:rsidRDefault="0094153D" w:rsidP="00DD29E9">
      <w:pPr>
        <w:spacing w:after="0" w:line="360" w:lineRule="auto"/>
        <w:ind w:firstLine="567"/>
        <w:jc w:val="both"/>
        <w:rPr>
          <w:rFonts w:ascii="Arial" w:hAnsi="Arial" w:cs="Arial"/>
          <w:sz w:val="16"/>
          <w:szCs w:val="16"/>
        </w:rPr>
      </w:pPr>
    </w:p>
    <w:p w14:paraId="4C688266" w14:textId="77777777" w:rsidR="0094153D" w:rsidRDefault="0094153D" w:rsidP="00DD29E9">
      <w:pPr>
        <w:spacing w:after="0" w:line="360" w:lineRule="auto"/>
        <w:ind w:firstLine="567"/>
        <w:jc w:val="both"/>
        <w:rPr>
          <w:rFonts w:ascii="Arial" w:hAnsi="Arial" w:cs="Arial"/>
          <w:sz w:val="16"/>
          <w:szCs w:val="16"/>
        </w:rPr>
      </w:pPr>
    </w:p>
    <w:p w14:paraId="46505C4C" w14:textId="77777777" w:rsidR="0094153D" w:rsidRPr="00076055" w:rsidRDefault="0094153D" w:rsidP="00DD29E9">
      <w:pPr>
        <w:spacing w:after="0" w:line="360" w:lineRule="auto"/>
        <w:ind w:firstLine="567"/>
        <w:jc w:val="both"/>
        <w:rPr>
          <w:rFonts w:ascii="Arial" w:hAnsi="Arial" w:cs="Arial"/>
          <w:sz w:val="16"/>
          <w:szCs w:val="16"/>
        </w:rPr>
      </w:pPr>
    </w:p>
    <w:p w14:paraId="1FEB9ED2" w14:textId="6C616280" w:rsidR="005D5A56" w:rsidRPr="00D443F2" w:rsidRDefault="00076055" w:rsidP="00D443F2">
      <w:pPr>
        <w:spacing w:after="0" w:line="360" w:lineRule="auto"/>
        <w:jc w:val="center"/>
        <w:rPr>
          <w:rFonts w:ascii="Arial" w:hAnsi="Arial" w:cs="Arial"/>
          <w:sz w:val="20"/>
          <w:szCs w:val="20"/>
        </w:rPr>
      </w:pPr>
      <w:r w:rsidRPr="00D443F2">
        <w:rPr>
          <w:rFonts w:ascii="Arial" w:hAnsi="Arial" w:cs="Arial"/>
          <w:sz w:val="20"/>
          <w:szCs w:val="20"/>
        </w:rPr>
        <w:lastRenderedPageBreak/>
        <w:t xml:space="preserve">Table </w:t>
      </w:r>
      <w:r w:rsidR="009C0E82" w:rsidRPr="00D443F2">
        <w:rPr>
          <w:rFonts w:ascii="Arial" w:hAnsi="Arial" w:cs="Arial"/>
          <w:sz w:val="20"/>
          <w:szCs w:val="20"/>
        </w:rPr>
        <w:t>3.</w:t>
      </w:r>
      <w:r w:rsidRPr="00D443F2">
        <w:rPr>
          <w:rFonts w:ascii="Arial" w:hAnsi="Arial" w:cs="Arial"/>
          <w:sz w:val="20"/>
          <w:szCs w:val="20"/>
        </w:rPr>
        <w:t xml:space="preserve"> </w:t>
      </w:r>
      <w:r w:rsidR="009C0E82" w:rsidRPr="00D443F2">
        <w:rPr>
          <w:rFonts w:ascii="Arial" w:hAnsi="Arial" w:cs="Arial"/>
          <w:sz w:val="20"/>
          <w:szCs w:val="20"/>
        </w:rPr>
        <w:t>The active</w:t>
      </w:r>
      <w:r w:rsidRPr="00D443F2">
        <w:rPr>
          <w:rFonts w:ascii="Arial" w:hAnsi="Arial" w:cs="Arial"/>
          <w:sz w:val="20"/>
          <w:szCs w:val="20"/>
        </w:rPr>
        <w:t xml:space="preserve"> competitors relevant to HS 8708 Morocco</w:t>
      </w:r>
      <w:r w:rsidR="002D6957" w:rsidRPr="00D443F2">
        <w:rPr>
          <w:sz w:val="22"/>
          <w:szCs w:val="22"/>
        </w:rPr>
        <w:t xml:space="preserve"> </w:t>
      </w:r>
    </w:p>
    <w:p w14:paraId="331F66DF" w14:textId="632CE8C9" w:rsidR="005D5A56" w:rsidRPr="005D5A56" w:rsidRDefault="0042229B" w:rsidP="00D443F2">
      <w:pPr>
        <w:spacing w:after="0" w:line="360" w:lineRule="auto"/>
        <w:jc w:val="center"/>
        <w:rPr>
          <w:rFonts w:ascii="Arial" w:hAnsi="Arial" w:cs="Arial"/>
          <w:sz w:val="20"/>
          <w:szCs w:val="20"/>
        </w:rPr>
      </w:pPr>
      <w:r w:rsidRPr="0042229B">
        <w:rPr>
          <w:rFonts w:ascii="Arial" w:hAnsi="Arial" w:cs="Arial"/>
          <w:noProof/>
          <w:sz w:val="20"/>
          <w:szCs w:val="20"/>
        </w:rPr>
        <w:drawing>
          <wp:inline distT="0" distB="0" distL="0" distR="0" wp14:anchorId="4CEB49C6" wp14:editId="6505FA4F">
            <wp:extent cx="5076701" cy="3487111"/>
            <wp:effectExtent l="0" t="0" r="0" b="0"/>
            <wp:docPr id="497536529" name="Picture 1" descr="A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536529" name="Picture 1" descr="A white table with black text&#10;&#10;AI-generated content may be incorrect."/>
                    <pic:cNvPicPr/>
                  </pic:nvPicPr>
                  <pic:blipFill>
                    <a:blip r:embed="rId17"/>
                    <a:stretch>
                      <a:fillRect/>
                    </a:stretch>
                  </pic:blipFill>
                  <pic:spPr>
                    <a:xfrm>
                      <a:off x="0" y="0"/>
                      <a:ext cx="5102315" cy="3504705"/>
                    </a:xfrm>
                    <a:prstGeom prst="rect">
                      <a:avLst/>
                    </a:prstGeom>
                  </pic:spPr>
                </pic:pic>
              </a:graphicData>
            </a:graphic>
          </wp:inline>
        </w:drawing>
      </w:r>
    </w:p>
    <w:p w14:paraId="7C2C928D" w14:textId="28D62A64" w:rsidR="00F42C84" w:rsidRPr="00F42C84" w:rsidRDefault="00F42C84" w:rsidP="00F42C84">
      <w:pPr>
        <w:spacing w:after="0" w:line="360" w:lineRule="auto"/>
        <w:jc w:val="center"/>
        <w:rPr>
          <w:rFonts w:ascii="Arial" w:hAnsi="Arial" w:cs="Arial"/>
          <w:i/>
          <w:iCs/>
          <w:sz w:val="20"/>
          <w:szCs w:val="20"/>
        </w:rPr>
      </w:pPr>
      <w:r w:rsidRPr="00F42C84">
        <w:rPr>
          <w:rFonts w:ascii="Arial" w:hAnsi="Arial" w:cs="Arial"/>
          <w:i/>
          <w:iCs/>
          <w:sz w:val="20"/>
          <w:szCs w:val="20"/>
        </w:rPr>
        <w:t>(Created by author from Pangarkar, 2024)</w:t>
      </w:r>
    </w:p>
    <w:p w14:paraId="71903045" w14:textId="77777777" w:rsidR="005D5A56" w:rsidRPr="00D94806" w:rsidRDefault="005D5A56" w:rsidP="00F42C84">
      <w:pPr>
        <w:spacing w:after="0" w:line="360" w:lineRule="auto"/>
        <w:jc w:val="center"/>
        <w:rPr>
          <w:rFonts w:ascii="Arial" w:hAnsi="Arial" w:cs="Arial"/>
          <w:sz w:val="16"/>
          <w:szCs w:val="16"/>
        </w:rPr>
      </w:pPr>
    </w:p>
    <w:p w14:paraId="285F2127" w14:textId="09E9AF16" w:rsidR="00B800EE" w:rsidRDefault="00FE73AF" w:rsidP="00257324">
      <w:pPr>
        <w:spacing w:after="0" w:line="360" w:lineRule="auto"/>
        <w:ind w:firstLine="567"/>
        <w:jc w:val="both"/>
        <w:rPr>
          <w:rFonts w:ascii="Arial" w:hAnsi="Arial" w:cs="Arial"/>
          <w:sz w:val="22"/>
          <w:szCs w:val="22"/>
        </w:rPr>
      </w:pPr>
      <w:r w:rsidRPr="00FE73AF">
        <w:rPr>
          <w:rFonts w:ascii="Arial" w:hAnsi="Arial" w:cs="Arial"/>
          <w:sz w:val="22"/>
          <w:szCs w:val="22"/>
        </w:rPr>
        <w:t xml:space="preserve">Given the intense competition in Morocco's wear-parts aftermarket, branding isn't as important as timeliness of service and little product distinction, which makes switching brands simple.  This clarifies how consistent demand maintains competition and how pricing pressure remains even when weaker businesses incur buried costs due to inventory and network contracts.  Pangarkar (2024) points out that profitability is directly influenced by the structure of the market.  The main obstacle to entry is not legislation, but rather the high capital demands, logistical difficulties, and distribution complexity. These factors discourage entrants.  Here we see that official regulations do not govern HS8708 access, but rather the relationships between incumbent suppliers and garages.  </w:t>
      </w:r>
      <w:r w:rsidR="00257324" w:rsidRPr="00FE73AF">
        <w:rPr>
          <w:rFonts w:ascii="Arial" w:hAnsi="Arial" w:cs="Arial"/>
          <w:sz w:val="22"/>
          <w:szCs w:val="22"/>
        </w:rPr>
        <w:t>Why</w:t>
      </w:r>
      <w:r w:rsidRPr="00FE73AF">
        <w:rPr>
          <w:rFonts w:ascii="Arial" w:hAnsi="Arial" w:cs="Arial"/>
          <w:sz w:val="22"/>
          <w:szCs w:val="22"/>
        </w:rPr>
        <w:t xml:space="preserve"> legal impediments are less formidable than infrastructure and network restrictions, Elta Automotive can only succeed by making relational and operational adaptations (Asad, 2024).  As a result of its low production capacity, Morocco continues to rely heavily on imported parts, giving suppliers considerable leverage.  Elta's advantage is diminished because OEMs like Magneti Marelli, Valeo, and Delphi Technologies exploit their logistical and technical advantages to impose terms, and because Elta's Tangier and Kenitra plants prioritise export-oriented OEM assembly over aftermarket manufacture (Cherkaoui &amp; </w:t>
      </w:r>
      <w:proofErr w:type="spellStart"/>
      <w:r w:rsidRPr="00FE73AF">
        <w:rPr>
          <w:rFonts w:ascii="Arial" w:hAnsi="Arial" w:cs="Arial"/>
          <w:sz w:val="22"/>
          <w:szCs w:val="22"/>
        </w:rPr>
        <w:t>Abouabdellah</w:t>
      </w:r>
      <w:proofErr w:type="spellEnd"/>
      <w:r w:rsidRPr="00FE73AF">
        <w:rPr>
          <w:rFonts w:ascii="Arial" w:hAnsi="Arial" w:cs="Arial"/>
          <w:sz w:val="22"/>
          <w:szCs w:val="22"/>
        </w:rPr>
        <w:t xml:space="preserve">, 2023).  Market concentration grants companies like Auto Hall, </w:t>
      </w:r>
      <w:proofErr w:type="spellStart"/>
      <w:r w:rsidRPr="00FE73AF">
        <w:rPr>
          <w:rFonts w:ascii="Arial" w:hAnsi="Arial" w:cs="Arial"/>
          <w:sz w:val="22"/>
          <w:szCs w:val="22"/>
        </w:rPr>
        <w:t>Sopriam</w:t>
      </w:r>
      <w:proofErr w:type="spellEnd"/>
      <w:r w:rsidRPr="00FE73AF">
        <w:rPr>
          <w:rFonts w:ascii="Arial" w:hAnsi="Arial" w:cs="Arial"/>
          <w:sz w:val="22"/>
          <w:szCs w:val="22"/>
        </w:rPr>
        <w:t xml:space="preserve">, and Renault Commerce Maroc control over more than 65% of the country's sales and after-sales distribution, demonstrating the equally huge impact of buyers.  Suppliers are under structural pressure to decrease costs and expedite delivery due to their size and EU </w:t>
      </w:r>
      <w:r w:rsidRPr="00FE73AF">
        <w:rPr>
          <w:rFonts w:ascii="Arial" w:hAnsi="Arial" w:cs="Arial"/>
          <w:sz w:val="22"/>
          <w:szCs w:val="22"/>
        </w:rPr>
        <w:lastRenderedPageBreak/>
        <w:t>procurement linkages.  Because of their size and the strength of their relationships, Elta's industrial clients have a lot of negotiating influence (El Amrani &amp; Kettani, 2022).</w:t>
      </w:r>
    </w:p>
    <w:p w14:paraId="0BB82E7A" w14:textId="07913CDC" w:rsidR="001D300E" w:rsidRDefault="00355713" w:rsidP="00355713">
      <w:pPr>
        <w:spacing w:after="0" w:line="360" w:lineRule="auto"/>
        <w:ind w:firstLine="567"/>
        <w:jc w:val="both"/>
        <w:rPr>
          <w:rFonts w:ascii="Arial" w:hAnsi="Arial" w:cs="Arial"/>
          <w:sz w:val="22"/>
          <w:szCs w:val="22"/>
        </w:rPr>
      </w:pPr>
      <w:r w:rsidRPr="00355713">
        <w:rPr>
          <w:rFonts w:ascii="Arial" w:hAnsi="Arial" w:cs="Arial"/>
          <w:sz w:val="22"/>
          <w:szCs w:val="22"/>
        </w:rPr>
        <w:t>Value perception, rather than product availability, drives purchasing choices in Morocco's automobile aftermarket, which is why replacement items just exert moderate pressure. This explains how wholesalers interested in saving money might be enticed to purchase low-quality components made in China, Turkey, or India instead of European brands. With the help of informal repair networks, remanufactured and used parts have been rapidly expanding, demonstrating how alternate supply channels are reducing the need for new HS8708 components. Because of its emphasis on promoting the use of electric and hybrid vehicles, Morocco's Green Mobility Strategy 2030 poses an additional risk to components that rely on combustion engines. Therefore, to protect their premium standing against cost-driven alternatives, Elta Automotive should focus on certification and technical performance (</w:t>
      </w:r>
      <w:proofErr w:type="spellStart"/>
      <w:r w:rsidRPr="00355713">
        <w:rPr>
          <w:rFonts w:ascii="Arial" w:hAnsi="Arial" w:cs="Arial"/>
          <w:sz w:val="22"/>
          <w:szCs w:val="22"/>
        </w:rPr>
        <w:t>Bouchentouf</w:t>
      </w:r>
      <w:proofErr w:type="spellEnd"/>
      <w:r w:rsidRPr="00355713">
        <w:rPr>
          <w:rFonts w:ascii="Arial" w:hAnsi="Arial" w:cs="Arial"/>
          <w:sz w:val="22"/>
          <w:szCs w:val="22"/>
        </w:rPr>
        <w:t xml:space="preserve"> &amp; </w:t>
      </w:r>
      <w:proofErr w:type="spellStart"/>
      <w:r w:rsidRPr="00355713">
        <w:rPr>
          <w:rFonts w:ascii="Arial" w:hAnsi="Arial" w:cs="Arial"/>
          <w:sz w:val="22"/>
          <w:szCs w:val="22"/>
        </w:rPr>
        <w:t>Boussetta</w:t>
      </w:r>
      <w:proofErr w:type="spellEnd"/>
      <w:r w:rsidRPr="00355713">
        <w:rPr>
          <w:rFonts w:ascii="Arial" w:hAnsi="Arial" w:cs="Arial"/>
          <w:sz w:val="22"/>
          <w:szCs w:val="22"/>
        </w:rPr>
        <w:t>, 2023).</w:t>
      </w:r>
    </w:p>
    <w:p w14:paraId="474E8429" w14:textId="32923DF4" w:rsidR="004F514F" w:rsidRPr="00FF3825" w:rsidRDefault="004F514F" w:rsidP="00FF3825">
      <w:pPr>
        <w:pStyle w:val="Heading2"/>
        <w:spacing w:before="0" w:after="0"/>
        <w:rPr>
          <w:b/>
          <w:bCs/>
          <w:sz w:val="22"/>
          <w:szCs w:val="22"/>
        </w:rPr>
      </w:pPr>
      <w:bookmarkStart w:id="11" w:name="_Toc212805350"/>
      <w:r w:rsidRPr="00FF3825">
        <w:rPr>
          <w:b/>
          <w:bCs/>
          <w:sz w:val="22"/>
          <w:szCs w:val="22"/>
        </w:rPr>
        <w:t>2.2.2. SWOT Analysis</w:t>
      </w:r>
      <w:bookmarkEnd w:id="11"/>
      <w:r w:rsidR="00D23E4C" w:rsidRPr="00FF3825">
        <w:rPr>
          <w:b/>
          <w:bCs/>
          <w:sz w:val="22"/>
          <w:szCs w:val="22"/>
        </w:rPr>
        <w:t xml:space="preserve"> </w:t>
      </w:r>
    </w:p>
    <w:p w14:paraId="1EA4A6A8" w14:textId="58D7A76C" w:rsidR="00AA49FF" w:rsidRDefault="00AA49FF" w:rsidP="00A8719D">
      <w:pPr>
        <w:spacing w:after="0" w:line="360" w:lineRule="auto"/>
        <w:ind w:firstLine="567"/>
        <w:jc w:val="both"/>
        <w:rPr>
          <w:rFonts w:ascii="Arial" w:hAnsi="Arial" w:cs="Arial"/>
          <w:sz w:val="22"/>
          <w:szCs w:val="22"/>
        </w:rPr>
      </w:pPr>
      <w:r w:rsidRPr="00AA49FF">
        <w:rPr>
          <w:rFonts w:ascii="Arial" w:hAnsi="Arial" w:cs="Arial"/>
          <w:sz w:val="22"/>
          <w:szCs w:val="22"/>
        </w:rPr>
        <w:t>Elta Automotive's "SWOT analysis" explains "why" market risks from low-cost imports and emerging vehicle technologies must be counterbalanced by using certified product quality, brand trust, and adaptable innovation strategy</w:t>
      </w:r>
      <w:r>
        <w:rPr>
          <w:rFonts w:ascii="Arial" w:hAnsi="Arial" w:cs="Arial"/>
          <w:sz w:val="22"/>
          <w:szCs w:val="22"/>
        </w:rPr>
        <w:t xml:space="preserve"> – see table </w:t>
      </w:r>
      <w:r w:rsidR="001C6822">
        <w:rPr>
          <w:rFonts w:ascii="Arial" w:hAnsi="Arial" w:cs="Arial"/>
          <w:sz w:val="22"/>
          <w:szCs w:val="22"/>
        </w:rPr>
        <w:t>4 below.</w:t>
      </w:r>
    </w:p>
    <w:p w14:paraId="550D88E2" w14:textId="77777777" w:rsidR="001C6822" w:rsidRPr="0002184F" w:rsidRDefault="001C6822" w:rsidP="00A8719D">
      <w:pPr>
        <w:spacing w:after="0" w:line="360" w:lineRule="auto"/>
        <w:ind w:firstLine="567"/>
        <w:jc w:val="both"/>
        <w:rPr>
          <w:rFonts w:ascii="Arial" w:hAnsi="Arial" w:cs="Arial"/>
          <w:sz w:val="16"/>
          <w:szCs w:val="16"/>
        </w:rPr>
      </w:pPr>
    </w:p>
    <w:p w14:paraId="2484D244" w14:textId="77D3BC51" w:rsidR="00465BFE" w:rsidRPr="006C27A2" w:rsidRDefault="00677017" w:rsidP="006C27A2">
      <w:pPr>
        <w:spacing w:after="0" w:line="360" w:lineRule="auto"/>
        <w:jc w:val="center"/>
        <w:rPr>
          <w:rFonts w:ascii="Arial" w:hAnsi="Arial" w:cs="Arial"/>
          <w:sz w:val="20"/>
          <w:szCs w:val="20"/>
        </w:rPr>
      </w:pPr>
      <w:r w:rsidRPr="006C27A2">
        <w:rPr>
          <w:rFonts w:ascii="Arial" w:hAnsi="Arial" w:cs="Arial"/>
          <w:sz w:val="20"/>
          <w:szCs w:val="20"/>
        </w:rPr>
        <w:t>Table 4</w:t>
      </w:r>
      <w:r w:rsidR="006C27A2" w:rsidRPr="006C27A2">
        <w:rPr>
          <w:rFonts w:ascii="Arial" w:hAnsi="Arial" w:cs="Arial"/>
          <w:sz w:val="20"/>
          <w:szCs w:val="20"/>
        </w:rPr>
        <w:t xml:space="preserve">. </w:t>
      </w:r>
      <w:r w:rsidRPr="006C27A2">
        <w:rPr>
          <w:rFonts w:ascii="Arial" w:hAnsi="Arial" w:cs="Arial"/>
          <w:sz w:val="20"/>
          <w:szCs w:val="20"/>
        </w:rPr>
        <w:t>SWOT: Elta Automotive Ltd in Morocco</w:t>
      </w:r>
    </w:p>
    <w:p w14:paraId="47074D67" w14:textId="0E639C11" w:rsidR="00465BFE" w:rsidRPr="00465BFE" w:rsidRDefault="00677017" w:rsidP="00677017">
      <w:pPr>
        <w:spacing w:after="0" w:line="360" w:lineRule="auto"/>
        <w:jc w:val="center"/>
        <w:rPr>
          <w:rFonts w:ascii="Arial" w:hAnsi="Arial" w:cs="Arial"/>
          <w:sz w:val="20"/>
          <w:szCs w:val="20"/>
        </w:rPr>
      </w:pPr>
      <w:r w:rsidRPr="00677017">
        <w:rPr>
          <w:rFonts w:ascii="Arial" w:hAnsi="Arial" w:cs="Arial"/>
          <w:noProof/>
          <w:sz w:val="20"/>
          <w:szCs w:val="20"/>
        </w:rPr>
        <w:drawing>
          <wp:inline distT="0" distB="0" distL="0" distR="0" wp14:anchorId="1E66F2D9" wp14:editId="702F1A95">
            <wp:extent cx="5731510" cy="2910205"/>
            <wp:effectExtent l="0" t="0" r="2540" b="4445"/>
            <wp:docPr id="1776513328" name="Picture 1" descr="A table with word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513328" name="Picture 1" descr="A table with words on it&#10;&#10;AI-generated content may be incorrect."/>
                    <pic:cNvPicPr/>
                  </pic:nvPicPr>
                  <pic:blipFill>
                    <a:blip r:embed="rId18"/>
                    <a:stretch>
                      <a:fillRect/>
                    </a:stretch>
                  </pic:blipFill>
                  <pic:spPr>
                    <a:xfrm>
                      <a:off x="0" y="0"/>
                      <a:ext cx="5731510" cy="2910205"/>
                    </a:xfrm>
                    <a:prstGeom prst="rect">
                      <a:avLst/>
                    </a:prstGeom>
                  </pic:spPr>
                </pic:pic>
              </a:graphicData>
            </a:graphic>
          </wp:inline>
        </w:drawing>
      </w:r>
    </w:p>
    <w:p w14:paraId="728CE2B7" w14:textId="3E97DB3B" w:rsidR="00296D55" w:rsidRPr="0002184F" w:rsidRDefault="00F849AB" w:rsidP="00F849AB">
      <w:pPr>
        <w:spacing w:after="0" w:line="360" w:lineRule="auto"/>
        <w:jc w:val="center"/>
        <w:rPr>
          <w:rFonts w:ascii="Arial" w:hAnsi="Arial" w:cs="Arial"/>
          <w:i/>
          <w:iCs/>
          <w:sz w:val="22"/>
          <w:szCs w:val="22"/>
        </w:rPr>
      </w:pPr>
      <w:r w:rsidRPr="0002184F">
        <w:rPr>
          <w:rFonts w:ascii="Arial" w:hAnsi="Arial" w:cs="Arial"/>
          <w:i/>
          <w:iCs/>
          <w:sz w:val="20"/>
          <w:szCs w:val="20"/>
        </w:rPr>
        <w:t>(Created by author from IMF, 2024; World Bank, 2024)</w:t>
      </w:r>
    </w:p>
    <w:p w14:paraId="0B5E2D6D" w14:textId="77777777" w:rsidR="00296D55" w:rsidRPr="00953EC0" w:rsidRDefault="00296D55" w:rsidP="00296D55">
      <w:pPr>
        <w:spacing w:after="0" w:line="360" w:lineRule="auto"/>
        <w:jc w:val="both"/>
        <w:rPr>
          <w:rFonts w:ascii="Arial" w:hAnsi="Arial" w:cs="Arial"/>
          <w:sz w:val="16"/>
          <w:szCs w:val="16"/>
        </w:rPr>
      </w:pPr>
    </w:p>
    <w:p w14:paraId="11B73798" w14:textId="03DCAA3F" w:rsidR="005C6A38" w:rsidRDefault="00953EC0" w:rsidP="002809C8">
      <w:pPr>
        <w:spacing w:after="0" w:line="360" w:lineRule="auto"/>
        <w:ind w:firstLine="567"/>
        <w:jc w:val="both"/>
        <w:rPr>
          <w:rFonts w:ascii="Arial" w:hAnsi="Arial" w:cs="Arial"/>
          <w:sz w:val="22"/>
          <w:szCs w:val="22"/>
        </w:rPr>
      </w:pPr>
      <w:r w:rsidRPr="00953EC0">
        <w:rPr>
          <w:rFonts w:ascii="Arial" w:hAnsi="Arial" w:cs="Arial"/>
          <w:sz w:val="22"/>
          <w:szCs w:val="22"/>
        </w:rPr>
        <w:t xml:space="preserve">The company's operating approach matches Morocco's industrial strategy, not only its product line.  The company's ISO 9001 accreditation and 10,000+ SKU portfolio positions it to service a market where 85% of vehicle components (HS 8708) are imported (Policy Centre for the New South, 2024).  Due to the relational character of Moroccan B2B commerce and </w:t>
      </w:r>
      <w:r w:rsidRPr="00953EC0">
        <w:rPr>
          <w:rFonts w:ascii="Arial" w:hAnsi="Arial" w:cs="Arial"/>
          <w:sz w:val="22"/>
          <w:szCs w:val="22"/>
        </w:rPr>
        <w:lastRenderedPageBreak/>
        <w:t>the lack of a local depot, embedded rivals in Tangier Med have structural advantages in responsiveness and trust.  The vehicle base of over 4.5 million vehicles, expanding by 5% yearly, indicates ongoing aftermarket demand (OICA, 2024), but integrated OEM ecosystems connected to Renault, Stellantis, and global tier suppliers like Valeo are crucial to growth (</w:t>
      </w:r>
      <w:proofErr w:type="spellStart"/>
      <w:r w:rsidRPr="00953EC0">
        <w:rPr>
          <w:rFonts w:ascii="Arial" w:hAnsi="Arial" w:cs="Arial"/>
          <w:sz w:val="22"/>
          <w:szCs w:val="22"/>
        </w:rPr>
        <w:t>Amachraa</w:t>
      </w:r>
      <w:proofErr w:type="spellEnd"/>
      <w:r w:rsidRPr="00953EC0">
        <w:rPr>
          <w:rFonts w:ascii="Arial" w:hAnsi="Arial" w:cs="Arial"/>
          <w:sz w:val="22"/>
          <w:szCs w:val="22"/>
        </w:rPr>
        <w:t>, 2023  Localisation incentives and supplier concentration in Tangier and Kenitra drive the country's automotive growth, therefore Elta's strategic sustainability hinges on accessing that ecosystem rather than competing from outside.  The IMF's 2024 assessment affirms Morocco's steady macroeconomic footing and currency flexibility, providing a predictable foundation for development, although importers remain vulnerable to global input prices.</w:t>
      </w:r>
    </w:p>
    <w:p w14:paraId="6F1510EC" w14:textId="3026FA74" w:rsidR="005C6A38" w:rsidRPr="00FF3825" w:rsidRDefault="005C6A38" w:rsidP="00FF3825">
      <w:pPr>
        <w:pStyle w:val="Heading1"/>
        <w:spacing w:before="0" w:after="0"/>
        <w:rPr>
          <w:b/>
          <w:bCs/>
          <w:sz w:val="22"/>
          <w:szCs w:val="22"/>
        </w:rPr>
      </w:pPr>
      <w:bookmarkStart w:id="12" w:name="_Toc212805351"/>
      <w:r w:rsidRPr="00FF3825">
        <w:rPr>
          <w:b/>
          <w:bCs/>
          <w:sz w:val="22"/>
          <w:szCs w:val="22"/>
        </w:rPr>
        <w:t>2.2.3.</w:t>
      </w:r>
      <w:r w:rsidR="00CF77B1" w:rsidRPr="00FF3825">
        <w:rPr>
          <w:b/>
          <w:bCs/>
          <w:sz w:val="22"/>
          <w:szCs w:val="22"/>
        </w:rPr>
        <w:t xml:space="preserve"> Competitor Benchmarking - positioning mapping</w:t>
      </w:r>
      <w:bookmarkEnd w:id="12"/>
    </w:p>
    <w:p w14:paraId="3539D291" w14:textId="24F4C66B" w:rsidR="000175B3" w:rsidRDefault="000175B3" w:rsidP="00953EC0">
      <w:pPr>
        <w:spacing w:after="0" w:line="360" w:lineRule="auto"/>
        <w:ind w:firstLine="567"/>
        <w:jc w:val="both"/>
        <w:rPr>
          <w:rFonts w:ascii="Arial" w:hAnsi="Arial" w:cs="Arial"/>
          <w:sz w:val="22"/>
          <w:szCs w:val="22"/>
        </w:rPr>
      </w:pPr>
      <w:r w:rsidRPr="000175B3">
        <w:rPr>
          <w:rFonts w:ascii="Arial" w:hAnsi="Arial" w:cs="Arial"/>
          <w:sz w:val="22"/>
          <w:szCs w:val="22"/>
        </w:rPr>
        <w:t>This strategic fit explains why Elta must align its value proposition against entrenched Moroccan distributors like AD Maroc, SERVIME, and MSE Parts, whose localised logistics and multi-brand portfolios define the competitive frontier Elta must invade</w:t>
      </w:r>
      <w:r w:rsidR="00895F2B">
        <w:rPr>
          <w:rFonts w:ascii="Arial" w:hAnsi="Arial" w:cs="Arial"/>
          <w:sz w:val="22"/>
          <w:szCs w:val="22"/>
        </w:rPr>
        <w:t xml:space="preserve"> </w:t>
      </w:r>
      <w:r w:rsidR="00C03872">
        <w:rPr>
          <w:rFonts w:ascii="Arial" w:hAnsi="Arial" w:cs="Arial"/>
          <w:sz w:val="22"/>
          <w:szCs w:val="22"/>
        </w:rPr>
        <w:t>(</w:t>
      </w:r>
      <w:r w:rsidR="00895F2B">
        <w:rPr>
          <w:rFonts w:ascii="Arial" w:hAnsi="Arial" w:cs="Arial"/>
          <w:sz w:val="22"/>
          <w:szCs w:val="22"/>
        </w:rPr>
        <w:t>see table 5</w:t>
      </w:r>
      <w:r w:rsidR="00C03872">
        <w:rPr>
          <w:rFonts w:ascii="Arial" w:hAnsi="Arial" w:cs="Arial"/>
          <w:sz w:val="22"/>
          <w:szCs w:val="22"/>
        </w:rPr>
        <w:t>).</w:t>
      </w:r>
    </w:p>
    <w:p w14:paraId="3B0AE49C" w14:textId="77777777" w:rsidR="00C64029" w:rsidRPr="00C64029" w:rsidRDefault="00C64029" w:rsidP="00953EC0">
      <w:pPr>
        <w:spacing w:after="0" w:line="360" w:lineRule="auto"/>
        <w:ind w:firstLine="567"/>
        <w:jc w:val="both"/>
        <w:rPr>
          <w:rFonts w:ascii="Arial" w:hAnsi="Arial" w:cs="Arial"/>
          <w:sz w:val="16"/>
          <w:szCs w:val="16"/>
        </w:rPr>
      </w:pPr>
    </w:p>
    <w:p w14:paraId="1C4E0BC8" w14:textId="22A83EFF" w:rsidR="00296D55" w:rsidRDefault="00C64029" w:rsidP="00C64029">
      <w:pPr>
        <w:spacing w:after="0" w:line="360" w:lineRule="auto"/>
        <w:jc w:val="center"/>
        <w:rPr>
          <w:rFonts w:ascii="Arial" w:hAnsi="Arial" w:cs="Arial"/>
          <w:sz w:val="20"/>
          <w:szCs w:val="20"/>
        </w:rPr>
      </w:pPr>
      <w:r w:rsidRPr="00C64029">
        <w:rPr>
          <w:rFonts w:ascii="Arial" w:hAnsi="Arial" w:cs="Arial"/>
          <w:sz w:val="20"/>
          <w:szCs w:val="20"/>
        </w:rPr>
        <w:t>Table 5. Competitor Benchmarking – Positioning Mapping for Elta Automotive Ltd</w:t>
      </w:r>
    </w:p>
    <w:p w14:paraId="313871DC" w14:textId="7390262A" w:rsidR="00C64029" w:rsidRPr="00C64029" w:rsidRDefault="009778F4" w:rsidP="00C64029">
      <w:pPr>
        <w:spacing w:after="0" w:line="360" w:lineRule="auto"/>
        <w:jc w:val="center"/>
        <w:rPr>
          <w:rFonts w:ascii="Arial" w:hAnsi="Arial" w:cs="Arial"/>
          <w:sz w:val="20"/>
          <w:szCs w:val="20"/>
        </w:rPr>
      </w:pPr>
      <w:r w:rsidRPr="009778F4">
        <w:rPr>
          <w:rFonts w:ascii="Arial" w:hAnsi="Arial" w:cs="Arial"/>
          <w:noProof/>
          <w:sz w:val="20"/>
          <w:szCs w:val="20"/>
        </w:rPr>
        <w:drawing>
          <wp:inline distT="0" distB="0" distL="0" distR="0" wp14:anchorId="7C151017" wp14:editId="2F2C05A6">
            <wp:extent cx="5731510" cy="2613660"/>
            <wp:effectExtent l="0" t="0" r="2540" b="0"/>
            <wp:docPr id="244032065"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032065" name="Picture 1" descr="A white sheet with black text&#10;&#10;AI-generated content may be incorrect."/>
                    <pic:cNvPicPr/>
                  </pic:nvPicPr>
                  <pic:blipFill>
                    <a:blip r:embed="rId19"/>
                    <a:stretch>
                      <a:fillRect/>
                    </a:stretch>
                  </pic:blipFill>
                  <pic:spPr>
                    <a:xfrm>
                      <a:off x="0" y="0"/>
                      <a:ext cx="5731510" cy="2613660"/>
                    </a:xfrm>
                    <a:prstGeom prst="rect">
                      <a:avLst/>
                    </a:prstGeom>
                  </pic:spPr>
                </pic:pic>
              </a:graphicData>
            </a:graphic>
          </wp:inline>
        </w:drawing>
      </w:r>
    </w:p>
    <w:p w14:paraId="5C4C1FD7" w14:textId="5E7FDDCD" w:rsidR="00296D55" w:rsidRPr="009273D7" w:rsidRDefault="009B01E7" w:rsidP="009273D7">
      <w:pPr>
        <w:spacing w:after="0" w:line="360" w:lineRule="auto"/>
        <w:jc w:val="center"/>
        <w:rPr>
          <w:rFonts w:ascii="Arial" w:hAnsi="Arial" w:cs="Arial"/>
          <w:i/>
          <w:iCs/>
          <w:sz w:val="20"/>
          <w:szCs w:val="20"/>
        </w:rPr>
      </w:pPr>
      <w:r w:rsidRPr="009273D7">
        <w:rPr>
          <w:rFonts w:ascii="Arial" w:hAnsi="Arial" w:cs="Arial"/>
          <w:i/>
          <w:iCs/>
          <w:sz w:val="20"/>
          <w:szCs w:val="20"/>
        </w:rPr>
        <w:t xml:space="preserve">(Created by author </w:t>
      </w:r>
      <w:r w:rsidR="009273D7" w:rsidRPr="009273D7">
        <w:rPr>
          <w:rFonts w:ascii="Arial" w:hAnsi="Arial" w:cs="Arial"/>
          <w:i/>
          <w:iCs/>
          <w:sz w:val="20"/>
          <w:szCs w:val="20"/>
        </w:rPr>
        <w:t>-</w:t>
      </w:r>
      <w:r w:rsidRPr="009273D7">
        <w:rPr>
          <w:rFonts w:ascii="Arial" w:hAnsi="Arial" w:cs="Arial"/>
          <w:i/>
          <w:iCs/>
          <w:sz w:val="20"/>
          <w:szCs w:val="20"/>
        </w:rPr>
        <w:t xml:space="preserve"> </w:t>
      </w:r>
      <w:r w:rsidR="009273D7" w:rsidRPr="009273D7">
        <w:rPr>
          <w:rFonts w:ascii="Arial" w:hAnsi="Arial" w:cs="Arial"/>
          <w:i/>
          <w:iCs/>
          <w:sz w:val="20"/>
          <w:szCs w:val="20"/>
        </w:rPr>
        <w:t xml:space="preserve">African Development Bank, 2023); </w:t>
      </w:r>
      <w:r w:rsidRPr="009273D7">
        <w:rPr>
          <w:rFonts w:ascii="Arial" w:hAnsi="Arial" w:cs="Arial"/>
          <w:i/>
          <w:iCs/>
          <w:sz w:val="20"/>
          <w:szCs w:val="20"/>
        </w:rPr>
        <w:t>IMF, 2024)</w:t>
      </w:r>
    </w:p>
    <w:p w14:paraId="78D44187" w14:textId="77777777" w:rsidR="00296D55" w:rsidRPr="009273D7" w:rsidRDefault="00296D55" w:rsidP="00296D55">
      <w:pPr>
        <w:spacing w:after="0" w:line="360" w:lineRule="auto"/>
        <w:jc w:val="both"/>
        <w:rPr>
          <w:rFonts w:ascii="Arial" w:hAnsi="Arial" w:cs="Arial"/>
          <w:sz w:val="16"/>
          <w:szCs w:val="16"/>
        </w:rPr>
      </w:pPr>
    </w:p>
    <w:p w14:paraId="2217DB6A" w14:textId="4F010971" w:rsidR="007D54CD" w:rsidRPr="007D54CD" w:rsidRDefault="007D54CD" w:rsidP="00992C4B">
      <w:pPr>
        <w:spacing w:after="0" w:line="360" w:lineRule="auto"/>
        <w:ind w:firstLine="567"/>
        <w:jc w:val="both"/>
        <w:rPr>
          <w:rFonts w:ascii="Arial" w:hAnsi="Arial" w:cs="Arial"/>
          <w:sz w:val="22"/>
          <w:szCs w:val="22"/>
        </w:rPr>
      </w:pPr>
      <w:bookmarkStart w:id="13" w:name="_Toc212805352"/>
      <w:r w:rsidRPr="007D54CD">
        <w:rPr>
          <w:rFonts w:ascii="Arial" w:hAnsi="Arial" w:cs="Arial"/>
          <w:sz w:val="22"/>
          <w:szCs w:val="22"/>
        </w:rPr>
        <w:t xml:space="preserve">Ultimately, Elta Automotive's long-term success will depend on its ability to distinguish itself via competence rather than cost, which is why the positioning map indicates that price is not a viable competitive strategy in Morocco.  Due to their well-established logistical infrastructure, financial capability, and OEM-backed networks, established businesses like AD Maroc and </w:t>
      </w:r>
      <w:r w:rsidR="00992C4B" w:rsidRPr="007D54CD">
        <w:rPr>
          <w:rFonts w:ascii="Arial" w:hAnsi="Arial" w:cs="Arial"/>
          <w:sz w:val="22"/>
          <w:szCs w:val="22"/>
        </w:rPr>
        <w:t>Europcar</w:t>
      </w:r>
      <w:r w:rsidRPr="007D54CD">
        <w:rPr>
          <w:rFonts w:ascii="Arial" w:hAnsi="Arial" w:cs="Arial"/>
          <w:sz w:val="22"/>
          <w:szCs w:val="22"/>
        </w:rPr>
        <w:t xml:space="preserve"> Car Service continue to dominate (African Development Bank, 2023).  Because of this, we can see why competition based on price is failing:  International providers are unable to maintain cost-leadership tactics in Morocco's import-dependent market structure because of customs duties and port handling charges (IMF, 2024).  The World Bank predicts </w:t>
      </w:r>
      <w:r w:rsidRPr="007D54CD">
        <w:rPr>
          <w:rFonts w:ascii="Arial" w:hAnsi="Arial" w:cs="Arial"/>
          <w:sz w:val="22"/>
          <w:szCs w:val="22"/>
        </w:rPr>
        <w:lastRenderedPageBreak/>
        <w:t>that by 2024, Morocco's industrial strategy would have shifted towards a focus on higher-value vehicle production and technical upgrading, with Elta's strengths—its electrical system dependability, warranty guarantees, and EU-aligned manufacturing standards—fitting the goal.  Success, according to benchmarking, is dependent on trust-building and technical integration, rather than transactional price rivalry</w:t>
      </w:r>
      <w:r w:rsidR="00992C4B">
        <w:rPr>
          <w:rFonts w:ascii="Arial" w:hAnsi="Arial" w:cs="Arial"/>
          <w:sz w:val="22"/>
          <w:szCs w:val="22"/>
        </w:rPr>
        <w:t>.</w:t>
      </w:r>
    </w:p>
    <w:p w14:paraId="5DFC37DA" w14:textId="34DCE101" w:rsidR="00CC7751" w:rsidRPr="007D54CD" w:rsidRDefault="007D54CD" w:rsidP="00992C4B">
      <w:pPr>
        <w:spacing w:after="0" w:line="360" w:lineRule="auto"/>
        <w:ind w:firstLine="567"/>
        <w:jc w:val="both"/>
        <w:rPr>
          <w:rFonts w:ascii="Arial" w:hAnsi="Arial" w:cs="Arial"/>
          <w:sz w:val="22"/>
          <w:szCs w:val="22"/>
        </w:rPr>
      </w:pPr>
      <w:r w:rsidRPr="007D54CD">
        <w:rPr>
          <w:rFonts w:ascii="Arial" w:hAnsi="Arial" w:cs="Arial"/>
          <w:sz w:val="22"/>
          <w:szCs w:val="22"/>
        </w:rPr>
        <w:t xml:space="preserve"> Acknowledging the limits of Porter's Five Forces, SWOT, and Competitor Benchmarking allows them to individually contribute to a deeper understanding.  However, although Porter's approach may shed light on the reasons behind entry barriers and supplier-buyer power limiting profitability, it fails to </w:t>
      </w:r>
      <w:r w:rsidR="00992C4B" w:rsidRPr="007D54CD">
        <w:rPr>
          <w:rFonts w:ascii="Arial" w:hAnsi="Arial" w:cs="Arial"/>
          <w:sz w:val="22"/>
          <w:szCs w:val="22"/>
        </w:rPr>
        <w:t>consider</w:t>
      </w:r>
      <w:r w:rsidRPr="007D54CD">
        <w:rPr>
          <w:rFonts w:ascii="Arial" w:hAnsi="Arial" w:cs="Arial"/>
          <w:sz w:val="22"/>
          <w:szCs w:val="22"/>
        </w:rPr>
        <w:t xml:space="preserve"> the dynamic nature of competition and the rapid pace of aftermarket digitalisation in Morocco.  </w:t>
      </w:r>
      <w:r w:rsidR="00992C4B" w:rsidRPr="007D54CD">
        <w:rPr>
          <w:rFonts w:ascii="Arial" w:hAnsi="Arial" w:cs="Arial"/>
          <w:sz w:val="22"/>
          <w:szCs w:val="22"/>
        </w:rPr>
        <w:t>Although</w:t>
      </w:r>
      <w:r w:rsidRPr="007D54CD">
        <w:rPr>
          <w:rFonts w:ascii="Arial" w:hAnsi="Arial" w:cs="Arial"/>
          <w:sz w:val="22"/>
          <w:szCs w:val="22"/>
        </w:rPr>
        <w:t xml:space="preserve"> SWOT analysis sheds light on internal-external fit, the lack of quantifiable criteria in its qualitative form leads to the possibility of oversimplification.  Strategic positioning based on difference and local adaptation, rather than abstract advantage mapping, is crucial for long-term survival, as shown by Competitor Benchmarking (African Development Bank, 2023).  All things considered, these models provide the analytical groundwork for Elta's strategy formulation and development in Morocco, where findings are transformed into priorities for </w:t>
      </w:r>
      <w:r w:rsidR="00992C4B" w:rsidRPr="007D54CD">
        <w:rPr>
          <w:rFonts w:ascii="Arial" w:hAnsi="Arial" w:cs="Arial"/>
          <w:sz w:val="22"/>
          <w:szCs w:val="22"/>
        </w:rPr>
        <w:t>acting</w:t>
      </w:r>
      <w:r w:rsidRPr="007D54CD">
        <w:rPr>
          <w:rFonts w:ascii="Arial" w:hAnsi="Arial" w:cs="Arial"/>
          <w:sz w:val="22"/>
          <w:szCs w:val="22"/>
        </w:rPr>
        <w:t>.</w:t>
      </w:r>
    </w:p>
    <w:p w14:paraId="43F16E9C" w14:textId="3E97BB60" w:rsidR="00296D55" w:rsidRPr="00FF3825" w:rsidRDefault="00320A78" w:rsidP="00FF3825">
      <w:pPr>
        <w:pStyle w:val="Heading1"/>
        <w:spacing w:before="0" w:after="0"/>
        <w:rPr>
          <w:b/>
          <w:bCs/>
          <w:sz w:val="22"/>
          <w:szCs w:val="22"/>
        </w:rPr>
      </w:pPr>
      <w:r w:rsidRPr="00FF3825">
        <w:rPr>
          <w:b/>
          <w:bCs/>
          <w:sz w:val="22"/>
          <w:szCs w:val="22"/>
        </w:rPr>
        <w:t xml:space="preserve">3. </w:t>
      </w:r>
      <w:r w:rsidR="009A4FC0" w:rsidRPr="00FF3825">
        <w:rPr>
          <w:b/>
          <w:bCs/>
          <w:sz w:val="22"/>
          <w:szCs w:val="22"/>
        </w:rPr>
        <w:t>Strategy Development and Formulation</w:t>
      </w:r>
      <w:bookmarkEnd w:id="13"/>
    </w:p>
    <w:p w14:paraId="106B64B4" w14:textId="73758EEB" w:rsidR="008D72B0" w:rsidRPr="00FF3825" w:rsidRDefault="008D72B0" w:rsidP="00FF3825">
      <w:pPr>
        <w:pStyle w:val="Heading1"/>
        <w:spacing w:before="0" w:after="0"/>
        <w:rPr>
          <w:b/>
          <w:bCs/>
          <w:sz w:val="22"/>
          <w:szCs w:val="22"/>
        </w:rPr>
      </w:pPr>
      <w:bookmarkStart w:id="14" w:name="_Toc212805353"/>
      <w:r w:rsidRPr="00FF3825">
        <w:rPr>
          <w:b/>
          <w:bCs/>
          <w:sz w:val="22"/>
          <w:szCs w:val="22"/>
        </w:rPr>
        <w:t xml:space="preserve">3.1. </w:t>
      </w:r>
      <w:r w:rsidR="00E72399" w:rsidRPr="00FF3825">
        <w:rPr>
          <w:b/>
          <w:bCs/>
          <w:sz w:val="22"/>
          <w:szCs w:val="22"/>
        </w:rPr>
        <w:t xml:space="preserve">The </w:t>
      </w:r>
      <w:r w:rsidR="00AE4234" w:rsidRPr="00FF3825">
        <w:rPr>
          <w:b/>
          <w:bCs/>
          <w:sz w:val="22"/>
          <w:szCs w:val="22"/>
        </w:rPr>
        <w:t>V</w:t>
      </w:r>
      <w:r w:rsidRPr="00FF3825">
        <w:rPr>
          <w:b/>
          <w:bCs/>
          <w:sz w:val="22"/>
          <w:szCs w:val="22"/>
        </w:rPr>
        <w:t xml:space="preserve">ertical joint venture </w:t>
      </w:r>
      <w:r w:rsidR="00E72399" w:rsidRPr="00FF3825">
        <w:rPr>
          <w:b/>
          <w:bCs/>
          <w:sz w:val="22"/>
          <w:szCs w:val="22"/>
        </w:rPr>
        <w:t>entry strategy</w:t>
      </w:r>
      <w:bookmarkEnd w:id="14"/>
    </w:p>
    <w:p w14:paraId="10028738" w14:textId="52AA2D79" w:rsidR="00F86A9F" w:rsidRDefault="008856B9" w:rsidP="005B6B09">
      <w:pPr>
        <w:spacing w:after="0" w:line="360" w:lineRule="auto"/>
        <w:ind w:firstLine="567"/>
        <w:jc w:val="both"/>
        <w:rPr>
          <w:rFonts w:ascii="Arial" w:hAnsi="Arial" w:cs="Arial"/>
          <w:sz w:val="22"/>
          <w:szCs w:val="22"/>
        </w:rPr>
      </w:pPr>
      <w:r>
        <w:rPr>
          <w:rFonts w:ascii="Arial" w:hAnsi="Arial" w:cs="Arial"/>
          <w:sz w:val="22"/>
          <w:szCs w:val="22"/>
        </w:rPr>
        <w:t>It</w:t>
      </w:r>
      <w:r w:rsidR="00F86A9F" w:rsidRPr="00F86A9F">
        <w:rPr>
          <w:rFonts w:ascii="Arial" w:hAnsi="Arial" w:cs="Arial"/>
          <w:sz w:val="22"/>
          <w:szCs w:val="22"/>
        </w:rPr>
        <w:t xml:space="preserve"> allows Elta Automotive to use its supply chain precision in Morocco.  Elta's distribution quality and counterfeit danger would be uncertain if it just exported.  However, a joint venture with a Moroccan distributor like AD Maroc might incorporate ISO 9001 processes directly into the host country's operating levels.  Because Morocco's economy values long-term collaboration and tacit knowledge transfer above transactional contracts, this partnership model works.  Figure 7 demonstrates that vertical JVs link suppliers, local government, contractors, and financiers, so efficiency benefits and trust flow both up and down.</w:t>
      </w:r>
    </w:p>
    <w:p w14:paraId="1FAE2CBD" w14:textId="77777777" w:rsidR="0046134E" w:rsidRPr="0046134E" w:rsidRDefault="0046134E" w:rsidP="0046134E">
      <w:pPr>
        <w:spacing w:after="0" w:line="360" w:lineRule="auto"/>
        <w:jc w:val="center"/>
        <w:rPr>
          <w:rFonts w:ascii="Arial" w:hAnsi="Arial" w:cs="Arial"/>
          <w:sz w:val="16"/>
          <w:szCs w:val="16"/>
        </w:rPr>
      </w:pPr>
    </w:p>
    <w:p w14:paraId="4F556EAA" w14:textId="6AD8924E" w:rsidR="00215795" w:rsidRPr="0046134E" w:rsidRDefault="00EC1680" w:rsidP="0046134E">
      <w:pPr>
        <w:spacing w:after="0" w:line="360" w:lineRule="auto"/>
        <w:jc w:val="center"/>
        <w:rPr>
          <w:rFonts w:ascii="Arial" w:hAnsi="Arial" w:cs="Arial"/>
          <w:sz w:val="20"/>
          <w:szCs w:val="20"/>
        </w:rPr>
      </w:pPr>
      <w:r w:rsidRPr="0046134E">
        <w:rPr>
          <w:rFonts w:ascii="Arial" w:hAnsi="Arial" w:cs="Arial"/>
          <w:sz w:val="20"/>
          <w:szCs w:val="20"/>
        </w:rPr>
        <w:t>Figure 7. Vertical joint venture</w:t>
      </w:r>
      <w:r w:rsidR="005C3D2F" w:rsidRPr="0046134E">
        <w:rPr>
          <w:rFonts w:ascii="Arial" w:hAnsi="Arial" w:cs="Arial"/>
          <w:sz w:val="20"/>
          <w:szCs w:val="20"/>
        </w:rPr>
        <w:t xml:space="preserve"> link stakeholders</w:t>
      </w:r>
      <w:r w:rsidR="0046134E" w:rsidRPr="0046134E">
        <w:rPr>
          <w:sz w:val="20"/>
          <w:szCs w:val="20"/>
        </w:rPr>
        <w:t xml:space="preserve"> (</w:t>
      </w:r>
      <w:r w:rsidR="0046134E" w:rsidRPr="0046134E">
        <w:rPr>
          <w:rFonts w:ascii="Arial" w:hAnsi="Arial" w:cs="Arial"/>
          <w:sz w:val="20"/>
          <w:szCs w:val="20"/>
        </w:rPr>
        <w:t>Williams and Zhang, 2007)</w:t>
      </w:r>
    </w:p>
    <w:p w14:paraId="55805B33" w14:textId="6B4283C9" w:rsidR="00542E3D" w:rsidRPr="00C81C2B" w:rsidRDefault="00542E3D" w:rsidP="00C81C2B">
      <w:pPr>
        <w:spacing w:after="0" w:line="360" w:lineRule="auto"/>
        <w:jc w:val="center"/>
        <w:rPr>
          <w:rFonts w:ascii="Arial" w:hAnsi="Arial" w:cs="Arial"/>
          <w:b/>
          <w:bCs/>
          <w:sz w:val="22"/>
          <w:szCs w:val="22"/>
        </w:rPr>
      </w:pPr>
      <w:r w:rsidRPr="00542E3D">
        <w:rPr>
          <w:rFonts w:ascii="Arial" w:hAnsi="Arial" w:cs="Arial"/>
          <w:b/>
          <w:bCs/>
          <w:noProof/>
          <w:sz w:val="22"/>
          <w:szCs w:val="22"/>
        </w:rPr>
        <w:drawing>
          <wp:inline distT="0" distB="0" distL="0" distR="0" wp14:anchorId="2884AE8B" wp14:editId="7CE3A27B">
            <wp:extent cx="3515096" cy="2457937"/>
            <wp:effectExtent l="0" t="0" r="0" b="0"/>
            <wp:docPr id="645145116"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145116" name="Picture 1" descr="A diagram of a company&#10;&#10;AI-generated content may be incorrect."/>
                    <pic:cNvPicPr/>
                  </pic:nvPicPr>
                  <pic:blipFill>
                    <a:blip r:embed="rId20"/>
                    <a:stretch>
                      <a:fillRect/>
                    </a:stretch>
                  </pic:blipFill>
                  <pic:spPr>
                    <a:xfrm>
                      <a:off x="0" y="0"/>
                      <a:ext cx="3548756" cy="2481474"/>
                    </a:xfrm>
                    <a:prstGeom prst="rect">
                      <a:avLst/>
                    </a:prstGeom>
                  </pic:spPr>
                </pic:pic>
              </a:graphicData>
            </a:graphic>
          </wp:inline>
        </w:drawing>
      </w:r>
    </w:p>
    <w:p w14:paraId="01EFB4A7" w14:textId="14EDF4A0" w:rsidR="00296D55" w:rsidRDefault="0001035D" w:rsidP="0001035D">
      <w:pPr>
        <w:spacing w:after="0" w:line="360" w:lineRule="auto"/>
        <w:ind w:firstLine="567"/>
        <w:jc w:val="both"/>
        <w:rPr>
          <w:rFonts w:ascii="Arial" w:hAnsi="Arial" w:cs="Arial"/>
          <w:sz w:val="22"/>
          <w:szCs w:val="22"/>
        </w:rPr>
      </w:pPr>
      <w:r w:rsidRPr="0001035D">
        <w:rPr>
          <w:rFonts w:ascii="Arial" w:hAnsi="Arial" w:cs="Arial"/>
          <w:sz w:val="22"/>
          <w:szCs w:val="22"/>
        </w:rPr>
        <w:lastRenderedPageBreak/>
        <w:t xml:space="preserve">Joint ownership boosts local responsiveness while retaining Elta's technical control, dealing with unpredictability.  The firm avoids institutional friction that delays independent companies by integrating with Moroccan distributors with regulatory and relational capital.  Shared governance helps partners to learn-by-doing across cultural systems, which is crucial in developing economies, according to Williams and Zhang (2007).  Vertically connected networks that turn imported experience into indigenous capabilities drive Morocco's automotive progress, according to Cherkaoui and </w:t>
      </w:r>
      <w:r w:rsidR="00E22E80" w:rsidRPr="0001035D">
        <w:rPr>
          <w:rFonts w:ascii="Arial" w:hAnsi="Arial" w:cs="Arial"/>
          <w:sz w:val="22"/>
          <w:szCs w:val="22"/>
        </w:rPr>
        <w:t>Abou Abdellah</w:t>
      </w:r>
      <w:r w:rsidRPr="0001035D">
        <w:rPr>
          <w:rFonts w:ascii="Arial" w:hAnsi="Arial" w:cs="Arial"/>
          <w:sz w:val="22"/>
          <w:szCs w:val="22"/>
        </w:rPr>
        <w:t xml:space="preserve"> (2023).  Vertical JVs allow Elta internalise trust, modify systems rapidly, and grow sustainably.  Next part link:  Ansoff's Matrix clarifies these strategic advantages.</w:t>
      </w:r>
    </w:p>
    <w:p w14:paraId="2DF7B719" w14:textId="153C54F3" w:rsidR="008856B9" w:rsidRPr="00FF3825" w:rsidRDefault="008856B9" w:rsidP="00FF3825">
      <w:pPr>
        <w:pStyle w:val="Heading1"/>
        <w:spacing w:before="0" w:after="0"/>
        <w:rPr>
          <w:b/>
          <w:bCs/>
          <w:sz w:val="22"/>
          <w:szCs w:val="22"/>
        </w:rPr>
      </w:pPr>
      <w:bookmarkStart w:id="15" w:name="_Toc212805354"/>
      <w:r w:rsidRPr="00FF3825">
        <w:rPr>
          <w:b/>
          <w:bCs/>
          <w:sz w:val="22"/>
          <w:szCs w:val="22"/>
        </w:rPr>
        <w:t>3.2.</w:t>
      </w:r>
      <w:r w:rsidR="00FE2C53" w:rsidRPr="00FF3825">
        <w:rPr>
          <w:b/>
          <w:bCs/>
          <w:sz w:val="22"/>
          <w:szCs w:val="22"/>
        </w:rPr>
        <w:t xml:space="preserve"> Ansoff Matrix (Market Development)</w:t>
      </w:r>
      <w:bookmarkEnd w:id="15"/>
    </w:p>
    <w:p w14:paraId="70876929" w14:textId="3661A073" w:rsidR="00A83708" w:rsidRDefault="002C52BB" w:rsidP="00781401">
      <w:pPr>
        <w:spacing w:after="0" w:line="360" w:lineRule="auto"/>
        <w:ind w:firstLine="567"/>
        <w:jc w:val="both"/>
        <w:rPr>
          <w:rFonts w:ascii="Arial" w:hAnsi="Arial" w:cs="Arial"/>
          <w:sz w:val="22"/>
          <w:szCs w:val="22"/>
        </w:rPr>
      </w:pPr>
      <w:r w:rsidRPr="002C52BB">
        <w:rPr>
          <w:rFonts w:ascii="Arial" w:hAnsi="Arial" w:cs="Arial"/>
          <w:sz w:val="22"/>
          <w:szCs w:val="22"/>
        </w:rPr>
        <w:t>Figure 8 shows Ansoff's Matrix, and Elta Automotive's expansion into Morocco is an example of a Market Development plan, which involves introducing current goods to a new market that is strategically suitable.  This is not because of the product that Elta offers, but rather because the ecosystem in Morocco is ideal for the scalability of such solutions.  This strategy takes use of the company's tried-and-true VXPRO and XEVO product lines to capitalise on Morocco's soaring need for automotive components that comply with EU standards, rather than diversifying, which would have exposed it to needless design and cost risk</w:t>
      </w:r>
      <w:r w:rsidR="00DA3949">
        <w:rPr>
          <w:rFonts w:ascii="Arial" w:hAnsi="Arial" w:cs="Arial"/>
          <w:sz w:val="22"/>
          <w:szCs w:val="22"/>
        </w:rPr>
        <w:t xml:space="preserve"> (</w:t>
      </w:r>
      <w:r w:rsidRPr="002C52BB">
        <w:rPr>
          <w:rFonts w:ascii="Arial" w:hAnsi="Arial" w:cs="Arial"/>
          <w:sz w:val="22"/>
          <w:szCs w:val="22"/>
        </w:rPr>
        <w:t>Grant</w:t>
      </w:r>
      <w:r w:rsidR="00DA3949">
        <w:rPr>
          <w:rFonts w:ascii="Arial" w:hAnsi="Arial" w:cs="Arial"/>
          <w:sz w:val="22"/>
          <w:szCs w:val="22"/>
        </w:rPr>
        <w:t xml:space="preserve">, </w:t>
      </w:r>
      <w:r w:rsidRPr="002C52BB">
        <w:rPr>
          <w:rFonts w:ascii="Arial" w:hAnsi="Arial" w:cs="Arial"/>
          <w:sz w:val="22"/>
          <w:szCs w:val="22"/>
        </w:rPr>
        <w:t>2024</w:t>
      </w:r>
      <w:r w:rsidR="00DA3949">
        <w:rPr>
          <w:rFonts w:ascii="Arial" w:hAnsi="Arial" w:cs="Arial"/>
          <w:sz w:val="22"/>
          <w:szCs w:val="22"/>
        </w:rPr>
        <w:t>).</w:t>
      </w:r>
    </w:p>
    <w:p w14:paraId="7D3A6A4D" w14:textId="77777777" w:rsidR="00D0403B" w:rsidRPr="00D0403B" w:rsidRDefault="00D0403B" w:rsidP="00781401">
      <w:pPr>
        <w:spacing w:after="0" w:line="360" w:lineRule="auto"/>
        <w:ind w:firstLine="567"/>
        <w:jc w:val="both"/>
        <w:rPr>
          <w:rFonts w:ascii="Arial" w:hAnsi="Arial" w:cs="Arial"/>
          <w:sz w:val="16"/>
          <w:szCs w:val="16"/>
        </w:rPr>
      </w:pPr>
    </w:p>
    <w:p w14:paraId="110B0AAE" w14:textId="486541CB" w:rsidR="00781401" w:rsidRPr="00D0403B" w:rsidRDefault="00D0403B" w:rsidP="00D0403B">
      <w:pPr>
        <w:spacing w:after="0" w:line="360" w:lineRule="auto"/>
        <w:jc w:val="center"/>
        <w:rPr>
          <w:rFonts w:ascii="Arial" w:hAnsi="Arial" w:cs="Arial"/>
          <w:sz w:val="20"/>
          <w:szCs w:val="20"/>
        </w:rPr>
      </w:pPr>
      <w:r w:rsidRPr="00D0403B">
        <w:rPr>
          <w:rFonts w:ascii="Arial" w:hAnsi="Arial" w:cs="Arial"/>
          <w:sz w:val="20"/>
          <w:szCs w:val="20"/>
        </w:rPr>
        <w:t>Figure 8. Elta’s Ansoff Matrix</w:t>
      </w:r>
    </w:p>
    <w:p w14:paraId="0B721303" w14:textId="63596FCA" w:rsidR="00296D55" w:rsidRDefault="00A83708" w:rsidP="00A83708">
      <w:pPr>
        <w:spacing w:after="0" w:line="360" w:lineRule="auto"/>
        <w:jc w:val="center"/>
        <w:rPr>
          <w:rFonts w:ascii="Arial" w:hAnsi="Arial" w:cs="Arial"/>
          <w:b/>
          <w:bCs/>
          <w:sz w:val="22"/>
          <w:szCs w:val="22"/>
        </w:rPr>
      </w:pPr>
      <w:r>
        <w:rPr>
          <w:rFonts w:ascii="Arial" w:hAnsi="Arial" w:cs="Arial"/>
          <w:b/>
          <w:bCs/>
          <w:noProof/>
          <w:sz w:val="22"/>
          <w:szCs w:val="22"/>
        </w:rPr>
        <w:drawing>
          <wp:inline distT="0" distB="0" distL="0" distR="0" wp14:anchorId="6B55F58E" wp14:editId="1E175811">
            <wp:extent cx="3325091" cy="2309292"/>
            <wp:effectExtent l="0" t="0" r="8890" b="0"/>
            <wp:docPr id="17556855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53521" cy="2329037"/>
                    </a:xfrm>
                    <a:prstGeom prst="rect">
                      <a:avLst/>
                    </a:prstGeom>
                    <a:noFill/>
                  </pic:spPr>
                </pic:pic>
              </a:graphicData>
            </a:graphic>
          </wp:inline>
        </w:drawing>
      </w:r>
    </w:p>
    <w:p w14:paraId="428D17B6" w14:textId="3FCEA12F" w:rsidR="00296D55" w:rsidRPr="00E932E1" w:rsidRDefault="00781401" w:rsidP="00781401">
      <w:pPr>
        <w:spacing w:after="0" w:line="360" w:lineRule="auto"/>
        <w:jc w:val="center"/>
        <w:rPr>
          <w:rFonts w:ascii="Arial" w:hAnsi="Arial" w:cs="Arial"/>
          <w:i/>
          <w:iCs/>
          <w:sz w:val="20"/>
          <w:szCs w:val="20"/>
        </w:rPr>
      </w:pPr>
      <w:r w:rsidRPr="00E932E1">
        <w:rPr>
          <w:rFonts w:ascii="Arial" w:hAnsi="Arial" w:cs="Arial"/>
          <w:i/>
          <w:iCs/>
          <w:sz w:val="20"/>
          <w:szCs w:val="20"/>
        </w:rPr>
        <w:t>(Source: Created by author, UK-MA, 2024)</w:t>
      </w:r>
    </w:p>
    <w:p w14:paraId="6ACEC6B9" w14:textId="77777777" w:rsidR="00586782" w:rsidRPr="00586782" w:rsidRDefault="00586782" w:rsidP="00781401">
      <w:pPr>
        <w:spacing w:after="0" w:line="360" w:lineRule="auto"/>
        <w:jc w:val="center"/>
        <w:rPr>
          <w:rFonts w:ascii="Arial" w:hAnsi="Arial" w:cs="Arial"/>
          <w:sz w:val="16"/>
          <w:szCs w:val="16"/>
        </w:rPr>
      </w:pPr>
    </w:p>
    <w:p w14:paraId="41ADACD2" w14:textId="400D0D2D" w:rsidR="005E5F9C" w:rsidRPr="00AE792F" w:rsidRDefault="00AE792F" w:rsidP="00AE792F">
      <w:pPr>
        <w:spacing w:after="0" w:line="360" w:lineRule="auto"/>
        <w:ind w:firstLine="567"/>
        <w:jc w:val="both"/>
        <w:rPr>
          <w:rFonts w:ascii="Arial" w:hAnsi="Arial" w:cs="Arial"/>
          <w:sz w:val="22"/>
          <w:szCs w:val="22"/>
        </w:rPr>
      </w:pPr>
      <w:bookmarkStart w:id="16" w:name="_Toc212805355"/>
      <w:r w:rsidRPr="00AE792F">
        <w:rPr>
          <w:rFonts w:ascii="Arial" w:hAnsi="Arial" w:cs="Arial"/>
          <w:sz w:val="22"/>
          <w:szCs w:val="22"/>
        </w:rPr>
        <w:t xml:space="preserve">Elta integrates with Morocco's EU-aligned trade and logistics frameworks, which cut adaption costs and facilitate scalable market expansion, reducing operational friction caused by physical distance.  This clarifies how Elta can move core resources to Morocco via the EU vehicle alignment without any structural interruption, in line with Hitt et al. (2024).  Management routines adapt with local partners, boosting economies of learning, which in turn boosts competitiveness when a company expands into nearby markets (Grant, 2024).  </w:t>
      </w:r>
      <w:r w:rsidRPr="00AE792F">
        <w:rPr>
          <w:rFonts w:ascii="Arial" w:hAnsi="Arial" w:cs="Arial"/>
          <w:sz w:val="22"/>
          <w:szCs w:val="22"/>
        </w:rPr>
        <w:lastRenderedPageBreak/>
        <w:t>Therefore, Elta's market-development move is a calculated advance rather than a daring leap; it is in line with Porter's Generic Strategies to support differentiation-led competitiveness.</w:t>
      </w:r>
    </w:p>
    <w:p w14:paraId="066F181A" w14:textId="045811C0" w:rsidR="00AE4234" w:rsidRPr="00B3090E" w:rsidRDefault="00AE4234" w:rsidP="00B3090E">
      <w:pPr>
        <w:pStyle w:val="Heading1"/>
        <w:spacing w:before="0" w:after="0"/>
        <w:rPr>
          <w:b/>
          <w:bCs/>
          <w:sz w:val="22"/>
          <w:szCs w:val="22"/>
        </w:rPr>
      </w:pPr>
      <w:r w:rsidRPr="00B3090E">
        <w:rPr>
          <w:b/>
          <w:bCs/>
          <w:sz w:val="22"/>
          <w:szCs w:val="22"/>
        </w:rPr>
        <w:t xml:space="preserve">3.3. </w:t>
      </w:r>
      <w:r w:rsidR="006208C9" w:rsidRPr="00B3090E">
        <w:rPr>
          <w:b/>
          <w:bCs/>
          <w:sz w:val="22"/>
          <w:szCs w:val="22"/>
        </w:rPr>
        <w:t>Porter’s Generic Strategies (Cost Leadership, Differentiation, Focus)</w:t>
      </w:r>
      <w:bookmarkEnd w:id="16"/>
    </w:p>
    <w:p w14:paraId="66A9DE47" w14:textId="747290E9" w:rsidR="00DF2FE1" w:rsidRDefault="00455C65" w:rsidP="00455C65">
      <w:pPr>
        <w:spacing w:after="0" w:line="360" w:lineRule="auto"/>
        <w:ind w:firstLine="567"/>
        <w:jc w:val="both"/>
        <w:rPr>
          <w:rFonts w:ascii="Arial" w:hAnsi="Arial" w:cs="Arial"/>
          <w:sz w:val="22"/>
          <w:szCs w:val="22"/>
        </w:rPr>
      </w:pPr>
      <w:r w:rsidRPr="00455C65">
        <w:rPr>
          <w:rFonts w:ascii="Arial" w:hAnsi="Arial" w:cs="Arial"/>
          <w:sz w:val="22"/>
          <w:szCs w:val="22"/>
        </w:rPr>
        <w:t xml:space="preserve">Figure 9 shows that Porter's Generic Strategies framework shows how Elta Automotive </w:t>
      </w:r>
      <w:r w:rsidR="00B85409" w:rsidRPr="00455C65">
        <w:rPr>
          <w:rFonts w:ascii="Arial" w:hAnsi="Arial" w:cs="Arial"/>
          <w:sz w:val="22"/>
          <w:szCs w:val="22"/>
        </w:rPr>
        <w:t>must</w:t>
      </w:r>
      <w:r w:rsidRPr="00455C65">
        <w:rPr>
          <w:rFonts w:ascii="Arial" w:hAnsi="Arial" w:cs="Arial"/>
          <w:sz w:val="22"/>
          <w:szCs w:val="22"/>
        </w:rPr>
        <w:t xml:space="preserve"> set itself out in Morocco's aftermarket by focussing on differentiation instead of competing on price.  </w:t>
      </w:r>
    </w:p>
    <w:p w14:paraId="796B1E90" w14:textId="77777777" w:rsidR="00B85409" w:rsidRPr="000926B2" w:rsidRDefault="00B85409" w:rsidP="00455C65">
      <w:pPr>
        <w:spacing w:after="0" w:line="360" w:lineRule="auto"/>
        <w:ind w:firstLine="567"/>
        <w:jc w:val="both"/>
        <w:rPr>
          <w:rFonts w:ascii="Arial" w:hAnsi="Arial" w:cs="Arial"/>
          <w:sz w:val="16"/>
          <w:szCs w:val="16"/>
        </w:rPr>
      </w:pPr>
    </w:p>
    <w:p w14:paraId="64BABFC3" w14:textId="3FE59D75" w:rsidR="00B85409" w:rsidRPr="000926B2" w:rsidRDefault="00B85409" w:rsidP="000926B2">
      <w:pPr>
        <w:spacing w:after="0" w:line="360" w:lineRule="auto"/>
        <w:jc w:val="center"/>
        <w:rPr>
          <w:rFonts w:ascii="Arial" w:hAnsi="Arial" w:cs="Arial"/>
          <w:sz w:val="20"/>
          <w:szCs w:val="20"/>
        </w:rPr>
      </w:pPr>
      <w:r w:rsidRPr="000926B2">
        <w:rPr>
          <w:rFonts w:ascii="Arial" w:hAnsi="Arial" w:cs="Arial"/>
          <w:sz w:val="20"/>
          <w:szCs w:val="20"/>
        </w:rPr>
        <w:t>Figure 9</w:t>
      </w:r>
      <w:r w:rsidR="000926B2" w:rsidRPr="000926B2">
        <w:rPr>
          <w:rFonts w:ascii="Arial" w:hAnsi="Arial" w:cs="Arial"/>
          <w:sz w:val="20"/>
          <w:szCs w:val="20"/>
        </w:rPr>
        <w:t>.</w:t>
      </w:r>
      <w:r w:rsidRPr="000926B2">
        <w:rPr>
          <w:rFonts w:ascii="Arial" w:hAnsi="Arial" w:cs="Arial"/>
          <w:sz w:val="20"/>
          <w:szCs w:val="20"/>
        </w:rPr>
        <w:t xml:space="preserve"> Porter's Generic Strategies framework</w:t>
      </w:r>
      <w:r w:rsidR="000926B2" w:rsidRPr="000926B2">
        <w:rPr>
          <w:rFonts w:ascii="Arial" w:hAnsi="Arial" w:cs="Arial"/>
          <w:sz w:val="20"/>
          <w:szCs w:val="20"/>
        </w:rPr>
        <w:t xml:space="preserve"> (Elta Automotive)</w:t>
      </w:r>
    </w:p>
    <w:p w14:paraId="1607E973" w14:textId="33152480" w:rsidR="00DF2FE1" w:rsidRDefault="00B85409" w:rsidP="000926B2">
      <w:pPr>
        <w:spacing w:after="0" w:line="360" w:lineRule="auto"/>
        <w:jc w:val="center"/>
        <w:rPr>
          <w:rFonts w:ascii="Arial" w:hAnsi="Arial" w:cs="Arial"/>
          <w:sz w:val="22"/>
          <w:szCs w:val="22"/>
        </w:rPr>
      </w:pPr>
      <w:r>
        <w:rPr>
          <w:rFonts w:ascii="Arial" w:hAnsi="Arial" w:cs="Arial"/>
          <w:noProof/>
          <w:sz w:val="22"/>
          <w:szCs w:val="22"/>
        </w:rPr>
        <w:drawing>
          <wp:inline distT="0" distB="0" distL="0" distR="0" wp14:anchorId="2EDFC37F" wp14:editId="6EE937F8">
            <wp:extent cx="3746665" cy="2339720"/>
            <wp:effectExtent l="0" t="0" r="6350" b="3810"/>
            <wp:docPr id="8830300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86705" cy="2364724"/>
                    </a:xfrm>
                    <a:prstGeom prst="rect">
                      <a:avLst/>
                    </a:prstGeom>
                    <a:noFill/>
                  </pic:spPr>
                </pic:pic>
              </a:graphicData>
            </a:graphic>
          </wp:inline>
        </w:drawing>
      </w:r>
    </w:p>
    <w:p w14:paraId="49E6499B" w14:textId="43EE805D" w:rsidR="00B43F96" w:rsidRPr="00F43265" w:rsidRDefault="00B43F96" w:rsidP="000926B2">
      <w:pPr>
        <w:spacing w:after="0" w:line="360" w:lineRule="auto"/>
        <w:jc w:val="center"/>
        <w:rPr>
          <w:rFonts w:ascii="Arial" w:hAnsi="Arial" w:cs="Arial"/>
          <w:i/>
          <w:iCs/>
          <w:sz w:val="20"/>
          <w:szCs w:val="20"/>
        </w:rPr>
      </w:pPr>
      <w:r w:rsidRPr="00F43265">
        <w:rPr>
          <w:rFonts w:ascii="Arial" w:hAnsi="Arial" w:cs="Arial"/>
          <w:i/>
          <w:iCs/>
          <w:sz w:val="20"/>
          <w:szCs w:val="20"/>
        </w:rPr>
        <w:t xml:space="preserve">(Source: Created by author, </w:t>
      </w:r>
      <w:r w:rsidR="0013057D" w:rsidRPr="00F43265">
        <w:rPr>
          <w:rFonts w:ascii="Arial" w:hAnsi="Arial" w:cs="Arial"/>
          <w:i/>
          <w:iCs/>
          <w:sz w:val="20"/>
          <w:szCs w:val="20"/>
        </w:rPr>
        <w:t>Porter, 1985</w:t>
      </w:r>
      <w:r w:rsidRPr="00F43265">
        <w:rPr>
          <w:rFonts w:ascii="Arial" w:hAnsi="Arial" w:cs="Arial"/>
          <w:i/>
          <w:iCs/>
          <w:sz w:val="20"/>
          <w:szCs w:val="20"/>
        </w:rPr>
        <w:t>)</w:t>
      </w:r>
    </w:p>
    <w:p w14:paraId="07147483" w14:textId="77777777" w:rsidR="00DF2FE1" w:rsidRPr="00F43265" w:rsidRDefault="00DF2FE1" w:rsidP="00583F18">
      <w:pPr>
        <w:spacing w:after="0" w:line="360" w:lineRule="auto"/>
        <w:jc w:val="both"/>
        <w:rPr>
          <w:rFonts w:ascii="Arial" w:hAnsi="Arial" w:cs="Arial"/>
          <w:i/>
          <w:iCs/>
          <w:sz w:val="16"/>
          <w:szCs w:val="16"/>
        </w:rPr>
      </w:pPr>
    </w:p>
    <w:p w14:paraId="52DDCC05" w14:textId="402FCCEC" w:rsidR="00703299" w:rsidRPr="004E35FC" w:rsidRDefault="004E35FC" w:rsidP="004E35FC">
      <w:pPr>
        <w:spacing w:after="0" w:line="360" w:lineRule="auto"/>
        <w:ind w:firstLine="567"/>
        <w:contextualSpacing/>
        <w:jc w:val="both"/>
        <w:rPr>
          <w:rFonts w:ascii="Arial" w:hAnsi="Arial" w:cs="Arial"/>
          <w:sz w:val="22"/>
          <w:szCs w:val="22"/>
        </w:rPr>
      </w:pPr>
      <w:bookmarkStart w:id="17" w:name="_Toc212805356"/>
      <w:r w:rsidRPr="004E35FC">
        <w:rPr>
          <w:rFonts w:ascii="Arial" w:hAnsi="Arial" w:cs="Arial"/>
          <w:sz w:val="22"/>
          <w:szCs w:val="22"/>
        </w:rPr>
        <w:t xml:space="preserve">The Moroccan aftermarket values authenticity and reputation more than price sensitivity, which is why Elta's verified quality, dependability, and ISO-based traceability are significant.  Given this, it's easy to see how Elta's efforts to achieve cost leadership would backfire, eroding the company's reputation and forcing it to compete head-on with low-priced imports from Turkey and China.  Elta could suggest this by highlighting its unique selling points and reaching out to niche distributors that place a premium on authentic European parts </w:t>
      </w:r>
      <w:proofErr w:type="gramStart"/>
      <w:r w:rsidRPr="004E35FC">
        <w:rPr>
          <w:rFonts w:ascii="Arial" w:hAnsi="Arial" w:cs="Arial"/>
          <w:sz w:val="22"/>
          <w:szCs w:val="22"/>
        </w:rPr>
        <w:t>in order to</w:t>
      </w:r>
      <w:proofErr w:type="gramEnd"/>
      <w:r w:rsidRPr="004E35FC">
        <w:rPr>
          <w:rFonts w:ascii="Arial" w:hAnsi="Arial" w:cs="Arial"/>
          <w:sz w:val="22"/>
          <w:szCs w:val="22"/>
        </w:rPr>
        <w:t xml:space="preserve"> safeguard profit margins.  This plan will only be successful if Elta keeps its products distinct by frequent evaluations of performance, lightning-fast shipping, and in-depth technical education for its business associates.  According to Porter's model, competitive advantage develops when distinctiveness is maintained by operational alignment (Porter, 1985).  Thus, differentiation is the natural progression to the VRIO model, which explains how these assets contribute to sustainable competitive advantage.</w:t>
      </w:r>
    </w:p>
    <w:p w14:paraId="447E0FAF" w14:textId="6A8030D2" w:rsidR="0078581D" w:rsidRPr="00B3090E" w:rsidRDefault="0078581D" w:rsidP="00B3090E">
      <w:pPr>
        <w:pStyle w:val="Heading1"/>
        <w:spacing w:before="0" w:after="0"/>
        <w:rPr>
          <w:b/>
          <w:bCs/>
          <w:sz w:val="22"/>
          <w:szCs w:val="22"/>
        </w:rPr>
      </w:pPr>
      <w:r w:rsidRPr="00B3090E">
        <w:rPr>
          <w:b/>
          <w:bCs/>
          <w:sz w:val="22"/>
          <w:szCs w:val="22"/>
        </w:rPr>
        <w:t>3.4. Elta’s VRIO Framework (Resources and capabilities)</w:t>
      </w:r>
      <w:bookmarkEnd w:id="17"/>
    </w:p>
    <w:p w14:paraId="239B53FA" w14:textId="77777777" w:rsidR="00F0727C" w:rsidRDefault="00F0727C" w:rsidP="00F0727C">
      <w:pPr>
        <w:spacing w:after="0" w:line="360" w:lineRule="auto"/>
        <w:ind w:firstLine="567"/>
        <w:jc w:val="both"/>
        <w:rPr>
          <w:rFonts w:ascii="Arial" w:hAnsi="Arial" w:cs="Arial"/>
          <w:sz w:val="22"/>
          <w:szCs w:val="22"/>
        </w:rPr>
      </w:pPr>
      <w:r w:rsidRPr="00F0727C">
        <w:rPr>
          <w:rFonts w:ascii="Arial" w:hAnsi="Arial" w:cs="Arial"/>
          <w:sz w:val="22"/>
          <w:szCs w:val="22"/>
        </w:rPr>
        <w:t>Figure 10 shows how internal resources maintain competitive advantage via Value, Rarity, Inimitability, and Organisation.  For Elta Automotive's Moroccan growth, the framework shows why success relies on connecting resources into a cohesive structure that maximises efficiency and trust.</w:t>
      </w:r>
    </w:p>
    <w:p w14:paraId="1B1AE1DF" w14:textId="77777777" w:rsidR="0035712A" w:rsidRDefault="0035712A" w:rsidP="00F0727C">
      <w:pPr>
        <w:spacing w:after="0" w:line="360" w:lineRule="auto"/>
        <w:ind w:firstLine="567"/>
        <w:jc w:val="both"/>
        <w:rPr>
          <w:rFonts w:ascii="Arial" w:hAnsi="Arial" w:cs="Arial"/>
          <w:sz w:val="22"/>
          <w:szCs w:val="22"/>
        </w:rPr>
      </w:pPr>
    </w:p>
    <w:p w14:paraId="0BB29DB9" w14:textId="6366485C" w:rsidR="00454C2C" w:rsidRPr="0026568D" w:rsidRDefault="00454C2C" w:rsidP="0026568D">
      <w:pPr>
        <w:spacing w:after="0" w:line="240" w:lineRule="auto"/>
        <w:jc w:val="center"/>
        <w:rPr>
          <w:rFonts w:ascii="Arial" w:hAnsi="Arial" w:cs="Arial"/>
          <w:sz w:val="20"/>
          <w:szCs w:val="20"/>
        </w:rPr>
      </w:pPr>
      <w:r w:rsidRPr="0026568D">
        <w:rPr>
          <w:rFonts w:ascii="Arial" w:hAnsi="Arial" w:cs="Arial"/>
          <w:sz w:val="20"/>
          <w:szCs w:val="20"/>
        </w:rPr>
        <w:lastRenderedPageBreak/>
        <w:t>Figure 10. VRIO Framework</w:t>
      </w:r>
      <w:r w:rsidR="004342EE">
        <w:rPr>
          <w:rFonts w:ascii="Arial" w:hAnsi="Arial" w:cs="Arial"/>
          <w:sz w:val="20"/>
          <w:szCs w:val="20"/>
        </w:rPr>
        <w:t xml:space="preserve"> </w:t>
      </w:r>
      <w:bookmarkStart w:id="18" w:name="_Hlk211953047"/>
      <w:r w:rsidR="004342EE">
        <w:rPr>
          <w:rFonts w:ascii="Arial" w:hAnsi="Arial" w:cs="Arial"/>
          <w:sz w:val="20"/>
          <w:szCs w:val="20"/>
        </w:rPr>
        <w:t>(</w:t>
      </w:r>
      <w:r w:rsidR="004342EE" w:rsidRPr="004342EE">
        <w:rPr>
          <w:rFonts w:ascii="Arial" w:hAnsi="Arial" w:cs="Arial"/>
          <w:sz w:val="20"/>
          <w:szCs w:val="20"/>
        </w:rPr>
        <w:t>Knott</w:t>
      </w:r>
      <w:r w:rsidR="004342EE">
        <w:rPr>
          <w:rFonts w:ascii="Arial" w:hAnsi="Arial" w:cs="Arial"/>
          <w:sz w:val="20"/>
          <w:szCs w:val="20"/>
        </w:rPr>
        <w:t xml:space="preserve">, </w:t>
      </w:r>
      <w:r w:rsidR="004342EE" w:rsidRPr="004342EE">
        <w:rPr>
          <w:rFonts w:ascii="Arial" w:hAnsi="Arial" w:cs="Arial"/>
          <w:sz w:val="20"/>
          <w:szCs w:val="20"/>
        </w:rPr>
        <w:t>2022)</w:t>
      </w:r>
    </w:p>
    <w:bookmarkEnd w:id="18"/>
    <w:p w14:paraId="237D6056" w14:textId="1364F75B" w:rsidR="00990CFC" w:rsidRDefault="00990CFC" w:rsidP="004342EE">
      <w:pPr>
        <w:spacing w:after="0" w:line="360" w:lineRule="auto"/>
        <w:jc w:val="center"/>
        <w:rPr>
          <w:rFonts w:ascii="Arial" w:hAnsi="Arial" w:cs="Arial"/>
          <w:sz w:val="20"/>
          <w:szCs w:val="20"/>
        </w:rPr>
      </w:pPr>
      <w:r w:rsidRPr="00990CFC">
        <w:rPr>
          <w:rFonts w:ascii="Arial" w:hAnsi="Arial" w:cs="Arial"/>
          <w:noProof/>
          <w:sz w:val="20"/>
          <w:szCs w:val="20"/>
        </w:rPr>
        <w:drawing>
          <wp:inline distT="0" distB="0" distL="0" distR="0" wp14:anchorId="25C16494" wp14:editId="2260E443">
            <wp:extent cx="3941914" cy="2215525"/>
            <wp:effectExtent l="0" t="0" r="1905" b="0"/>
            <wp:docPr id="956324196" name="Picture 5"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RIO Framework EXPLAINED with EXAMPLES | B2U"/>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52398" cy="2221418"/>
                    </a:xfrm>
                    <a:prstGeom prst="rect">
                      <a:avLst/>
                    </a:prstGeom>
                    <a:noFill/>
                    <a:ln>
                      <a:noFill/>
                    </a:ln>
                  </pic:spPr>
                </pic:pic>
              </a:graphicData>
            </a:graphic>
          </wp:inline>
        </w:drawing>
      </w:r>
    </w:p>
    <w:p w14:paraId="6C4AED17" w14:textId="77777777" w:rsidR="004342EE" w:rsidRPr="004342EE" w:rsidRDefault="004342EE" w:rsidP="004342EE">
      <w:pPr>
        <w:spacing w:after="0" w:line="360" w:lineRule="auto"/>
        <w:jc w:val="center"/>
        <w:rPr>
          <w:rFonts w:ascii="Arial" w:hAnsi="Arial" w:cs="Arial"/>
          <w:sz w:val="16"/>
          <w:szCs w:val="16"/>
        </w:rPr>
      </w:pPr>
    </w:p>
    <w:p w14:paraId="265E9650" w14:textId="77777777" w:rsidR="00CC05B7" w:rsidRDefault="00F0727C" w:rsidP="00F0727C">
      <w:pPr>
        <w:spacing w:after="0" w:line="360" w:lineRule="auto"/>
        <w:ind w:firstLine="567"/>
        <w:jc w:val="both"/>
        <w:rPr>
          <w:rFonts w:ascii="Arial" w:hAnsi="Arial" w:cs="Arial"/>
          <w:sz w:val="22"/>
          <w:szCs w:val="22"/>
        </w:rPr>
      </w:pPr>
      <w:r w:rsidRPr="00F0727C">
        <w:rPr>
          <w:rFonts w:ascii="Arial" w:hAnsi="Arial" w:cs="Arial"/>
          <w:sz w:val="22"/>
          <w:szCs w:val="22"/>
        </w:rPr>
        <w:t xml:space="preserve"> Elta outperforms in “Valuable” and “Organised”</w:t>
      </w:r>
      <w:bookmarkStart w:id="19" w:name="_Hlk211952960"/>
      <w:r w:rsidRPr="00F0727C">
        <w:rPr>
          <w:rFonts w:ascii="Arial" w:hAnsi="Arial" w:cs="Arial"/>
          <w:sz w:val="22"/>
          <w:szCs w:val="22"/>
        </w:rPr>
        <w:t xml:space="preserve"> (Figure 11).  </w:t>
      </w:r>
      <w:bookmarkEnd w:id="19"/>
      <w:r w:rsidRPr="00F0727C">
        <w:rPr>
          <w:rFonts w:ascii="Arial" w:hAnsi="Arial" w:cs="Arial"/>
          <w:sz w:val="22"/>
          <w:szCs w:val="22"/>
        </w:rPr>
        <w:t xml:space="preserve">In a price-sensitive market, its ISO 9001-certified systems, wide product portfolio, and organised distribution network boost operational dependability and consumer confidence.  How these resources into durable advantage </w:t>
      </w:r>
      <w:r w:rsidR="00CC05B7" w:rsidRPr="00F0727C">
        <w:rPr>
          <w:rFonts w:ascii="Arial" w:hAnsi="Arial" w:cs="Arial"/>
          <w:sz w:val="22"/>
          <w:szCs w:val="22"/>
        </w:rPr>
        <w:t>are</w:t>
      </w:r>
      <w:r w:rsidRPr="00F0727C">
        <w:rPr>
          <w:rFonts w:ascii="Arial" w:hAnsi="Arial" w:cs="Arial"/>
          <w:sz w:val="22"/>
          <w:szCs w:val="22"/>
        </w:rPr>
        <w:t xml:space="preserve"> the question. </w:t>
      </w:r>
    </w:p>
    <w:p w14:paraId="001AE931" w14:textId="77777777" w:rsidR="00CC05B7" w:rsidRPr="00DD49A3" w:rsidRDefault="00CC05B7" w:rsidP="00F0727C">
      <w:pPr>
        <w:spacing w:after="0" w:line="360" w:lineRule="auto"/>
        <w:ind w:firstLine="567"/>
        <w:jc w:val="both"/>
        <w:rPr>
          <w:rFonts w:ascii="Arial" w:hAnsi="Arial" w:cs="Arial"/>
          <w:sz w:val="16"/>
          <w:szCs w:val="16"/>
        </w:rPr>
      </w:pPr>
    </w:p>
    <w:p w14:paraId="37BD74A8" w14:textId="4CFED5D2" w:rsidR="00CC05B7" w:rsidRPr="00DD49A3" w:rsidRDefault="00B22FE3" w:rsidP="00DD49A3">
      <w:pPr>
        <w:spacing w:after="0" w:line="360" w:lineRule="auto"/>
        <w:jc w:val="center"/>
        <w:rPr>
          <w:rFonts w:ascii="Arial" w:hAnsi="Arial" w:cs="Arial"/>
          <w:sz w:val="20"/>
          <w:szCs w:val="20"/>
        </w:rPr>
      </w:pPr>
      <w:r w:rsidRPr="00DD49A3">
        <w:rPr>
          <w:rFonts w:ascii="Arial" w:hAnsi="Arial" w:cs="Arial"/>
          <w:sz w:val="20"/>
          <w:szCs w:val="20"/>
        </w:rPr>
        <w:t xml:space="preserve">Figure 11.  </w:t>
      </w:r>
      <w:r w:rsidR="00DD49A3" w:rsidRPr="00DD49A3">
        <w:rPr>
          <w:rFonts w:ascii="Arial" w:hAnsi="Arial" w:cs="Arial"/>
          <w:sz w:val="20"/>
          <w:szCs w:val="20"/>
        </w:rPr>
        <w:t>Elta outperforms in “Valuable” and “Organised</w:t>
      </w:r>
    </w:p>
    <w:p w14:paraId="47D9C621" w14:textId="380DAC4D" w:rsidR="00CC05B7" w:rsidRDefault="00B22FE3" w:rsidP="00DD49A3">
      <w:pPr>
        <w:spacing w:after="0" w:line="360" w:lineRule="auto"/>
        <w:jc w:val="center"/>
        <w:rPr>
          <w:rFonts w:ascii="Arial" w:hAnsi="Arial" w:cs="Arial"/>
          <w:sz w:val="22"/>
          <w:szCs w:val="22"/>
        </w:rPr>
      </w:pPr>
      <w:r>
        <w:rPr>
          <w:rFonts w:ascii="Arial" w:hAnsi="Arial" w:cs="Arial"/>
          <w:noProof/>
          <w:sz w:val="22"/>
          <w:szCs w:val="22"/>
        </w:rPr>
        <w:drawing>
          <wp:inline distT="0" distB="0" distL="0" distR="0" wp14:anchorId="5520B6C6" wp14:editId="2C038113">
            <wp:extent cx="4223789" cy="2474378"/>
            <wp:effectExtent l="0" t="0" r="5715" b="2540"/>
            <wp:docPr id="19276317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257894" cy="2494357"/>
                    </a:xfrm>
                    <a:prstGeom prst="rect">
                      <a:avLst/>
                    </a:prstGeom>
                    <a:noFill/>
                  </pic:spPr>
                </pic:pic>
              </a:graphicData>
            </a:graphic>
          </wp:inline>
        </w:drawing>
      </w:r>
    </w:p>
    <w:p w14:paraId="7E859BFB" w14:textId="7C0D1F07" w:rsidR="00CC05B7" w:rsidRDefault="00DD49A3" w:rsidP="00BD5091">
      <w:pPr>
        <w:spacing w:after="0" w:line="360" w:lineRule="auto"/>
        <w:jc w:val="center"/>
        <w:rPr>
          <w:rFonts w:ascii="Arial" w:hAnsi="Arial" w:cs="Arial"/>
          <w:i/>
          <w:iCs/>
          <w:sz w:val="20"/>
          <w:szCs w:val="20"/>
        </w:rPr>
      </w:pPr>
      <w:r w:rsidRPr="00BD5091">
        <w:rPr>
          <w:rFonts w:ascii="Arial" w:hAnsi="Arial" w:cs="Arial"/>
          <w:i/>
          <w:iCs/>
          <w:sz w:val="20"/>
          <w:szCs w:val="20"/>
        </w:rPr>
        <w:t>(</w:t>
      </w:r>
      <w:r w:rsidR="00BD5091" w:rsidRPr="00BD5091">
        <w:rPr>
          <w:rFonts w:ascii="Arial" w:hAnsi="Arial" w:cs="Arial"/>
          <w:i/>
          <w:iCs/>
          <w:sz w:val="20"/>
          <w:szCs w:val="20"/>
        </w:rPr>
        <w:t xml:space="preserve">Source: Created by author: </w:t>
      </w:r>
      <w:r w:rsidRPr="00BD5091">
        <w:rPr>
          <w:rFonts w:ascii="Arial" w:hAnsi="Arial" w:cs="Arial"/>
          <w:i/>
          <w:iCs/>
          <w:sz w:val="20"/>
          <w:szCs w:val="20"/>
        </w:rPr>
        <w:t>Knott, 2022)</w:t>
      </w:r>
    </w:p>
    <w:p w14:paraId="64375676" w14:textId="77777777" w:rsidR="000C56A6" w:rsidRPr="000C56A6" w:rsidRDefault="000C56A6" w:rsidP="00BD5091">
      <w:pPr>
        <w:spacing w:after="0" w:line="360" w:lineRule="auto"/>
        <w:jc w:val="center"/>
        <w:rPr>
          <w:rFonts w:ascii="Arial" w:hAnsi="Arial" w:cs="Arial"/>
          <w:i/>
          <w:iCs/>
          <w:sz w:val="16"/>
          <w:szCs w:val="16"/>
        </w:rPr>
      </w:pPr>
    </w:p>
    <w:p w14:paraId="05948AD1" w14:textId="487F1B44" w:rsidR="00CC05B7" w:rsidRPr="000C56A6" w:rsidRDefault="000C56A6" w:rsidP="000C56A6">
      <w:pPr>
        <w:spacing w:after="0" w:line="360" w:lineRule="auto"/>
        <w:ind w:firstLine="567"/>
        <w:jc w:val="both"/>
        <w:rPr>
          <w:rFonts w:ascii="Arial" w:hAnsi="Arial" w:cs="Arial"/>
          <w:sz w:val="22"/>
          <w:szCs w:val="22"/>
        </w:rPr>
      </w:pPr>
      <w:r w:rsidRPr="000C56A6">
        <w:rPr>
          <w:rFonts w:ascii="Arial" w:hAnsi="Arial" w:cs="Arial"/>
          <w:sz w:val="22"/>
          <w:szCs w:val="22"/>
        </w:rPr>
        <w:t>Sorting Elta's organisational values from its core principles will cause the company to become less flexible and inconsistent in its operations.  By transforming process discipline into adaptive capability via coordinated logistics and integrated partner relationships, the firm enhances resilience in Morocco's automotive sector.  Recognising when organisational alignment turns ordinary resources into persistent advantage is the strategic strength of the VRIO model (Knott, 2022).  Section 2, "Risks and Mitigation Strategies," examines ways to safeguard Elta's competitive advantage in the face of uncertain market circumstances by building on the company's strengths in value structuring via organisation.</w:t>
      </w:r>
    </w:p>
    <w:p w14:paraId="1C43E388" w14:textId="14932C0A" w:rsidR="00296D55" w:rsidRPr="00B3090E" w:rsidRDefault="00783628" w:rsidP="00B3090E">
      <w:pPr>
        <w:pStyle w:val="Heading1"/>
        <w:spacing w:before="0" w:after="0"/>
        <w:rPr>
          <w:b/>
          <w:bCs/>
          <w:sz w:val="22"/>
          <w:szCs w:val="22"/>
        </w:rPr>
      </w:pPr>
      <w:bookmarkStart w:id="20" w:name="_Toc212805357"/>
      <w:r w:rsidRPr="00B3090E">
        <w:rPr>
          <w:b/>
          <w:bCs/>
          <w:sz w:val="22"/>
          <w:szCs w:val="22"/>
        </w:rPr>
        <w:lastRenderedPageBreak/>
        <w:t>3.5. Risks and mitigation strategies</w:t>
      </w:r>
      <w:bookmarkEnd w:id="20"/>
    </w:p>
    <w:p w14:paraId="1321FB4D" w14:textId="20EB3D05" w:rsidR="007C4825" w:rsidRPr="006A7037" w:rsidRDefault="006A7037" w:rsidP="006A7037">
      <w:pPr>
        <w:spacing w:after="0" w:line="360" w:lineRule="auto"/>
        <w:ind w:firstLine="567"/>
        <w:jc w:val="both"/>
        <w:rPr>
          <w:rFonts w:ascii="Arial" w:hAnsi="Arial" w:cs="Arial"/>
          <w:sz w:val="22"/>
          <w:szCs w:val="22"/>
        </w:rPr>
      </w:pPr>
      <w:bookmarkStart w:id="21" w:name="_Toc212805358"/>
      <w:r w:rsidRPr="006A7037">
        <w:rPr>
          <w:rFonts w:ascii="Arial" w:hAnsi="Arial" w:cs="Arial"/>
          <w:sz w:val="22"/>
          <w:szCs w:val="22"/>
        </w:rPr>
        <w:t xml:space="preserve">Elta Automotive faces operating risks in Morocco despite the country's promising economic prospects, since institutional alignment cannot do away with structural frictions.  Even a highly organised, ISO-driven company might take a reputational hit due to the potential disruptions to shipping schedules and cash flow caused by traditional customs processes and currency volatility.  A business where precision influences loyalty might see a decline in distributor trust if these inefficiencies continue.  Elta is highly dependent on a small number of European suppliers, which increases the likelihood of supply disruptions and price changes.  If Elta can successfully transform her rigidity into adaptive ability, then mitigation will be possible.  Shipment visibility and forecasting accuracy might be improved by setting up a regional logistics hub at Tangier-Med Port, according to Ali and </w:t>
      </w:r>
      <w:proofErr w:type="spellStart"/>
      <w:r w:rsidRPr="006A7037">
        <w:rPr>
          <w:rFonts w:ascii="Arial" w:hAnsi="Arial" w:cs="Arial"/>
          <w:sz w:val="22"/>
          <w:szCs w:val="22"/>
        </w:rPr>
        <w:t>Gölgeci</w:t>
      </w:r>
      <w:proofErr w:type="spellEnd"/>
      <w:r w:rsidRPr="006A7037">
        <w:rPr>
          <w:rFonts w:ascii="Arial" w:hAnsi="Arial" w:cs="Arial"/>
          <w:sz w:val="22"/>
          <w:szCs w:val="22"/>
        </w:rPr>
        <w:t xml:space="preserve"> (2019). This base could be backed by predictive analytics.  To lessen administrative friction and cultural distance, Elta might become ingrained in local institutional procedures by forming long-term ties with distributors in Morocco.  On top of that, according to </w:t>
      </w:r>
      <w:proofErr w:type="spellStart"/>
      <w:r w:rsidRPr="006A7037">
        <w:rPr>
          <w:rFonts w:ascii="Arial" w:hAnsi="Arial" w:cs="Arial"/>
          <w:sz w:val="22"/>
          <w:szCs w:val="22"/>
        </w:rPr>
        <w:t>Gereffi</w:t>
      </w:r>
      <w:proofErr w:type="spellEnd"/>
      <w:r w:rsidRPr="006A7037">
        <w:rPr>
          <w:rFonts w:ascii="Arial" w:hAnsi="Arial" w:cs="Arial"/>
          <w:sz w:val="22"/>
          <w:szCs w:val="22"/>
        </w:rPr>
        <w:t xml:space="preserve"> and Fernandez-Stark (2022), local people may be technically trained to turn temporary talent shortages into long-term capacity growth, which would improve operational agility and loyalty.  The key to resilience is not to run away from danger, but rather to build in safeguards; this will allow you to transform uncertainty into adaptive strength and establish Morocco as a solid entry point for further growth in North Africa.</w:t>
      </w:r>
    </w:p>
    <w:p w14:paraId="3D128294" w14:textId="4743E7D7" w:rsidR="009277C3" w:rsidRPr="00B3090E" w:rsidRDefault="009277C3" w:rsidP="00B3090E">
      <w:pPr>
        <w:pStyle w:val="Heading1"/>
        <w:spacing w:before="0" w:after="0"/>
        <w:rPr>
          <w:b/>
          <w:bCs/>
          <w:sz w:val="22"/>
          <w:szCs w:val="22"/>
        </w:rPr>
      </w:pPr>
      <w:r w:rsidRPr="00B3090E">
        <w:rPr>
          <w:b/>
          <w:bCs/>
          <w:sz w:val="22"/>
          <w:szCs w:val="22"/>
        </w:rPr>
        <w:t>4. Performance Evaluation Framework</w:t>
      </w:r>
      <w:r w:rsidR="004D6B83" w:rsidRPr="00B3090E">
        <w:rPr>
          <w:b/>
          <w:bCs/>
          <w:sz w:val="22"/>
          <w:szCs w:val="22"/>
        </w:rPr>
        <w:t xml:space="preserve"> - </w:t>
      </w:r>
      <w:r w:rsidR="00C14174" w:rsidRPr="00B3090E">
        <w:rPr>
          <w:b/>
          <w:bCs/>
          <w:sz w:val="22"/>
          <w:szCs w:val="22"/>
        </w:rPr>
        <w:t>Custom KPI dashboard</w:t>
      </w:r>
      <w:bookmarkEnd w:id="21"/>
    </w:p>
    <w:p w14:paraId="3122948E" w14:textId="314A13EB" w:rsidR="00AA259F" w:rsidRPr="007B5F40" w:rsidRDefault="007B5F40" w:rsidP="007B5F40">
      <w:pPr>
        <w:spacing w:after="0" w:line="360" w:lineRule="auto"/>
        <w:ind w:firstLine="567"/>
        <w:jc w:val="both"/>
        <w:rPr>
          <w:rFonts w:ascii="Arial" w:hAnsi="Arial" w:cs="Arial"/>
          <w:sz w:val="22"/>
          <w:szCs w:val="22"/>
        </w:rPr>
      </w:pPr>
      <w:bookmarkStart w:id="22" w:name="_Toc212805359"/>
      <w:r w:rsidRPr="007B5F40">
        <w:rPr>
          <w:rFonts w:ascii="Arial" w:hAnsi="Arial" w:cs="Arial"/>
          <w:sz w:val="22"/>
          <w:szCs w:val="22"/>
        </w:rPr>
        <w:t>Elta Automotive's expansion in Morocco is now data-driven and structured thanks to the Custom KPI Dashboard.  Elta uses Power BI metrics like Sales Variance, Margin %, and Customer Satisfaction (4.2/5) to evaluate success instead of emotional responses.  Gundelach and Nielsen (2023) say multinational subsidiaries can only succeed with key performance indicator frameworks that relate local learning to global strategic intent.  The dashboard links operational control to strategic planning, enabling Morocco's performance culture to emulate UK-level governance and directly affecting Table 6 with Key Performance Indicators.</w:t>
      </w:r>
    </w:p>
    <w:p w14:paraId="609EAAA1" w14:textId="69CB23A0" w:rsidR="002B3463" w:rsidRPr="00B3090E" w:rsidRDefault="002B3463" w:rsidP="00B3090E">
      <w:pPr>
        <w:pStyle w:val="Heading1"/>
        <w:spacing w:before="0" w:after="0"/>
        <w:rPr>
          <w:b/>
          <w:bCs/>
          <w:sz w:val="22"/>
          <w:szCs w:val="22"/>
        </w:rPr>
      </w:pPr>
      <w:r w:rsidRPr="00B3090E">
        <w:rPr>
          <w:b/>
          <w:bCs/>
          <w:sz w:val="22"/>
          <w:szCs w:val="22"/>
        </w:rPr>
        <w:t xml:space="preserve">4.1. </w:t>
      </w:r>
      <w:r w:rsidR="00C85649" w:rsidRPr="00B3090E">
        <w:rPr>
          <w:b/>
          <w:bCs/>
          <w:sz w:val="22"/>
          <w:szCs w:val="22"/>
        </w:rPr>
        <w:t>Key Performance Indicators</w:t>
      </w:r>
      <w:bookmarkEnd w:id="22"/>
    </w:p>
    <w:p w14:paraId="5897EEC3" w14:textId="1670E17F" w:rsidR="00E74AA6" w:rsidRPr="00E74AA6" w:rsidRDefault="00E74AA6" w:rsidP="00E26895">
      <w:pPr>
        <w:spacing w:after="0" w:line="360" w:lineRule="auto"/>
        <w:ind w:firstLine="567"/>
        <w:jc w:val="both"/>
        <w:rPr>
          <w:rFonts w:ascii="Arial" w:hAnsi="Arial" w:cs="Arial"/>
          <w:sz w:val="22"/>
          <w:szCs w:val="22"/>
        </w:rPr>
      </w:pPr>
      <w:r w:rsidRPr="00E74AA6">
        <w:rPr>
          <w:rFonts w:ascii="Arial" w:hAnsi="Arial" w:cs="Arial"/>
          <w:sz w:val="22"/>
          <w:szCs w:val="22"/>
        </w:rPr>
        <w:t>Sales of £10.37 million, a profit margin of 52.2%, and revenue increase of 12.55 percent are all indicators of ELTA Automotive's financial flexibility in the face of an unpredictable aftermarket, as seen in the table.</w:t>
      </w:r>
    </w:p>
    <w:p w14:paraId="3D0F6DBC" w14:textId="77777777" w:rsidR="00296D55" w:rsidRDefault="00296D55" w:rsidP="00296D55">
      <w:pPr>
        <w:spacing w:after="0" w:line="360" w:lineRule="auto"/>
        <w:jc w:val="both"/>
        <w:rPr>
          <w:rFonts w:ascii="Arial" w:hAnsi="Arial" w:cs="Arial"/>
          <w:sz w:val="22"/>
          <w:szCs w:val="22"/>
        </w:rPr>
      </w:pPr>
    </w:p>
    <w:p w14:paraId="564C30E3" w14:textId="77777777" w:rsidR="0035712A" w:rsidRDefault="0035712A" w:rsidP="00296D55">
      <w:pPr>
        <w:spacing w:after="0" w:line="360" w:lineRule="auto"/>
        <w:jc w:val="both"/>
        <w:rPr>
          <w:rFonts w:ascii="Arial" w:hAnsi="Arial" w:cs="Arial"/>
          <w:sz w:val="22"/>
          <w:szCs w:val="22"/>
        </w:rPr>
      </w:pPr>
    </w:p>
    <w:p w14:paraId="3EC964E9" w14:textId="77777777" w:rsidR="007B5F40" w:rsidRDefault="007B5F40" w:rsidP="00296D55">
      <w:pPr>
        <w:spacing w:after="0" w:line="360" w:lineRule="auto"/>
        <w:jc w:val="both"/>
        <w:rPr>
          <w:rFonts w:ascii="Arial" w:hAnsi="Arial" w:cs="Arial"/>
          <w:sz w:val="22"/>
          <w:szCs w:val="22"/>
        </w:rPr>
      </w:pPr>
    </w:p>
    <w:p w14:paraId="2BA74626" w14:textId="77777777" w:rsidR="007B5F40" w:rsidRPr="00E26895" w:rsidRDefault="007B5F40" w:rsidP="00296D55">
      <w:pPr>
        <w:spacing w:after="0" w:line="360" w:lineRule="auto"/>
        <w:jc w:val="both"/>
        <w:rPr>
          <w:rFonts w:ascii="Arial" w:hAnsi="Arial" w:cs="Arial"/>
          <w:sz w:val="22"/>
          <w:szCs w:val="22"/>
        </w:rPr>
      </w:pPr>
    </w:p>
    <w:p w14:paraId="21A318A1" w14:textId="77777777" w:rsidR="000B42C9" w:rsidRDefault="000B42C9" w:rsidP="00296D55">
      <w:pPr>
        <w:spacing w:after="0" w:line="360" w:lineRule="auto"/>
        <w:jc w:val="both"/>
        <w:rPr>
          <w:rFonts w:ascii="Arial" w:hAnsi="Arial" w:cs="Arial"/>
          <w:b/>
          <w:bCs/>
          <w:sz w:val="22"/>
          <w:szCs w:val="22"/>
        </w:rPr>
      </w:pPr>
    </w:p>
    <w:p w14:paraId="2D7857FF" w14:textId="05E7F14F" w:rsidR="00571F98" w:rsidRPr="00036A4F" w:rsidRDefault="008A29FE" w:rsidP="008A29FE">
      <w:pPr>
        <w:spacing w:after="0" w:line="360" w:lineRule="auto"/>
        <w:jc w:val="center"/>
        <w:rPr>
          <w:rFonts w:ascii="Arial" w:hAnsi="Arial" w:cs="Arial"/>
          <w:sz w:val="20"/>
          <w:szCs w:val="20"/>
        </w:rPr>
      </w:pPr>
      <w:r w:rsidRPr="00036A4F">
        <w:rPr>
          <w:rFonts w:ascii="Arial" w:hAnsi="Arial" w:cs="Arial"/>
          <w:sz w:val="20"/>
          <w:szCs w:val="20"/>
        </w:rPr>
        <w:lastRenderedPageBreak/>
        <w:t>Table</w:t>
      </w:r>
      <w:r w:rsidR="005F5C5F" w:rsidRPr="00036A4F">
        <w:rPr>
          <w:rFonts w:ascii="Arial" w:hAnsi="Arial" w:cs="Arial"/>
          <w:sz w:val="20"/>
          <w:szCs w:val="20"/>
        </w:rPr>
        <w:t xml:space="preserve"> 6.</w:t>
      </w:r>
      <w:r w:rsidRPr="00036A4F">
        <w:rPr>
          <w:rFonts w:ascii="Arial" w:hAnsi="Arial" w:cs="Arial"/>
          <w:sz w:val="20"/>
          <w:szCs w:val="20"/>
        </w:rPr>
        <w:t xml:space="preserve"> </w:t>
      </w:r>
      <w:r w:rsidR="00007FD2">
        <w:rPr>
          <w:rFonts w:ascii="Arial" w:hAnsi="Arial" w:cs="Arial"/>
          <w:sz w:val="20"/>
          <w:szCs w:val="20"/>
        </w:rPr>
        <w:t>KPI</w:t>
      </w:r>
      <w:r w:rsidR="00B402AB">
        <w:rPr>
          <w:rFonts w:ascii="Arial" w:hAnsi="Arial" w:cs="Arial"/>
          <w:sz w:val="20"/>
          <w:szCs w:val="20"/>
        </w:rPr>
        <w:t xml:space="preserve"> indicators </w:t>
      </w:r>
      <w:r w:rsidRPr="00036A4F">
        <w:rPr>
          <w:rFonts w:ascii="Arial" w:hAnsi="Arial" w:cs="Arial"/>
          <w:sz w:val="20"/>
          <w:szCs w:val="20"/>
        </w:rPr>
        <w:t>Dashboard Summary (Netx2 – October 2025)</w:t>
      </w:r>
    </w:p>
    <w:p w14:paraId="1A15E4BC" w14:textId="567F7DDC" w:rsidR="00BA5114" w:rsidRDefault="00BA5114" w:rsidP="001A7ACA">
      <w:pPr>
        <w:spacing w:after="0" w:line="360" w:lineRule="auto"/>
        <w:jc w:val="center"/>
        <w:rPr>
          <w:rFonts w:ascii="Arial" w:hAnsi="Arial" w:cs="Arial"/>
          <w:i/>
          <w:iCs/>
          <w:sz w:val="20"/>
          <w:szCs w:val="20"/>
        </w:rPr>
      </w:pPr>
      <w:r w:rsidRPr="00BA5114">
        <w:rPr>
          <w:rFonts w:ascii="Arial" w:hAnsi="Arial" w:cs="Arial"/>
          <w:i/>
          <w:iCs/>
          <w:noProof/>
          <w:sz w:val="20"/>
          <w:szCs w:val="20"/>
        </w:rPr>
        <w:drawing>
          <wp:inline distT="0" distB="0" distL="0" distR="0" wp14:anchorId="740C4579" wp14:editId="6B01E2D4">
            <wp:extent cx="5917905" cy="8332012"/>
            <wp:effectExtent l="0" t="0" r="6985" b="0"/>
            <wp:docPr id="2052972151"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972151" name="Picture 1" descr="A white rectangular object with black text&#10;&#10;AI-generated content may be incorrect."/>
                    <pic:cNvPicPr/>
                  </pic:nvPicPr>
                  <pic:blipFill>
                    <a:blip r:embed="rId25"/>
                    <a:stretch>
                      <a:fillRect/>
                    </a:stretch>
                  </pic:blipFill>
                  <pic:spPr>
                    <a:xfrm>
                      <a:off x="0" y="0"/>
                      <a:ext cx="5924043" cy="8340654"/>
                    </a:xfrm>
                    <a:prstGeom prst="rect">
                      <a:avLst/>
                    </a:prstGeom>
                  </pic:spPr>
                </pic:pic>
              </a:graphicData>
            </a:graphic>
          </wp:inline>
        </w:drawing>
      </w:r>
    </w:p>
    <w:p w14:paraId="166897ED" w14:textId="4F736C7D" w:rsidR="00296D55" w:rsidRPr="001A7ACA" w:rsidRDefault="00546DA9" w:rsidP="001A7ACA">
      <w:pPr>
        <w:spacing w:after="0" w:line="360" w:lineRule="auto"/>
        <w:jc w:val="center"/>
        <w:rPr>
          <w:rFonts w:ascii="Arial" w:hAnsi="Arial" w:cs="Arial"/>
          <w:i/>
          <w:iCs/>
          <w:sz w:val="20"/>
          <w:szCs w:val="20"/>
        </w:rPr>
      </w:pPr>
      <w:r w:rsidRPr="001A7ACA">
        <w:rPr>
          <w:rFonts w:ascii="Arial" w:hAnsi="Arial" w:cs="Arial"/>
          <w:i/>
          <w:iCs/>
          <w:sz w:val="20"/>
          <w:szCs w:val="20"/>
        </w:rPr>
        <w:t xml:space="preserve">(Created by Author, from </w:t>
      </w:r>
      <w:r w:rsidR="001A7ACA" w:rsidRPr="001A7ACA">
        <w:rPr>
          <w:rFonts w:ascii="Arial" w:hAnsi="Arial" w:cs="Arial"/>
          <w:i/>
          <w:iCs/>
          <w:sz w:val="20"/>
          <w:szCs w:val="20"/>
        </w:rPr>
        <w:t>app. Power BI, 2025)</w:t>
      </w:r>
    </w:p>
    <w:p w14:paraId="72E2439E" w14:textId="79EAA677" w:rsidR="00562BF5" w:rsidRPr="007A4572" w:rsidRDefault="007A4572" w:rsidP="007A4572">
      <w:pPr>
        <w:spacing w:after="0" w:line="360" w:lineRule="auto"/>
        <w:ind w:firstLine="567"/>
        <w:jc w:val="both"/>
        <w:rPr>
          <w:rFonts w:ascii="Arial" w:hAnsi="Arial" w:cs="Arial"/>
          <w:sz w:val="22"/>
          <w:szCs w:val="22"/>
        </w:rPr>
      </w:pPr>
      <w:bookmarkStart w:id="23" w:name="_Toc212805360"/>
      <w:r w:rsidRPr="007A4572">
        <w:rPr>
          <w:rFonts w:ascii="Arial" w:hAnsi="Arial" w:cs="Arial"/>
          <w:sz w:val="22"/>
          <w:szCs w:val="22"/>
        </w:rPr>
        <w:lastRenderedPageBreak/>
        <w:t>These metrics, when taken as a whole, reveal how operational precision becomes market resilience, with slightly more than half of the £62.2 billion UK market showing scalability instead of limitation.  How profitability may endure despite falling sales is explained by a customer satisfaction score of 4.2 out of 5.  With proper implementation, these indicators change performance management from delivering descriptive data to providing predictive insight.  According to Gundelach and Nielsen (2023), key performance indicators (KPIs) help subsidiaries coordinate their conduct by regularly quantifying outcomes.  Making use of data on rolling-year sales, rebate efficiency, and top customers allows decision-makers to evaluate the real-time impact of tactical modifications on profit.  This brings us to the section on Key Performance Indicator (KPI) Progress Monitoring, which has its roots deep in Appendix 1 (Internal KPI Report).</w:t>
      </w:r>
    </w:p>
    <w:p w14:paraId="17372E90" w14:textId="19D09B4B" w:rsidR="009F11B3" w:rsidRPr="00B3090E" w:rsidRDefault="009F11B3" w:rsidP="00B3090E">
      <w:pPr>
        <w:pStyle w:val="Heading1"/>
        <w:spacing w:before="0" w:after="0"/>
        <w:rPr>
          <w:b/>
          <w:bCs/>
          <w:sz w:val="22"/>
          <w:szCs w:val="22"/>
        </w:rPr>
      </w:pPr>
      <w:r w:rsidRPr="00B3090E">
        <w:rPr>
          <w:b/>
          <w:bCs/>
          <w:sz w:val="22"/>
          <w:szCs w:val="22"/>
        </w:rPr>
        <w:t xml:space="preserve">4.2. </w:t>
      </w:r>
      <w:r w:rsidR="00F44725" w:rsidRPr="00B3090E">
        <w:rPr>
          <w:b/>
          <w:bCs/>
          <w:sz w:val="22"/>
          <w:szCs w:val="22"/>
        </w:rPr>
        <w:t>Potential new worldwide market KPI: measure progress and guide decision-making</w:t>
      </w:r>
      <w:bookmarkEnd w:id="23"/>
    </w:p>
    <w:p w14:paraId="7331EFAD" w14:textId="04B0422E" w:rsidR="00296D55" w:rsidRPr="00AE1504" w:rsidRDefault="00AE1504" w:rsidP="00AE1504">
      <w:pPr>
        <w:spacing w:after="0" w:line="360" w:lineRule="auto"/>
        <w:ind w:firstLine="567"/>
        <w:jc w:val="both"/>
        <w:rPr>
          <w:rFonts w:ascii="Arial" w:hAnsi="Arial" w:cs="Arial"/>
          <w:sz w:val="22"/>
          <w:szCs w:val="22"/>
        </w:rPr>
      </w:pPr>
      <w:r w:rsidRPr="00AE1504">
        <w:rPr>
          <w:rFonts w:ascii="Arial" w:hAnsi="Arial" w:cs="Arial"/>
          <w:sz w:val="22"/>
          <w:szCs w:val="22"/>
        </w:rPr>
        <w:t>With these key performance indicators in place, Elta Automotive's management will be able to see in table 7 how strategic partnerships affect performance results and how each change in operations contributes to quantifiable growth.</w:t>
      </w:r>
    </w:p>
    <w:p w14:paraId="5E95B53A" w14:textId="77777777" w:rsidR="00296D55" w:rsidRPr="00C559E5" w:rsidRDefault="00296D55" w:rsidP="00296D55">
      <w:pPr>
        <w:spacing w:after="0" w:line="360" w:lineRule="auto"/>
        <w:jc w:val="both"/>
        <w:rPr>
          <w:rFonts w:ascii="Arial" w:hAnsi="Arial" w:cs="Arial"/>
          <w:b/>
          <w:bCs/>
          <w:sz w:val="16"/>
          <w:szCs w:val="16"/>
        </w:rPr>
      </w:pPr>
    </w:p>
    <w:p w14:paraId="7ADE8D7A" w14:textId="05A76D52" w:rsidR="00296D55" w:rsidRDefault="00C559E5" w:rsidP="00C559E5">
      <w:pPr>
        <w:spacing w:after="0" w:line="360" w:lineRule="auto"/>
        <w:jc w:val="center"/>
        <w:rPr>
          <w:rFonts w:ascii="Arial" w:hAnsi="Arial" w:cs="Arial"/>
          <w:sz w:val="20"/>
          <w:szCs w:val="20"/>
        </w:rPr>
      </w:pPr>
      <w:r w:rsidRPr="00C559E5">
        <w:rPr>
          <w:rFonts w:ascii="Arial" w:hAnsi="Arial" w:cs="Arial"/>
          <w:sz w:val="20"/>
          <w:szCs w:val="20"/>
        </w:rPr>
        <w:t xml:space="preserve">Table </w:t>
      </w:r>
      <w:r>
        <w:rPr>
          <w:rFonts w:ascii="Arial" w:hAnsi="Arial" w:cs="Arial"/>
          <w:sz w:val="20"/>
          <w:szCs w:val="20"/>
        </w:rPr>
        <w:t>7</w:t>
      </w:r>
      <w:r w:rsidRPr="00C559E5">
        <w:rPr>
          <w:rFonts w:ascii="Arial" w:hAnsi="Arial" w:cs="Arial"/>
          <w:sz w:val="20"/>
          <w:szCs w:val="20"/>
        </w:rPr>
        <w:t>. Potential KPI Indicators and Competitor–Customer Integration (2025–2027)</w:t>
      </w:r>
    </w:p>
    <w:p w14:paraId="09896AA7" w14:textId="23A4ECFA" w:rsidR="00C559E5" w:rsidRPr="00C559E5" w:rsidRDefault="004025DF" w:rsidP="00C559E5">
      <w:pPr>
        <w:spacing w:after="0" w:line="360" w:lineRule="auto"/>
        <w:jc w:val="center"/>
        <w:rPr>
          <w:rFonts w:ascii="Arial" w:hAnsi="Arial" w:cs="Arial"/>
          <w:sz w:val="20"/>
          <w:szCs w:val="20"/>
        </w:rPr>
      </w:pPr>
      <w:r w:rsidRPr="004025DF">
        <w:rPr>
          <w:rFonts w:ascii="Arial" w:hAnsi="Arial" w:cs="Arial"/>
          <w:noProof/>
          <w:sz w:val="20"/>
          <w:szCs w:val="20"/>
        </w:rPr>
        <w:drawing>
          <wp:inline distT="0" distB="0" distL="0" distR="0" wp14:anchorId="09240A6A" wp14:editId="691DBCBA">
            <wp:extent cx="5896099" cy="4298315"/>
            <wp:effectExtent l="0" t="0" r="9525" b="6985"/>
            <wp:docPr id="1755655900"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655900" name="Picture 1" descr="A table of information&#10;&#10;AI-generated content may be incorrect."/>
                    <pic:cNvPicPr/>
                  </pic:nvPicPr>
                  <pic:blipFill>
                    <a:blip r:embed="rId26"/>
                    <a:stretch>
                      <a:fillRect/>
                    </a:stretch>
                  </pic:blipFill>
                  <pic:spPr>
                    <a:xfrm>
                      <a:off x="0" y="0"/>
                      <a:ext cx="5920493" cy="4316098"/>
                    </a:xfrm>
                    <a:prstGeom prst="rect">
                      <a:avLst/>
                    </a:prstGeom>
                  </pic:spPr>
                </pic:pic>
              </a:graphicData>
            </a:graphic>
          </wp:inline>
        </w:drawing>
      </w:r>
    </w:p>
    <w:p w14:paraId="111B44DA" w14:textId="6AA1F686" w:rsidR="00296D55" w:rsidRPr="004025DF" w:rsidRDefault="004025DF" w:rsidP="004025DF">
      <w:pPr>
        <w:spacing w:after="0" w:line="360" w:lineRule="auto"/>
        <w:jc w:val="center"/>
        <w:rPr>
          <w:rFonts w:ascii="Arial" w:hAnsi="Arial" w:cs="Arial"/>
          <w:i/>
          <w:iCs/>
          <w:sz w:val="20"/>
          <w:szCs w:val="20"/>
        </w:rPr>
      </w:pPr>
      <w:r w:rsidRPr="004025DF">
        <w:rPr>
          <w:rFonts w:ascii="Arial" w:hAnsi="Arial" w:cs="Arial"/>
          <w:i/>
          <w:iCs/>
          <w:sz w:val="20"/>
          <w:szCs w:val="20"/>
        </w:rPr>
        <w:t>(Created by author using Elta Power BI Dashboard 2025; SMMT 2025; Competitor Mapping 2025)</w:t>
      </w:r>
    </w:p>
    <w:p w14:paraId="177E954C" w14:textId="77777777" w:rsidR="00296D55" w:rsidRDefault="00296D55" w:rsidP="00296D55">
      <w:pPr>
        <w:spacing w:after="0" w:line="360" w:lineRule="auto"/>
        <w:jc w:val="both"/>
        <w:rPr>
          <w:rFonts w:ascii="Arial" w:hAnsi="Arial" w:cs="Arial"/>
          <w:b/>
          <w:bCs/>
          <w:sz w:val="22"/>
          <w:szCs w:val="22"/>
        </w:rPr>
      </w:pPr>
    </w:p>
    <w:p w14:paraId="07E30DD5" w14:textId="15D7C51C" w:rsidR="00D66FB2" w:rsidRPr="00D66FB2" w:rsidRDefault="00D66FB2" w:rsidP="00D66FB2">
      <w:pPr>
        <w:spacing w:after="0" w:line="360" w:lineRule="auto"/>
        <w:ind w:firstLine="567"/>
        <w:jc w:val="both"/>
        <w:rPr>
          <w:rFonts w:ascii="Arial" w:hAnsi="Arial" w:cs="Arial"/>
          <w:sz w:val="22"/>
          <w:szCs w:val="22"/>
        </w:rPr>
      </w:pPr>
      <w:r w:rsidRPr="00D66FB2">
        <w:rPr>
          <w:rFonts w:ascii="Arial" w:hAnsi="Arial" w:cs="Arial"/>
          <w:sz w:val="22"/>
          <w:szCs w:val="22"/>
        </w:rPr>
        <w:lastRenderedPageBreak/>
        <w:t>Joint ventures like AD Maroc distribution and Europcar sourcing show how partnership-driven leverage may effectively boost profitability if they lead to a 28% increase in sales and a 3.2 percentage point gain in margin.  Similarly, if Elta's digital monitoring and regional warehousing enhance responsiveness, we would see a decrease in lead time to 3.8 days and an increase in customer satisfaction to 4.6/5. This would demonstrate how operational speed immediately translates into loyalty.  These measurements are significant because they combine monetary and behavioural results, transforming development into a continuous cycle of learning instead of a static picture of success.  Every cycle of improvement strengthens adaptive capacity, according to Taigan et al. (2023), when strategy is directed by KPIs.  By integrating partner-based insights with performance indicators, as Lin and Chen (2024) further describe, key performance indicators (KPIs) transform from monitoring systems into success drivers, allowing enterprises to maintain innovation-led competitiveness.</w:t>
      </w:r>
    </w:p>
    <w:p w14:paraId="16AE7077" w14:textId="2B833C6D" w:rsidR="00296D55" w:rsidRPr="00D66FB2" w:rsidRDefault="00D66FB2" w:rsidP="00D66FB2">
      <w:pPr>
        <w:spacing w:after="0" w:line="360" w:lineRule="auto"/>
        <w:ind w:firstLine="567"/>
        <w:jc w:val="both"/>
        <w:rPr>
          <w:rFonts w:ascii="Arial" w:hAnsi="Arial" w:cs="Arial"/>
          <w:sz w:val="22"/>
          <w:szCs w:val="22"/>
        </w:rPr>
      </w:pPr>
      <w:r w:rsidRPr="00D66FB2">
        <w:rPr>
          <w:rFonts w:ascii="Arial" w:hAnsi="Arial" w:cs="Arial"/>
          <w:sz w:val="22"/>
          <w:szCs w:val="22"/>
        </w:rPr>
        <w:t xml:space="preserve"> According to a research-informed management perspective, financial outcomes like a 52.2% profit margin and a 12.57% growth in sales serve as proof for strategic assertions.  This argument demonstrates how learning goals may be directly related to KPIs like rebate recovery (3.2% to 4.8% of expenditure) or lead-time reduction (7 to 3.8 days), transforming efficiency into competence.  When analytics are integrated into strategic processes, businesses can turn insight into quantitative competitiveness, claim Lin and Chen (2024).  Therefore, to ensure accuracy and a stronger conclusion based on durable advantage, it is recommended to evaluate Elta's Moroccan growth via both theoretical alignment and quantitative maturity.</w:t>
      </w:r>
    </w:p>
    <w:p w14:paraId="27BBAAE8" w14:textId="77777777" w:rsidR="00296D55" w:rsidRDefault="00296D55" w:rsidP="00D66FB2">
      <w:pPr>
        <w:spacing w:after="0" w:line="360" w:lineRule="auto"/>
        <w:ind w:firstLine="567"/>
        <w:jc w:val="both"/>
        <w:rPr>
          <w:rFonts w:ascii="Arial" w:hAnsi="Arial" w:cs="Arial"/>
          <w:b/>
          <w:bCs/>
          <w:sz w:val="22"/>
          <w:szCs w:val="22"/>
        </w:rPr>
      </w:pPr>
    </w:p>
    <w:p w14:paraId="1F95AEFE" w14:textId="77777777" w:rsidR="00296D55" w:rsidRDefault="00296D55" w:rsidP="00296D55">
      <w:pPr>
        <w:spacing w:after="0" w:line="360" w:lineRule="auto"/>
        <w:jc w:val="both"/>
        <w:rPr>
          <w:rFonts w:ascii="Arial" w:hAnsi="Arial" w:cs="Arial"/>
          <w:b/>
          <w:bCs/>
          <w:sz w:val="22"/>
          <w:szCs w:val="22"/>
        </w:rPr>
      </w:pPr>
    </w:p>
    <w:p w14:paraId="255A0E7E" w14:textId="77777777" w:rsidR="00296D55" w:rsidRDefault="00296D55" w:rsidP="00296D55">
      <w:pPr>
        <w:spacing w:after="0" w:line="360" w:lineRule="auto"/>
        <w:jc w:val="both"/>
        <w:rPr>
          <w:rFonts w:ascii="Arial" w:hAnsi="Arial" w:cs="Arial"/>
          <w:b/>
          <w:bCs/>
          <w:sz w:val="22"/>
          <w:szCs w:val="22"/>
        </w:rPr>
      </w:pPr>
    </w:p>
    <w:p w14:paraId="6BC9191B" w14:textId="77777777" w:rsidR="00296D55" w:rsidRDefault="00296D55" w:rsidP="00296D55">
      <w:pPr>
        <w:spacing w:after="0" w:line="360" w:lineRule="auto"/>
        <w:jc w:val="both"/>
        <w:rPr>
          <w:rFonts w:ascii="Arial" w:hAnsi="Arial" w:cs="Arial"/>
          <w:b/>
          <w:bCs/>
          <w:sz w:val="22"/>
          <w:szCs w:val="22"/>
        </w:rPr>
      </w:pPr>
    </w:p>
    <w:p w14:paraId="3235FD54" w14:textId="77777777" w:rsidR="00296D55" w:rsidRDefault="00296D55" w:rsidP="00296D55">
      <w:pPr>
        <w:spacing w:after="0" w:line="360" w:lineRule="auto"/>
        <w:jc w:val="both"/>
        <w:rPr>
          <w:rFonts w:ascii="Arial" w:hAnsi="Arial" w:cs="Arial"/>
          <w:b/>
          <w:bCs/>
          <w:sz w:val="22"/>
          <w:szCs w:val="22"/>
        </w:rPr>
      </w:pPr>
    </w:p>
    <w:p w14:paraId="42C08547" w14:textId="77777777" w:rsidR="00296D55" w:rsidRDefault="00296D55" w:rsidP="00296D55">
      <w:pPr>
        <w:spacing w:after="0" w:line="360" w:lineRule="auto"/>
        <w:jc w:val="both"/>
        <w:rPr>
          <w:rFonts w:ascii="Arial" w:hAnsi="Arial" w:cs="Arial"/>
          <w:b/>
          <w:bCs/>
          <w:sz w:val="22"/>
          <w:szCs w:val="22"/>
        </w:rPr>
      </w:pPr>
    </w:p>
    <w:p w14:paraId="34D45730" w14:textId="77777777" w:rsidR="00296D55" w:rsidRDefault="00296D55" w:rsidP="00296D55">
      <w:pPr>
        <w:spacing w:after="0" w:line="360" w:lineRule="auto"/>
        <w:jc w:val="both"/>
        <w:rPr>
          <w:rFonts w:ascii="Arial" w:hAnsi="Arial" w:cs="Arial"/>
          <w:b/>
          <w:bCs/>
          <w:sz w:val="22"/>
          <w:szCs w:val="22"/>
        </w:rPr>
      </w:pPr>
    </w:p>
    <w:p w14:paraId="1408B70D" w14:textId="77777777" w:rsidR="00296D55" w:rsidRDefault="00296D55" w:rsidP="00296D55">
      <w:pPr>
        <w:spacing w:after="0" w:line="360" w:lineRule="auto"/>
        <w:jc w:val="both"/>
        <w:rPr>
          <w:rFonts w:ascii="Arial" w:hAnsi="Arial" w:cs="Arial"/>
          <w:b/>
          <w:bCs/>
          <w:sz w:val="22"/>
          <w:szCs w:val="22"/>
        </w:rPr>
      </w:pPr>
    </w:p>
    <w:p w14:paraId="63ADE71C" w14:textId="77777777" w:rsidR="00D66FB2" w:rsidRDefault="00D66FB2" w:rsidP="00296D55">
      <w:pPr>
        <w:spacing w:after="0" w:line="360" w:lineRule="auto"/>
        <w:jc w:val="both"/>
        <w:rPr>
          <w:rFonts w:ascii="Arial" w:hAnsi="Arial" w:cs="Arial"/>
          <w:b/>
          <w:bCs/>
          <w:sz w:val="22"/>
          <w:szCs w:val="22"/>
        </w:rPr>
      </w:pPr>
    </w:p>
    <w:p w14:paraId="52E00674" w14:textId="77777777" w:rsidR="00296D55" w:rsidRDefault="00296D55" w:rsidP="00296D55">
      <w:pPr>
        <w:spacing w:after="0" w:line="360" w:lineRule="auto"/>
        <w:jc w:val="both"/>
        <w:rPr>
          <w:rFonts w:ascii="Arial" w:hAnsi="Arial" w:cs="Arial"/>
          <w:b/>
          <w:bCs/>
          <w:sz w:val="22"/>
          <w:szCs w:val="22"/>
        </w:rPr>
      </w:pPr>
    </w:p>
    <w:p w14:paraId="7E60C799" w14:textId="77777777" w:rsidR="00AA5978" w:rsidRDefault="00AA5978" w:rsidP="00296D55">
      <w:pPr>
        <w:spacing w:after="0" w:line="360" w:lineRule="auto"/>
        <w:jc w:val="both"/>
        <w:rPr>
          <w:rFonts w:ascii="Arial" w:hAnsi="Arial" w:cs="Arial"/>
          <w:b/>
          <w:bCs/>
          <w:sz w:val="22"/>
          <w:szCs w:val="22"/>
        </w:rPr>
      </w:pPr>
    </w:p>
    <w:p w14:paraId="6E0BC995" w14:textId="77777777" w:rsidR="00D66FB2" w:rsidRDefault="00D66FB2" w:rsidP="00296D55">
      <w:pPr>
        <w:spacing w:after="0" w:line="360" w:lineRule="auto"/>
        <w:jc w:val="both"/>
        <w:rPr>
          <w:rFonts w:ascii="Arial" w:hAnsi="Arial" w:cs="Arial"/>
          <w:b/>
          <w:bCs/>
          <w:sz w:val="22"/>
          <w:szCs w:val="22"/>
        </w:rPr>
      </w:pPr>
    </w:p>
    <w:p w14:paraId="719B10C8" w14:textId="77777777" w:rsidR="00AA5978" w:rsidRDefault="00AA5978" w:rsidP="00296D55">
      <w:pPr>
        <w:spacing w:after="0" w:line="360" w:lineRule="auto"/>
        <w:jc w:val="both"/>
        <w:rPr>
          <w:rFonts w:ascii="Arial" w:hAnsi="Arial" w:cs="Arial"/>
          <w:b/>
          <w:bCs/>
          <w:sz w:val="22"/>
          <w:szCs w:val="22"/>
        </w:rPr>
      </w:pPr>
    </w:p>
    <w:p w14:paraId="393DFA58" w14:textId="77777777" w:rsidR="00296D55" w:rsidRDefault="00296D55" w:rsidP="00296D55">
      <w:pPr>
        <w:spacing w:after="0" w:line="360" w:lineRule="auto"/>
        <w:jc w:val="both"/>
        <w:rPr>
          <w:rFonts w:ascii="Arial" w:hAnsi="Arial" w:cs="Arial"/>
          <w:b/>
          <w:bCs/>
          <w:sz w:val="22"/>
          <w:szCs w:val="22"/>
        </w:rPr>
      </w:pPr>
    </w:p>
    <w:p w14:paraId="78CC005D" w14:textId="77777777" w:rsidR="00DE70B2" w:rsidRDefault="00DE70B2" w:rsidP="00296D55">
      <w:pPr>
        <w:spacing w:after="0" w:line="360" w:lineRule="auto"/>
        <w:jc w:val="both"/>
        <w:rPr>
          <w:rFonts w:ascii="Arial" w:hAnsi="Arial" w:cs="Arial"/>
          <w:b/>
          <w:bCs/>
          <w:sz w:val="22"/>
          <w:szCs w:val="22"/>
        </w:rPr>
      </w:pPr>
    </w:p>
    <w:p w14:paraId="3625E609" w14:textId="0E05E026" w:rsidR="00DE70B2" w:rsidRPr="00E10295" w:rsidRDefault="00DE70B2" w:rsidP="00E10295">
      <w:pPr>
        <w:pStyle w:val="Heading1"/>
        <w:spacing w:before="0" w:after="0"/>
        <w:rPr>
          <w:b/>
          <w:bCs/>
          <w:sz w:val="22"/>
          <w:szCs w:val="22"/>
        </w:rPr>
      </w:pPr>
      <w:bookmarkStart w:id="24" w:name="_Toc212805361"/>
      <w:r w:rsidRPr="00B3090E">
        <w:rPr>
          <w:b/>
          <w:bCs/>
          <w:sz w:val="22"/>
          <w:szCs w:val="22"/>
        </w:rPr>
        <w:lastRenderedPageBreak/>
        <w:t>Conclusion</w:t>
      </w:r>
      <w:bookmarkEnd w:id="24"/>
    </w:p>
    <w:p w14:paraId="22444D64" w14:textId="77777777" w:rsidR="00DE70B2" w:rsidRPr="00E10295" w:rsidRDefault="00DE70B2" w:rsidP="00296D55">
      <w:pPr>
        <w:spacing w:after="0" w:line="360" w:lineRule="auto"/>
        <w:jc w:val="both"/>
        <w:rPr>
          <w:rFonts w:ascii="Arial" w:hAnsi="Arial" w:cs="Arial"/>
          <w:sz w:val="16"/>
          <w:szCs w:val="16"/>
        </w:rPr>
      </w:pPr>
    </w:p>
    <w:p w14:paraId="1A576B88" w14:textId="75F9122E" w:rsidR="00E10295" w:rsidRPr="00E10295" w:rsidRDefault="00E10295" w:rsidP="00E10295">
      <w:pPr>
        <w:spacing w:after="0" w:line="360" w:lineRule="auto"/>
        <w:ind w:firstLine="567"/>
        <w:jc w:val="both"/>
        <w:rPr>
          <w:rFonts w:ascii="Arial" w:hAnsi="Arial" w:cs="Arial"/>
          <w:sz w:val="22"/>
          <w:szCs w:val="22"/>
        </w:rPr>
      </w:pPr>
      <w:r w:rsidRPr="00E10295">
        <w:rPr>
          <w:rFonts w:ascii="Arial" w:hAnsi="Arial" w:cs="Arial"/>
          <w:sz w:val="22"/>
          <w:szCs w:val="22"/>
        </w:rPr>
        <w:t>Elta Automotive is transitioning from a traditional aftermarket provider to a data-driven global rival, and its first entrance into the Moroccan market is indicative of this change.  That shift is supported by this paper, which demonstrates how analytical accuracy and adaptive strategy work together.  Instead of looking at outcomes after the fact, Elta's KPI Dashboard uses operational inputs to provide predictive insights: £10.37 million in sales, a 52.2% profit, and a 4.2/5 satisfaction score.  Elta will be able to anticipate market shifts rather than just respond to them if these technologies keep incorporating actual partner data.  Elta's differentiation approach allows them to maintain stable margins even in price-sensitive contexts, which is explained by the fact that trust and quality are more valued in Morocco's aftermarket than low prices.  How operational discipline generates a long-term trust advantage is shown via transparent reporting, data-led agility, and ISO-certified control.  As a result, learning capacity, accuracy, and governance maturity are more important than size when defining growth.</w:t>
      </w:r>
    </w:p>
    <w:p w14:paraId="5A067D7A" w14:textId="26C4F8FB" w:rsidR="00DE70B2" w:rsidRPr="00E10295" w:rsidRDefault="00E10295" w:rsidP="00E10295">
      <w:pPr>
        <w:spacing w:after="0" w:line="360" w:lineRule="auto"/>
        <w:ind w:firstLine="567"/>
        <w:jc w:val="both"/>
        <w:rPr>
          <w:rFonts w:ascii="Arial" w:hAnsi="Arial" w:cs="Arial"/>
          <w:sz w:val="22"/>
          <w:szCs w:val="22"/>
        </w:rPr>
      </w:pPr>
      <w:r w:rsidRPr="00E10295">
        <w:rPr>
          <w:rFonts w:ascii="Arial" w:hAnsi="Arial" w:cs="Arial"/>
          <w:sz w:val="22"/>
          <w:szCs w:val="22"/>
        </w:rPr>
        <w:t xml:space="preserve"> The research shows that alignment of internal competency with external dynamism is necessary for long-term success across Benchmarking, PESTEL, SWOT, and Porter’s Five Forces.  By making sure that every choice promotes innovation and resilience, Elta's strategic framework lowers complexity.  Intelligent development, operational accuracy, and adaptable agility are Elta's persistent advantages, according to the performance model.  Preliminary projections indicate that the Moroccan expansion will strengthen an organisational model where data, capabilities, and strategy alignment work together to create a lasting competitive advantage, going beyond just expanding geographical presence.</w:t>
      </w:r>
    </w:p>
    <w:p w14:paraId="53E5F200" w14:textId="77777777" w:rsidR="00DE70B2" w:rsidRDefault="00DE70B2" w:rsidP="00296D55">
      <w:pPr>
        <w:spacing w:after="0" w:line="360" w:lineRule="auto"/>
        <w:jc w:val="both"/>
        <w:rPr>
          <w:rFonts w:ascii="Arial" w:hAnsi="Arial" w:cs="Arial"/>
          <w:b/>
          <w:bCs/>
          <w:sz w:val="22"/>
          <w:szCs w:val="22"/>
        </w:rPr>
      </w:pPr>
    </w:p>
    <w:p w14:paraId="0AD5232A" w14:textId="77777777" w:rsidR="00DE70B2" w:rsidRDefault="00DE70B2" w:rsidP="00296D55">
      <w:pPr>
        <w:spacing w:after="0" w:line="360" w:lineRule="auto"/>
        <w:jc w:val="both"/>
        <w:rPr>
          <w:rFonts w:ascii="Arial" w:hAnsi="Arial" w:cs="Arial"/>
          <w:b/>
          <w:bCs/>
          <w:sz w:val="22"/>
          <w:szCs w:val="22"/>
        </w:rPr>
      </w:pPr>
    </w:p>
    <w:p w14:paraId="3E2EC53C" w14:textId="77777777" w:rsidR="00DE70B2" w:rsidRDefault="00DE70B2" w:rsidP="00296D55">
      <w:pPr>
        <w:spacing w:after="0" w:line="360" w:lineRule="auto"/>
        <w:jc w:val="both"/>
        <w:rPr>
          <w:rFonts w:ascii="Arial" w:hAnsi="Arial" w:cs="Arial"/>
          <w:b/>
          <w:bCs/>
          <w:sz w:val="22"/>
          <w:szCs w:val="22"/>
        </w:rPr>
      </w:pPr>
    </w:p>
    <w:p w14:paraId="02EC00A0" w14:textId="77777777" w:rsidR="00DE70B2" w:rsidRDefault="00DE70B2" w:rsidP="00296D55">
      <w:pPr>
        <w:spacing w:after="0" w:line="360" w:lineRule="auto"/>
        <w:jc w:val="both"/>
        <w:rPr>
          <w:rFonts w:ascii="Arial" w:hAnsi="Arial" w:cs="Arial"/>
          <w:b/>
          <w:bCs/>
          <w:sz w:val="22"/>
          <w:szCs w:val="22"/>
        </w:rPr>
      </w:pPr>
    </w:p>
    <w:p w14:paraId="728A466F" w14:textId="77777777" w:rsidR="00DE70B2" w:rsidRDefault="00DE70B2" w:rsidP="00296D55">
      <w:pPr>
        <w:spacing w:after="0" w:line="360" w:lineRule="auto"/>
        <w:jc w:val="both"/>
        <w:rPr>
          <w:rFonts w:ascii="Arial" w:hAnsi="Arial" w:cs="Arial"/>
          <w:b/>
          <w:bCs/>
          <w:sz w:val="22"/>
          <w:szCs w:val="22"/>
        </w:rPr>
      </w:pPr>
    </w:p>
    <w:p w14:paraId="164FFDE6" w14:textId="77777777" w:rsidR="00DE70B2" w:rsidRDefault="00DE70B2" w:rsidP="00296D55">
      <w:pPr>
        <w:spacing w:after="0" w:line="360" w:lineRule="auto"/>
        <w:jc w:val="both"/>
        <w:rPr>
          <w:rFonts w:ascii="Arial" w:hAnsi="Arial" w:cs="Arial"/>
          <w:b/>
          <w:bCs/>
          <w:sz w:val="22"/>
          <w:szCs w:val="22"/>
        </w:rPr>
      </w:pPr>
    </w:p>
    <w:p w14:paraId="56245217" w14:textId="77777777" w:rsidR="00E10295" w:rsidRDefault="00E10295" w:rsidP="00296D55">
      <w:pPr>
        <w:spacing w:after="0" w:line="360" w:lineRule="auto"/>
        <w:jc w:val="both"/>
        <w:rPr>
          <w:rFonts w:ascii="Arial" w:hAnsi="Arial" w:cs="Arial"/>
          <w:b/>
          <w:bCs/>
          <w:sz w:val="22"/>
          <w:szCs w:val="22"/>
        </w:rPr>
      </w:pPr>
    </w:p>
    <w:p w14:paraId="55033C38" w14:textId="77777777" w:rsidR="00DE70B2" w:rsidRDefault="00DE70B2" w:rsidP="00296D55">
      <w:pPr>
        <w:spacing w:after="0" w:line="360" w:lineRule="auto"/>
        <w:jc w:val="both"/>
        <w:rPr>
          <w:rFonts w:ascii="Arial" w:hAnsi="Arial" w:cs="Arial"/>
          <w:b/>
          <w:bCs/>
          <w:sz w:val="22"/>
          <w:szCs w:val="22"/>
        </w:rPr>
      </w:pPr>
    </w:p>
    <w:p w14:paraId="00A7554F" w14:textId="77777777" w:rsidR="00DE70B2" w:rsidRDefault="00DE70B2" w:rsidP="00296D55">
      <w:pPr>
        <w:spacing w:after="0" w:line="360" w:lineRule="auto"/>
        <w:jc w:val="both"/>
        <w:rPr>
          <w:rFonts w:ascii="Arial" w:hAnsi="Arial" w:cs="Arial"/>
          <w:b/>
          <w:bCs/>
          <w:sz w:val="22"/>
          <w:szCs w:val="22"/>
        </w:rPr>
      </w:pPr>
    </w:p>
    <w:p w14:paraId="779CEC6A" w14:textId="77777777" w:rsidR="00DE70B2" w:rsidRDefault="00DE70B2" w:rsidP="00296D55">
      <w:pPr>
        <w:spacing w:after="0" w:line="360" w:lineRule="auto"/>
        <w:jc w:val="both"/>
        <w:rPr>
          <w:rFonts w:ascii="Arial" w:hAnsi="Arial" w:cs="Arial"/>
          <w:b/>
          <w:bCs/>
          <w:sz w:val="22"/>
          <w:szCs w:val="22"/>
        </w:rPr>
      </w:pPr>
    </w:p>
    <w:p w14:paraId="7A0F293B" w14:textId="77777777" w:rsidR="0011208A" w:rsidRDefault="0011208A" w:rsidP="00296D55">
      <w:pPr>
        <w:spacing w:after="0" w:line="360" w:lineRule="auto"/>
        <w:jc w:val="both"/>
        <w:rPr>
          <w:rFonts w:ascii="Arial" w:hAnsi="Arial" w:cs="Arial"/>
          <w:b/>
          <w:bCs/>
          <w:sz w:val="22"/>
          <w:szCs w:val="22"/>
        </w:rPr>
      </w:pPr>
    </w:p>
    <w:p w14:paraId="178F4A31" w14:textId="77777777" w:rsidR="00DE70B2" w:rsidRDefault="00DE70B2" w:rsidP="00296D55">
      <w:pPr>
        <w:spacing w:after="0" w:line="360" w:lineRule="auto"/>
        <w:jc w:val="both"/>
        <w:rPr>
          <w:rFonts w:ascii="Arial" w:hAnsi="Arial" w:cs="Arial"/>
          <w:b/>
          <w:bCs/>
          <w:sz w:val="22"/>
          <w:szCs w:val="22"/>
        </w:rPr>
      </w:pPr>
    </w:p>
    <w:p w14:paraId="08D97565" w14:textId="77777777" w:rsidR="00296D55" w:rsidRDefault="00296D55" w:rsidP="00296D55">
      <w:pPr>
        <w:spacing w:after="0" w:line="360" w:lineRule="auto"/>
        <w:jc w:val="both"/>
        <w:rPr>
          <w:rFonts w:ascii="Arial" w:hAnsi="Arial" w:cs="Arial"/>
          <w:b/>
          <w:bCs/>
          <w:sz w:val="22"/>
          <w:szCs w:val="22"/>
        </w:rPr>
      </w:pPr>
    </w:p>
    <w:p w14:paraId="319B1ADF" w14:textId="53D6A3B2" w:rsidR="00296D55" w:rsidRPr="00B3090E" w:rsidRDefault="00022280" w:rsidP="00B3090E">
      <w:pPr>
        <w:pStyle w:val="Heading1"/>
        <w:spacing w:before="0" w:after="0"/>
        <w:rPr>
          <w:b/>
          <w:bCs/>
          <w:sz w:val="22"/>
          <w:szCs w:val="22"/>
        </w:rPr>
      </w:pPr>
      <w:bookmarkStart w:id="25" w:name="_Toc212805362"/>
      <w:r w:rsidRPr="00B3090E">
        <w:rPr>
          <w:b/>
          <w:bCs/>
          <w:sz w:val="22"/>
          <w:szCs w:val="22"/>
        </w:rPr>
        <w:lastRenderedPageBreak/>
        <w:t>Appendix 1. Sales Dashboard Summary (Netx2 – October 2025)</w:t>
      </w:r>
      <w:bookmarkEnd w:id="25"/>
    </w:p>
    <w:p w14:paraId="6153493D" w14:textId="77777777" w:rsidR="004145D2" w:rsidRPr="00DE70B2" w:rsidRDefault="004145D2" w:rsidP="00296D55">
      <w:pPr>
        <w:spacing w:after="0" w:line="360" w:lineRule="auto"/>
        <w:jc w:val="both"/>
        <w:rPr>
          <w:rFonts w:ascii="Arial" w:hAnsi="Arial" w:cs="Arial"/>
          <w:sz w:val="16"/>
          <w:szCs w:val="16"/>
        </w:rPr>
      </w:pPr>
    </w:p>
    <w:p w14:paraId="302B079D" w14:textId="74E468F2" w:rsidR="00296D55" w:rsidRDefault="00DF216B" w:rsidP="00296D55">
      <w:pPr>
        <w:spacing w:after="0" w:line="360" w:lineRule="auto"/>
        <w:jc w:val="both"/>
        <w:rPr>
          <w:rFonts w:ascii="Arial" w:hAnsi="Arial" w:cs="Arial"/>
          <w:b/>
          <w:bCs/>
          <w:sz w:val="22"/>
          <w:szCs w:val="22"/>
        </w:rPr>
      </w:pPr>
      <w:r w:rsidRPr="00DF216B">
        <w:rPr>
          <w:rFonts w:ascii="Arial" w:hAnsi="Arial" w:cs="Arial"/>
          <w:b/>
          <w:bCs/>
          <w:noProof/>
          <w:sz w:val="22"/>
          <w:szCs w:val="22"/>
        </w:rPr>
        <w:drawing>
          <wp:inline distT="0" distB="0" distL="0" distR="0" wp14:anchorId="799AF9FB" wp14:editId="2ECF0C13">
            <wp:extent cx="5731510" cy="3368675"/>
            <wp:effectExtent l="0" t="0" r="2540" b="3175"/>
            <wp:docPr id="14280430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043095" name="Picture 1" descr="A screenshot of a computer&#10;&#10;AI-generated content may be incorrect."/>
                    <pic:cNvPicPr/>
                  </pic:nvPicPr>
                  <pic:blipFill>
                    <a:blip r:embed="rId27"/>
                    <a:stretch>
                      <a:fillRect/>
                    </a:stretch>
                  </pic:blipFill>
                  <pic:spPr>
                    <a:xfrm>
                      <a:off x="0" y="0"/>
                      <a:ext cx="5731510" cy="3368675"/>
                    </a:xfrm>
                    <a:prstGeom prst="rect">
                      <a:avLst/>
                    </a:prstGeom>
                  </pic:spPr>
                </pic:pic>
              </a:graphicData>
            </a:graphic>
          </wp:inline>
        </w:drawing>
      </w:r>
    </w:p>
    <w:p w14:paraId="470EFBA5" w14:textId="77777777" w:rsidR="000641A0" w:rsidRPr="000641A0" w:rsidRDefault="000641A0" w:rsidP="000641A0">
      <w:pPr>
        <w:spacing w:after="0" w:line="360" w:lineRule="auto"/>
        <w:jc w:val="both"/>
        <w:rPr>
          <w:rFonts w:ascii="Arial" w:hAnsi="Arial" w:cs="Arial"/>
          <w:sz w:val="16"/>
          <w:szCs w:val="16"/>
        </w:rPr>
      </w:pPr>
    </w:p>
    <w:p w14:paraId="06EA7EEE" w14:textId="20FCF6AA" w:rsidR="000641A0" w:rsidRPr="000641A0" w:rsidRDefault="000641A0" w:rsidP="000641A0">
      <w:pPr>
        <w:spacing w:after="0" w:line="360" w:lineRule="auto"/>
        <w:ind w:firstLine="567"/>
        <w:jc w:val="both"/>
        <w:rPr>
          <w:rFonts w:ascii="Arial" w:hAnsi="Arial" w:cs="Arial"/>
          <w:sz w:val="22"/>
          <w:szCs w:val="22"/>
        </w:rPr>
      </w:pPr>
      <w:r w:rsidRPr="000641A0">
        <w:rPr>
          <w:rFonts w:ascii="Arial" w:hAnsi="Arial" w:cs="Arial"/>
          <w:sz w:val="22"/>
          <w:szCs w:val="22"/>
        </w:rPr>
        <w:t>The Netx2 Sales Dashboard shows Elta Automotive's operational success and why analytical accuracy, and ethical business practises are essential to profitability.  Each dashboard segment connects financial results to brand trust and market competitiveness via efficiency, client loyalty, and controlled expansion.</w:t>
      </w:r>
    </w:p>
    <w:p w14:paraId="6D1433D2" w14:textId="77777777" w:rsidR="000641A0" w:rsidRPr="000641A0" w:rsidRDefault="000641A0" w:rsidP="000641A0">
      <w:pPr>
        <w:spacing w:after="0" w:line="360" w:lineRule="auto"/>
        <w:ind w:firstLine="567"/>
        <w:jc w:val="both"/>
        <w:rPr>
          <w:rFonts w:ascii="Arial" w:hAnsi="Arial" w:cs="Arial"/>
          <w:sz w:val="22"/>
          <w:szCs w:val="22"/>
        </w:rPr>
      </w:pPr>
      <w:r w:rsidRPr="000641A0">
        <w:rPr>
          <w:rFonts w:ascii="Arial" w:hAnsi="Arial" w:cs="Arial"/>
          <w:sz w:val="22"/>
          <w:szCs w:val="22"/>
        </w:rPr>
        <w:t xml:space="preserve"> The top boxes show Elta's financial strength: £10.37 million in sales, 52.2% margin, and 12.57 % year-on-year variance.  These data demonstrate that margin management and chosen client agreements generate profitability, not volume increase.  The -64.24 K unit variation supports Elta's UK aftermarket “quality-over-quantity” approach of prioritising high-value sales and rebate optimisation above mass-market saturation.</w:t>
      </w:r>
    </w:p>
    <w:p w14:paraId="3B14E471" w14:textId="77777777" w:rsidR="000641A0" w:rsidRPr="000641A0" w:rsidRDefault="000641A0" w:rsidP="000641A0">
      <w:pPr>
        <w:spacing w:after="0" w:line="360" w:lineRule="auto"/>
        <w:ind w:firstLine="567"/>
        <w:jc w:val="both"/>
        <w:rPr>
          <w:rFonts w:ascii="Arial" w:hAnsi="Arial" w:cs="Arial"/>
          <w:sz w:val="22"/>
          <w:szCs w:val="22"/>
        </w:rPr>
      </w:pPr>
      <w:r w:rsidRPr="000641A0">
        <w:rPr>
          <w:rFonts w:ascii="Arial" w:hAnsi="Arial" w:cs="Arial"/>
          <w:sz w:val="22"/>
          <w:szCs w:val="22"/>
        </w:rPr>
        <w:t xml:space="preserve"> The centre charts show daily and rolling-year sales trends reaching £10 million, indicating why sustained performance indicates recovery and demand constancy.  Elta's resilient supply strategy and Power BI-driven forecasting helped it rise steadily in 2024–25 despite market turbulence.</w:t>
      </w:r>
    </w:p>
    <w:p w14:paraId="2B8CA549" w14:textId="77777777" w:rsidR="000641A0" w:rsidRPr="000641A0" w:rsidRDefault="000641A0" w:rsidP="000641A0">
      <w:pPr>
        <w:spacing w:after="0" w:line="360" w:lineRule="auto"/>
        <w:ind w:firstLine="567"/>
        <w:jc w:val="both"/>
        <w:rPr>
          <w:rFonts w:ascii="Arial" w:hAnsi="Arial" w:cs="Arial"/>
          <w:sz w:val="22"/>
          <w:szCs w:val="22"/>
        </w:rPr>
      </w:pPr>
      <w:r w:rsidRPr="000641A0">
        <w:rPr>
          <w:rFonts w:ascii="Arial" w:hAnsi="Arial" w:cs="Arial"/>
          <w:sz w:val="22"/>
          <w:szCs w:val="22"/>
        </w:rPr>
        <w:t xml:space="preserve"> The right tables show customer concentration: Motor Parts Direct (£151.5 K) and L Bennett &amp; Son (£107.9 K) sell the most B2B products.  Elta focusses on strategic account management utilising CRM-integrated data to build long-term distributor partnerships.</w:t>
      </w:r>
    </w:p>
    <w:p w14:paraId="60E51C0A" w14:textId="4DAD9A04" w:rsidR="00296D55" w:rsidRPr="000641A0" w:rsidRDefault="000641A0" w:rsidP="000641A0">
      <w:pPr>
        <w:spacing w:after="0" w:line="360" w:lineRule="auto"/>
        <w:ind w:firstLine="567"/>
        <w:jc w:val="both"/>
        <w:rPr>
          <w:rFonts w:ascii="Arial" w:hAnsi="Arial" w:cs="Arial"/>
          <w:sz w:val="22"/>
          <w:szCs w:val="22"/>
        </w:rPr>
      </w:pPr>
      <w:r w:rsidRPr="000641A0">
        <w:rPr>
          <w:rFonts w:ascii="Arial" w:hAnsi="Arial" w:cs="Arial"/>
          <w:sz w:val="22"/>
          <w:szCs w:val="22"/>
        </w:rPr>
        <w:t xml:space="preserve"> The bottom images show £3.47 million in refunds and £18,685 in credit recovery, demonstrating transparent governance—essential for ethical reputation and compliance.  These numbers demonstrate operational discipline and show that rebate and credit schemes keep profit margins intact.</w:t>
      </w:r>
    </w:p>
    <w:p w14:paraId="3213D6D9" w14:textId="15E49335" w:rsidR="00296D55" w:rsidRDefault="00D90EE3" w:rsidP="00296D55">
      <w:pPr>
        <w:spacing w:after="0" w:line="360" w:lineRule="auto"/>
        <w:jc w:val="both"/>
        <w:rPr>
          <w:rFonts w:ascii="Arial" w:hAnsi="Arial" w:cs="Arial"/>
          <w:b/>
          <w:bCs/>
          <w:sz w:val="22"/>
          <w:szCs w:val="22"/>
        </w:rPr>
      </w:pPr>
      <w:r>
        <w:rPr>
          <w:rFonts w:ascii="Arial" w:hAnsi="Arial" w:cs="Arial"/>
          <w:b/>
          <w:bCs/>
          <w:sz w:val="22"/>
          <w:szCs w:val="22"/>
        </w:rPr>
        <w:lastRenderedPageBreak/>
        <w:t xml:space="preserve">Customer Satisfaction </w:t>
      </w:r>
      <w:r w:rsidR="004145D2">
        <w:rPr>
          <w:rFonts w:ascii="Arial" w:hAnsi="Arial" w:cs="Arial"/>
          <w:b/>
          <w:bCs/>
          <w:sz w:val="22"/>
          <w:szCs w:val="22"/>
        </w:rPr>
        <w:t>R</w:t>
      </w:r>
      <w:r>
        <w:rPr>
          <w:rFonts w:ascii="Arial" w:hAnsi="Arial" w:cs="Arial"/>
          <w:b/>
          <w:bCs/>
          <w:sz w:val="22"/>
          <w:szCs w:val="22"/>
        </w:rPr>
        <w:t>eward</w:t>
      </w:r>
    </w:p>
    <w:p w14:paraId="56ED46BE" w14:textId="1CEEB0C2" w:rsidR="00296D55" w:rsidRDefault="003D74F2" w:rsidP="00296D55">
      <w:pPr>
        <w:spacing w:after="0" w:line="360" w:lineRule="auto"/>
        <w:jc w:val="both"/>
        <w:rPr>
          <w:rFonts w:ascii="Arial" w:hAnsi="Arial" w:cs="Arial"/>
          <w:b/>
          <w:bCs/>
          <w:sz w:val="22"/>
          <w:szCs w:val="22"/>
        </w:rPr>
      </w:pPr>
      <w:r>
        <w:rPr>
          <w:noProof/>
        </w:rPr>
        <w:drawing>
          <wp:inline distT="0" distB="0" distL="0" distR="0" wp14:anchorId="5332B5C8" wp14:editId="5E6E0884">
            <wp:extent cx="5731510" cy="2578735"/>
            <wp:effectExtent l="0" t="0" r="2540" b="0"/>
            <wp:docPr id="837219459" name="Picture 1" descr="A glass trophy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219459" name="Picture 1" descr="A glass trophy on a table&#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578735"/>
                    </a:xfrm>
                    <a:prstGeom prst="rect">
                      <a:avLst/>
                    </a:prstGeom>
                    <a:noFill/>
                    <a:ln>
                      <a:noFill/>
                    </a:ln>
                  </pic:spPr>
                </pic:pic>
              </a:graphicData>
            </a:graphic>
          </wp:inline>
        </w:drawing>
      </w:r>
    </w:p>
    <w:p w14:paraId="3B771192" w14:textId="77777777" w:rsidR="00A24DCB" w:rsidRPr="00A24DCB" w:rsidRDefault="00A24DCB" w:rsidP="00296D55">
      <w:pPr>
        <w:spacing w:after="0" w:line="360" w:lineRule="auto"/>
        <w:jc w:val="both"/>
        <w:rPr>
          <w:rFonts w:ascii="Arial" w:hAnsi="Arial" w:cs="Arial"/>
          <w:sz w:val="16"/>
          <w:szCs w:val="16"/>
        </w:rPr>
      </w:pPr>
    </w:p>
    <w:p w14:paraId="431FE6E8" w14:textId="59B97980" w:rsidR="00296D55" w:rsidRPr="00A24DCB" w:rsidRDefault="00A24DCB" w:rsidP="00A24DCB">
      <w:pPr>
        <w:spacing w:after="0" w:line="360" w:lineRule="auto"/>
        <w:ind w:firstLine="567"/>
        <w:jc w:val="both"/>
        <w:rPr>
          <w:rFonts w:ascii="Arial" w:hAnsi="Arial" w:cs="Arial"/>
          <w:sz w:val="22"/>
          <w:szCs w:val="22"/>
        </w:rPr>
      </w:pPr>
      <w:r w:rsidRPr="00A24DCB">
        <w:rPr>
          <w:rFonts w:ascii="Arial" w:hAnsi="Arial" w:cs="Arial"/>
          <w:sz w:val="22"/>
          <w:szCs w:val="22"/>
        </w:rPr>
        <w:t>These quantitative successes are supported by customer satisfaction awards like Retail Product of the Year 2024 and Supplier of the Year 2025.  They prove Elta's KPI approach builds trust and links brand dependability to partner happiness.  Lin and Chen (2024) suggest that analytics-driven KPI systems convert performance monitoring into a learning mechanism that boosts customer confidence and strategic foresight, making Elta's data control a source of competitive legitimacy.</w:t>
      </w:r>
    </w:p>
    <w:p w14:paraId="649D961C" w14:textId="77777777" w:rsidR="00296D55" w:rsidRDefault="00296D55" w:rsidP="00296D55">
      <w:pPr>
        <w:spacing w:after="0" w:line="360" w:lineRule="auto"/>
        <w:jc w:val="both"/>
        <w:rPr>
          <w:rFonts w:ascii="Arial" w:hAnsi="Arial" w:cs="Arial"/>
          <w:b/>
          <w:bCs/>
          <w:sz w:val="22"/>
          <w:szCs w:val="22"/>
        </w:rPr>
      </w:pPr>
    </w:p>
    <w:p w14:paraId="3AB0190E" w14:textId="77777777" w:rsidR="00296D55" w:rsidRDefault="00296D55" w:rsidP="00296D55">
      <w:pPr>
        <w:spacing w:after="0" w:line="360" w:lineRule="auto"/>
        <w:jc w:val="both"/>
        <w:rPr>
          <w:rFonts w:ascii="Arial" w:hAnsi="Arial" w:cs="Arial"/>
          <w:b/>
          <w:bCs/>
          <w:sz w:val="22"/>
          <w:szCs w:val="22"/>
        </w:rPr>
      </w:pPr>
    </w:p>
    <w:p w14:paraId="62F87B26" w14:textId="77777777" w:rsidR="00296D55" w:rsidRDefault="00296D55" w:rsidP="00296D55">
      <w:pPr>
        <w:spacing w:after="0" w:line="360" w:lineRule="auto"/>
        <w:jc w:val="both"/>
        <w:rPr>
          <w:rFonts w:ascii="Arial" w:hAnsi="Arial" w:cs="Arial"/>
          <w:b/>
          <w:bCs/>
          <w:sz w:val="22"/>
          <w:szCs w:val="22"/>
        </w:rPr>
      </w:pPr>
    </w:p>
    <w:p w14:paraId="239BA1DE" w14:textId="77777777" w:rsidR="00296D55" w:rsidRDefault="00296D55" w:rsidP="00296D55">
      <w:pPr>
        <w:spacing w:after="0" w:line="360" w:lineRule="auto"/>
        <w:jc w:val="both"/>
        <w:rPr>
          <w:rFonts w:ascii="Arial" w:hAnsi="Arial" w:cs="Arial"/>
          <w:b/>
          <w:bCs/>
          <w:sz w:val="22"/>
          <w:szCs w:val="22"/>
        </w:rPr>
      </w:pPr>
    </w:p>
    <w:p w14:paraId="49B40680" w14:textId="77777777" w:rsidR="00296D55" w:rsidRDefault="00296D55" w:rsidP="00296D55">
      <w:pPr>
        <w:spacing w:after="0" w:line="360" w:lineRule="auto"/>
        <w:jc w:val="both"/>
        <w:rPr>
          <w:rFonts w:ascii="Arial" w:hAnsi="Arial" w:cs="Arial"/>
          <w:b/>
          <w:bCs/>
          <w:sz w:val="22"/>
          <w:szCs w:val="22"/>
        </w:rPr>
      </w:pPr>
    </w:p>
    <w:p w14:paraId="78FB2A88" w14:textId="77777777" w:rsidR="00296D55" w:rsidRDefault="00296D55" w:rsidP="00296D55">
      <w:pPr>
        <w:spacing w:after="0" w:line="360" w:lineRule="auto"/>
        <w:jc w:val="both"/>
        <w:rPr>
          <w:rFonts w:ascii="Arial" w:hAnsi="Arial" w:cs="Arial"/>
          <w:b/>
          <w:bCs/>
          <w:sz w:val="22"/>
          <w:szCs w:val="22"/>
        </w:rPr>
      </w:pPr>
    </w:p>
    <w:p w14:paraId="2A64FA7E" w14:textId="77777777" w:rsidR="00296D55" w:rsidRDefault="00296D55" w:rsidP="00296D55">
      <w:pPr>
        <w:spacing w:after="0" w:line="360" w:lineRule="auto"/>
        <w:jc w:val="both"/>
        <w:rPr>
          <w:rFonts w:ascii="Arial" w:hAnsi="Arial" w:cs="Arial"/>
          <w:b/>
          <w:bCs/>
          <w:sz w:val="22"/>
          <w:szCs w:val="22"/>
        </w:rPr>
      </w:pPr>
    </w:p>
    <w:p w14:paraId="038A5CC7" w14:textId="77777777" w:rsidR="00296D55" w:rsidRDefault="00296D55" w:rsidP="00296D55">
      <w:pPr>
        <w:spacing w:after="0" w:line="360" w:lineRule="auto"/>
        <w:jc w:val="both"/>
        <w:rPr>
          <w:rFonts w:ascii="Arial" w:hAnsi="Arial" w:cs="Arial"/>
          <w:b/>
          <w:bCs/>
          <w:sz w:val="22"/>
          <w:szCs w:val="22"/>
        </w:rPr>
      </w:pPr>
    </w:p>
    <w:p w14:paraId="598A3404" w14:textId="77777777" w:rsidR="00296D55" w:rsidRDefault="00296D55" w:rsidP="00296D55">
      <w:pPr>
        <w:spacing w:after="0" w:line="360" w:lineRule="auto"/>
        <w:jc w:val="both"/>
        <w:rPr>
          <w:rFonts w:ascii="Arial" w:hAnsi="Arial" w:cs="Arial"/>
          <w:b/>
          <w:bCs/>
          <w:sz w:val="22"/>
          <w:szCs w:val="22"/>
        </w:rPr>
      </w:pPr>
    </w:p>
    <w:p w14:paraId="107DA3B7" w14:textId="77777777" w:rsidR="00296D55" w:rsidRDefault="00296D55" w:rsidP="00296D55">
      <w:pPr>
        <w:spacing w:after="0" w:line="360" w:lineRule="auto"/>
        <w:jc w:val="both"/>
        <w:rPr>
          <w:rFonts w:ascii="Arial" w:hAnsi="Arial" w:cs="Arial"/>
          <w:b/>
          <w:bCs/>
          <w:sz w:val="22"/>
          <w:szCs w:val="22"/>
        </w:rPr>
      </w:pPr>
    </w:p>
    <w:p w14:paraId="3D6391CC" w14:textId="77777777" w:rsidR="00296D55" w:rsidRDefault="00296D55" w:rsidP="00296D55">
      <w:pPr>
        <w:spacing w:after="0" w:line="360" w:lineRule="auto"/>
        <w:jc w:val="both"/>
        <w:rPr>
          <w:rFonts w:ascii="Arial" w:hAnsi="Arial" w:cs="Arial"/>
          <w:b/>
          <w:bCs/>
          <w:sz w:val="22"/>
          <w:szCs w:val="22"/>
        </w:rPr>
      </w:pPr>
    </w:p>
    <w:p w14:paraId="516064F2" w14:textId="77777777" w:rsidR="00296D55" w:rsidRDefault="00296D55" w:rsidP="00296D55">
      <w:pPr>
        <w:spacing w:after="0" w:line="360" w:lineRule="auto"/>
        <w:jc w:val="both"/>
        <w:rPr>
          <w:rFonts w:ascii="Arial" w:hAnsi="Arial" w:cs="Arial"/>
          <w:b/>
          <w:bCs/>
          <w:sz w:val="22"/>
          <w:szCs w:val="22"/>
        </w:rPr>
      </w:pPr>
    </w:p>
    <w:p w14:paraId="0F151180" w14:textId="77777777" w:rsidR="009326CB" w:rsidRDefault="009326CB" w:rsidP="001D60C7">
      <w:pPr>
        <w:spacing w:after="0" w:line="360" w:lineRule="auto"/>
        <w:ind w:firstLine="567"/>
        <w:jc w:val="both"/>
        <w:rPr>
          <w:rFonts w:ascii="Arial" w:hAnsi="Arial" w:cs="Arial"/>
          <w:b/>
          <w:bCs/>
          <w:sz w:val="22"/>
          <w:szCs w:val="22"/>
        </w:rPr>
      </w:pPr>
    </w:p>
    <w:p w14:paraId="4811848B" w14:textId="77777777" w:rsidR="00F013AA" w:rsidRDefault="00F013AA" w:rsidP="001D60C7">
      <w:pPr>
        <w:spacing w:after="0" w:line="360" w:lineRule="auto"/>
        <w:ind w:firstLine="567"/>
        <w:jc w:val="both"/>
        <w:rPr>
          <w:rFonts w:ascii="Arial" w:hAnsi="Arial" w:cs="Arial"/>
          <w:b/>
          <w:bCs/>
          <w:sz w:val="22"/>
          <w:szCs w:val="22"/>
        </w:rPr>
      </w:pPr>
    </w:p>
    <w:p w14:paraId="78E831AF" w14:textId="77777777" w:rsidR="00F013AA" w:rsidRDefault="00F013AA" w:rsidP="001D60C7">
      <w:pPr>
        <w:spacing w:after="0" w:line="360" w:lineRule="auto"/>
        <w:ind w:firstLine="567"/>
        <w:jc w:val="both"/>
        <w:rPr>
          <w:rFonts w:ascii="Arial" w:hAnsi="Arial" w:cs="Arial"/>
          <w:b/>
          <w:bCs/>
          <w:sz w:val="22"/>
          <w:szCs w:val="22"/>
        </w:rPr>
      </w:pPr>
    </w:p>
    <w:p w14:paraId="32B2652E" w14:textId="77777777" w:rsidR="00F013AA" w:rsidRDefault="00F013AA" w:rsidP="001D60C7">
      <w:pPr>
        <w:spacing w:after="0" w:line="360" w:lineRule="auto"/>
        <w:ind w:firstLine="567"/>
        <w:jc w:val="both"/>
        <w:rPr>
          <w:rFonts w:ascii="Arial" w:hAnsi="Arial" w:cs="Arial"/>
          <w:b/>
          <w:bCs/>
          <w:sz w:val="22"/>
          <w:szCs w:val="22"/>
        </w:rPr>
      </w:pPr>
    </w:p>
    <w:p w14:paraId="3D8BC13D" w14:textId="77777777" w:rsidR="00F013AA" w:rsidRDefault="00F013AA" w:rsidP="001D60C7">
      <w:pPr>
        <w:spacing w:after="0" w:line="360" w:lineRule="auto"/>
        <w:ind w:firstLine="567"/>
        <w:jc w:val="both"/>
        <w:rPr>
          <w:rFonts w:ascii="Arial" w:hAnsi="Arial" w:cs="Arial"/>
          <w:b/>
          <w:bCs/>
          <w:sz w:val="22"/>
          <w:szCs w:val="22"/>
        </w:rPr>
      </w:pPr>
    </w:p>
    <w:p w14:paraId="6A58A0BD" w14:textId="77777777" w:rsidR="00F91710" w:rsidRDefault="00F91710" w:rsidP="001D60C7">
      <w:pPr>
        <w:spacing w:after="0" w:line="360" w:lineRule="auto"/>
        <w:ind w:firstLine="567"/>
        <w:jc w:val="both"/>
        <w:rPr>
          <w:rFonts w:ascii="Arial" w:hAnsi="Arial" w:cs="Arial"/>
          <w:b/>
          <w:bCs/>
          <w:sz w:val="22"/>
          <w:szCs w:val="22"/>
        </w:rPr>
      </w:pPr>
    </w:p>
    <w:p w14:paraId="63DC95F6" w14:textId="0105832C" w:rsidR="00F91710" w:rsidRPr="00B3090E" w:rsidRDefault="00F91710" w:rsidP="00B3090E">
      <w:pPr>
        <w:pStyle w:val="Heading1"/>
        <w:spacing w:before="0" w:after="0"/>
        <w:rPr>
          <w:b/>
          <w:bCs/>
          <w:sz w:val="22"/>
          <w:szCs w:val="22"/>
        </w:rPr>
      </w:pPr>
      <w:bookmarkStart w:id="26" w:name="_Toc212805363"/>
      <w:r w:rsidRPr="00B3090E">
        <w:rPr>
          <w:b/>
          <w:bCs/>
          <w:sz w:val="22"/>
          <w:szCs w:val="22"/>
        </w:rPr>
        <w:lastRenderedPageBreak/>
        <w:t>References:</w:t>
      </w:r>
      <w:bookmarkEnd w:id="26"/>
      <w:r w:rsidRPr="00B3090E">
        <w:rPr>
          <w:b/>
          <w:bCs/>
          <w:sz w:val="22"/>
          <w:szCs w:val="22"/>
        </w:rPr>
        <w:t xml:space="preserve"> </w:t>
      </w:r>
    </w:p>
    <w:p w14:paraId="2C12B608" w14:textId="77777777" w:rsidR="00E146B6" w:rsidRPr="0039368B" w:rsidRDefault="00E146B6" w:rsidP="009326CB">
      <w:pPr>
        <w:spacing w:after="0" w:line="360" w:lineRule="auto"/>
        <w:rPr>
          <w:rFonts w:ascii="Arial" w:hAnsi="Arial" w:cs="Arial"/>
          <w:b/>
          <w:bCs/>
          <w:sz w:val="16"/>
          <w:szCs w:val="16"/>
        </w:rPr>
      </w:pPr>
    </w:p>
    <w:p w14:paraId="58880383" w14:textId="4F7C2F13"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African Development Bank (2023) North Africa Economic Outlook 2023: Mobilising Private Sector Investment in Energy and Transport. Abidjan: AfDB. Available at:</w:t>
      </w:r>
      <w:r w:rsidR="00E146B6" w:rsidRPr="007F1BBC">
        <w:rPr>
          <w:rFonts w:ascii="Arial" w:hAnsi="Arial" w:cs="Arial"/>
          <w:sz w:val="22"/>
          <w:szCs w:val="22"/>
        </w:rPr>
        <w:t xml:space="preserve"> </w:t>
      </w:r>
      <w:hyperlink r:id="rId29" w:history="1">
        <w:r w:rsidR="00E146B6" w:rsidRPr="007F1BBC">
          <w:rPr>
            <w:rStyle w:val="Hyperlink"/>
            <w:rFonts w:ascii="Arial" w:hAnsi="Arial" w:cs="Arial"/>
            <w:color w:val="auto"/>
            <w:sz w:val="22"/>
            <w:szCs w:val="22"/>
          </w:rPr>
          <w:t>https://www.afdb.org/en/documents/north-africa-economic-outlook-2023</w:t>
        </w:r>
      </w:hyperlink>
      <w:r w:rsidR="00E146B6" w:rsidRPr="007F1BBC">
        <w:rPr>
          <w:rFonts w:ascii="Arial" w:hAnsi="Arial" w:cs="Arial"/>
          <w:sz w:val="22"/>
          <w:szCs w:val="22"/>
        </w:rPr>
        <w:t xml:space="preserve"> </w:t>
      </w:r>
      <w:r w:rsidRPr="007F1BBC">
        <w:rPr>
          <w:rFonts w:ascii="Arial" w:hAnsi="Arial" w:cs="Arial"/>
          <w:sz w:val="22"/>
          <w:szCs w:val="22"/>
        </w:rPr>
        <w:t>(Accessed: 15/10/2025).</w:t>
      </w:r>
    </w:p>
    <w:p w14:paraId="74FBA17D" w14:textId="77777777" w:rsidR="007418BD" w:rsidRPr="007F1BBC" w:rsidRDefault="007418BD" w:rsidP="007418BD">
      <w:pPr>
        <w:spacing w:after="0" w:line="360" w:lineRule="auto"/>
        <w:rPr>
          <w:rFonts w:ascii="Arial" w:hAnsi="Arial" w:cs="Arial"/>
          <w:sz w:val="16"/>
          <w:szCs w:val="16"/>
        </w:rPr>
      </w:pPr>
    </w:p>
    <w:p w14:paraId="65D0DF56" w14:textId="320C8CC8"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Ali, I. and </w:t>
      </w:r>
      <w:proofErr w:type="spellStart"/>
      <w:r w:rsidRPr="007F1BBC">
        <w:rPr>
          <w:rFonts w:ascii="Arial" w:hAnsi="Arial" w:cs="Arial"/>
          <w:sz w:val="22"/>
          <w:szCs w:val="22"/>
        </w:rPr>
        <w:t>Gölgeci</w:t>
      </w:r>
      <w:proofErr w:type="spellEnd"/>
      <w:r w:rsidRPr="007F1BBC">
        <w:rPr>
          <w:rFonts w:ascii="Arial" w:hAnsi="Arial" w:cs="Arial"/>
          <w:sz w:val="22"/>
          <w:szCs w:val="22"/>
        </w:rPr>
        <w:t xml:space="preserve">, I. (2019) ‘Where is supply chain resilience research heading? A systematic and co-occurrence analysis,’ International Journal of Physical Distribution &amp; Logistics Management, 49(8), pp. 793–815. Available at: </w:t>
      </w:r>
      <w:hyperlink r:id="rId30" w:history="1">
        <w:r w:rsidR="00E146B6" w:rsidRPr="007F1BBC">
          <w:rPr>
            <w:rStyle w:val="Hyperlink"/>
            <w:rFonts w:ascii="Arial" w:hAnsi="Arial" w:cs="Arial"/>
            <w:color w:val="auto"/>
            <w:sz w:val="22"/>
            <w:szCs w:val="22"/>
          </w:rPr>
          <w:t>https://doi.org/10.1108/IJPDLM-02-2019-0038</w:t>
        </w:r>
      </w:hyperlink>
      <w:r w:rsidR="00E146B6" w:rsidRPr="007F1BBC">
        <w:rPr>
          <w:rFonts w:ascii="Arial" w:hAnsi="Arial" w:cs="Arial"/>
          <w:sz w:val="22"/>
          <w:szCs w:val="22"/>
        </w:rPr>
        <w:t xml:space="preserve"> </w:t>
      </w:r>
      <w:r w:rsidRPr="007F1BBC">
        <w:rPr>
          <w:rFonts w:ascii="Arial" w:hAnsi="Arial" w:cs="Arial"/>
          <w:sz w:val="22"/>
          <w:szCs w:val="22"/>
        </w:rPr>
        <w:t xml:space="preserve"> (Accessed: 21/10/2025).</w:t>
      </w:r>
    </w:p>
    <w:p w14:paraId="1914E074" w14:textId="77777777" w:rsidR="007418BD" w:rsidRPr="007F1BBC" w:rsidRDefault="007418BD" w:rsidP="007418BD">
      <w:pPr>
        <w:spacing w:after="0" w:line="360" w:lineRule="auto"/>
        <w:rPr>
          <w:rFonts w:ascii="Arial" w:hAnsi="Arial" w:cs="Arial"/>
          <w:sz w:val="16"/>
          <w:szCs w:val="16"/>
        </w:rPr>
      </w:pPr>
    </w:p>
    <w:p w14:paraId="286C8F21" w14:textId="6A1D06C3" w:rsidR="007418BD" w:rsidRPr="007F1BBC" w:rsidRDefault="007418BD" w:rsidP="007418BD">
      <w:pPr>
        <w:spacing w:after="0" w:line="360" w:lineRule="auto"/>
        <w:rPr>
          <w:rFonts w:ascii="Arial" w:hAnsi="Arial" w:cs="Arial"/>
          <w:sz w:val="22"/>
          <w:szCs w:val="22"/>
        </w:rPr>
      </w:pPr>
      <w:proofErr w:type="spellStart"/>
      <w:r w:rsidRPr="007F1BBC">
        <w:rPr>
          <w:rFonts w:ascii="Arial" w:hAnsi="Arial" w:cs="Arial"/>
          <w:sz w:val="22"/>
          <w:szCs w:val="22"/>
        </w:rPr>
        <w:t>Amachraa</w:t>
      </w:r>
      <w:proofErr w:type="spellEnd"/>
      <w:r w:rsidRPr="007F1BBC">
        <w:rPr>
          <w:rFonts w:ascii="Arial" w:hAnsi="Arial" w:cs="Arial"/>
          <w:sz w:val="22"/>
          <w:szCs w:val="22"/>
        </w:rPr>
        <w:t xml:space="preserve">, A. (2023) Morocco’s Rise in the Global Automotive Industry. Rabat: Policy </w:t>
      </w:r>
      <w:proofErr w:type="spellStart"/>
      <w:r w:rsidRPr="007F1BBC">
        <w:rPr>
          <w:rFonts w:ascii="Arial" w:hAnsi="Arial" w:cs="Arial"/>
          <w:sz w:val="22"/>
          <w:szCs w:val="22"/>
        </w:rPr>
        <w:t>Center</w:t>
      </w:r>
      <w:proofErr w:type="spellEnd"/>
      <w:r w:rsidRPr="007F1BBC">
        <w:rPr>
          <w:rFonts w:ascii="Arial" w:hAnsi="Arial" w:cs="Arial"/>
          <w:sz w:val="22"/>
          <w:szCs w:val="22"/>
        </w:rPr>
        <w:t xml:space="preserve"> for the New South. Available at: </w:t>
      </w:r>
      <w:hyperlink r:id="rId31" w:history="1">
        <w:r w:rsidR="00E146B6" w:rsidRPr="007F1BBC">
          <w:rPr>
            <w:rStyle w:val="Hyperlink"/>
            <w:rFonts w:ascii="Arial" w:hAnsi="Arial" w:cs="Arial"/>
            <w:color w:val="auto"/>
            <w:sz w:val="22"/>
            <w:szCs w:val="22"/>
          </w:rPr>
          <w:t>https://www.policycenter.ma/sites/default/files/2023-05/PP_09-23_AMACHRAA.pdf</w:t>
        </w:r>
      </w:hyperlink>
      <w:r w:rsidR="00E146B6" w:rsidRPr="007F1BBC">
        <w:rPr>
          <w:rFonts w:ascii="Arial" w:hAnsi="Arial" w:cs="Arial"/>
          <w:sz w:val="22"/>
          <w:szCs w:val="22"/>
        </w:rPr>
        <w:t xml:space="preserve"> </w:t>
      </w:r>
      <w:r w:rsidRPr="007F1BBC">
        <w:rPr>
          <w:rFonts w:ascii="Arial" w:hAnsi="Arial" w:cs="Arial"/>
          <w:sz w:val="22"/>
          <w:szCs w:val="22"/>
        </w:rPr>
        <w:t>(Accessed: 15/10/2025).</w:t>
      </w:r>
    </w:p>
    <w:p w14:paraId="67BBBB9A" w14:textId="77777777" w:rsidR="007418BD" w:rsidRPr="007F1BBC" w:rsidRDefault="007418BD" w:rsidP="007418BD">
      <w:pPr>
        <w:spacing w:after="0" w:line="360" w:lineRule="auto"/>
        <w:rPr>
          <w:rFonts w:ascii="Arial" w:hAnsi="Arial" w:cs="Arial"/>
          <w:sz w:val="16"/>
          <w:szCs w:val="16"/>
        </w:rPr>
      </w:pPr>
    </w:p>
    <w:p w14:paraId="62781C07" w14:textId="7AFFC819"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Asad, M. (2024) ‘Market entry barriers and strategic positioning in developing economies,’ Journal of Business Research, 174, 114188. Available at: </w:t>
      </w:r>
      <w:hyperlink r:id="rId32" w:history="1">
        <w:r w:rsidR="00E146B6" w:rsidRPr="007F1BBC">
          <w:rPr>
            <w:rStyle w:val="Hyperlink"/>
            <w:rFonts w:ascii="Arial" w:hAnsi="Arial" w:cs="Arial"/>
            <w:color w:val="auto"/>
            <w:sz w:val="22"/>
            <w:szCs w:val="22"/>
          </w:rPr>
          <w:t>https://doi.org/10.1016/j.jbusres.2023.114188</w:t>
        </w:r>
      </w:hyperlink>
      <w:r w:rsidR="00E146B6" w:rsidRPr="007F1BBC">
        <w:rPr>
          <w:rFonts w:ascii="Arial" w:hAnsi="Arial" w:cs="Arial"/>
          <w:sz w:val="22"/>
          <w:szCs w:val="22"/>
        </w:rPr>
        <w:t xml:space="preserve"> </w:t>
      </w:r>
      <w:r w:rsidRPr="007F1BBC">
        <w:rPr>
          <w:rFonts w:ascii="Arial" w:hAnsi="Arial" w:cs="Arial"/>
          <w:sz w:val="22"/>
          <w:szCs w:val="22"/>
        </w:rPr>
        <w:t xml:space="preserve"> (Accessed: 14/10/2025).</w:t>
      </w:r>
    </w:p>
    <w:p w14:paraId="34D81D06" w14:textId="77777777" w:rsidR="007418BD" w:rsidRPr="007F1BBC" w:rsidRDefault="007418BD" w:rsidP="007418BD">
      <w:pPr>
        <w:spacing w:after="0" w:line="360" w:lineRule="auto"/>
        <w:rPr>
          <w:rFonts w:ascii="Arial" w:hAnsi="Arial" w:cs="Arial"/>
          <w:sz w:val="16"/>
          <w:szCs w:val="16"/>
        </w:rPr>
      </w:pPr>
    </w:p>
    <w:p w14:paraId="253A124C" w14:textId="6584D2E6"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Barney, J. (1991) ‘Firm resources and sustained competitive advantage,’ Journal of Management, 17(1), pp. 99–120. Available at: </w:t>
      </w:r>
      <w:hyperlink r:id="rId33" w:history="1">
        <w:r w:rsidR="00E146B6" w:rsidRPr="007F1BBC">
          <w:rPr>
            <w:rStyle w:val="Hyperlink"/>
            <w:rFonts w:ascii="Arial" w:hAnsi="Arial" w:cs="Arial"/>
            <w:color w:val="auto"/>
            <w:sz w:val="22"/>
            <w:szCs w:val="22"/>
          </w:rPr>
          <w:t>https://doi.org/10.1177/014920639101700108</w:t>
        </w:r>
      </w:hyperlink>
      <w:r w:rsidR="00E146B6" w:rsidRPr="007F1BBC">
        <w:rPr>
          <w:rFonts w:ascii="Arial" w:hAnsi="Arial" w:cs="Arial"/>
          <w:sz w:val="22"/>
          <w:szCs w:val="22"/>
        </w:rPr>
        <w:t xml:space="preserve"> </w:t>
      </w:r>
      <w:r w:rsidRPr="007F1BBC">
        <w:rPr>
          <w:rFonts w:ascii="Arial" w:hAnsi="Arial" w:cs="Arial"/>
          <w:sz w:val="22"/>
          <w:szCs w:val="22"/>
        </w:rPr>
        <w:t>(Accessed: 10/10/2025).</w:t>
      </w:r>
    </w:p>
    <w:p w14:paraId="3FDCA44F" w14:textId="77777777" w:rsidR="007418BD" w:rsidRPr="007F1BBC" w:rsidRDefault="007418BD" w:rsidP="007418BD">
      <w:pPr>
        <w:spacing w:after="0" w:line="360" w:lineRule="auto"/>
        <w:rPr>
          <w:rFonts w:ascii="Arial" w:hAnsi="Arial" w:cs="Arial"/>
          <w:sz w:val="16"/>
          <w:szCs w:val="16"/>
        </w:rPr>
      </w:pPr>
    </w:p>
    <w:p w14:paraId="003A0E73" w14:textId="3D0D03A6" w:rsidR="007418BD" w:rsidRPr="007F1BBC" w:rsidRDefault="007418BD" w:rsidP="007418BD">
      <w:pPr>
        <w:spacing w:after="0" w:line="360" w:lineRule="auto"/>
        <w:rPr>
          <w:rFonts w:ascii="Arial" w:hAnsi="Arial" w:cs="Arial"/>
          <w:sz w:val="22"/>
          <w:szCs w:val="22"/>
        </w:rPr>
      </w:pPr>
      <w:proofErr w:type="spellStart"/>
      <w:r w:rsidRPr="007F1BBC">
        <w:rPr>
          <w:rFonts w:ascii="Arial" w:hAnsi="Arial" w:cs="Arial"/>
          <w:sz w:val="22"/>
          <w:szCs w:val="22"/>
        </w:rPr>
        <w:t>Birdeye</w:t>
      </w:r>
      <w:proofErr w:type="spellEnd"/>
      <w:r w:rsidRPr="007F1BBC">
        <w:rPr>
          <w:rFonts w:ascii="Arial" w:hAnsi="Arial" w:cs="Arial"/>
          <w:sz w:val="22"/>
          <w:szCs w:val="22"/>
        </w:rPr>
        <w:t xml:space="preserve"> Reviews (2025) ELTA Automotive Ltd Customer Feedback Page. Available at: </w:t>
      </w:r>
      <w:hyperlink r:id="rId34" w:history="1">
        <w:r w:rsidR="00E146B6" w:rsidRPr="007F1BBC">
          <w:rPr>
            <w:rStyle w:val="Hyperlink"/>
            <w:rFonts w:ascii="Arial" w:hAnsi="Arial" w:cs="Arial"/>
            <w:color w:val="auto"/>
            <w:sz w:val="22"/>
            <w:szCs w:val="22"/>
          </w:rPr>
          <w:t>https://reviews.birdeye.com/elta-automotive-ltd-170944741302317</w:t>
        </w:r>
      </w:hyperlink>
      <w:r w:rsidR="00E146B6" w:rsidRPr="007F1BBC">
        <w:rPr>
          <w:rFonts w:ascii="Arial" w:hAnsi="Arial" w:cs="Arial"/>
          <w:sz w:val="22"/>
          <w:szCs w:val="22"/>
        </w:rPr>
        <w:t xml:space="preserve"> </w:t>
      </w:r>
      <w:r w:rsidRPr="007F1BBC">
        <w:rPr>
          <w:rFonts w:ascii="Arial" w:hAnsi="Arial" w:cs="Arial"/>
          <w:sz w:val="22"/>
          <w:szCs w:val="22"/>
        </w:rPr>
        <w:t>(Accessed: 29/10/2025).</w:t>
      </w:r>
    </w:p>
    <w:p w14:paraId="4E4909C0" w14:textId="77777777" w:rsidR="007418BD" w:rsidRPr="007F1BBC" w:rsidRDefault="007418BD" w:rsidP="007418BD">
      <w:pPr>
        <w:spacing w:after="0" w:line="360" w:lineRule="auto"/>
        <w:rPr>
          <w:rFonts w:ascii="Arial" w:hAnsi="Arial" w:cs="Arial"/>
          <w:sz w:val="16"/>
          <w:szCs w:val="16"/>
        </w:rPr>
      </w:pPr>
    </w:p>
    <w:p w14:paraId="3F0A89BC" w14:textId="594C7B32" w:rsidR="007418BD" w:rsidRPr="007F1BBC" w:rsidRDefault="007418BD" w:rsidP="007418BD">
      <w:pPr>
        <w:spacing w:after="0" w:line="360" w:lineRule="auto"/>
        <w:rPr>
          <w:rFonts w:ascii="Arial" w:hAnsi="Arial" w:cs="Arial"/>
          <w:sz w:val="22"/>
          <w:szCs w:val="22"/>
        </w:rPr>
      </w:pPr>
      <w:proofErr w:type="spellStart"/>
      <w:r w:rsidRPr="007F1BBC">
        <w:rPr>
          <w:rFonts w:ascii="Arial" w:hAnsi="Arial" w:cs="Arial"/>
          <w:sz w:val="22"/>
          <w:szCs w:val="22"/>
        </w:rPr>
        <w:t>Bouchentouf</w:t>
      </w:r>
      <w:proofErr w:type="spellEnd"/>
      <w:r w:rsidRPr="007F1BBC">
        <w:rPr>
          <w:rFonts w:ascii="Arial" w:hAnsi="Arial" w:cs="Arial"/>
          <w:sz w:val="22"/>
          <w:szCs w:val="22"/>
        </w:rPr>
        <w:t xml:space="preserve">, M. and </w:t>
      </w:r>
      <w:proofErr w:type="spellStart"/>
      <w:r w:rsidRPr="007F1BBC">
        <w:rPr>
          <w:rFonts w:ascii="Arial" w:hAnsi="Arial" w:cs="Arial"/>
          <w:sz w:val="22"/>
          <w:szCs w:val="22"/>
        </w:rPr>
        <w:t>Boussetta</w:t>
      </w:r>
      <w:proofErr w:type="spellEnd"/>
      <w:r w:rsidRPr="007F1BBC">
        <w:rPr>
          <w:rFonts w:ascii="Arial" w:hAnsi="Arial" w:cs="Arial"/>
          <w:sz w:val="22"/>
          <w:szCs w:val="22"/>
        </w:rPr>
        <w:t xml:space="preserve">, A. (2023) ‘Technological transition and competitive substitution in North African automotive markets,’ Journal of Cleaner Production, 405, 136930. Available at: </w:t>
      </w:r>
      <w:hyperlink r:id="rId35" w:history="1">
        <w:r w:rsidR="0039368B" w:rsidRPr="007F1BBC">
          <w:rPr>
            <w:rStyle w:val="Hyperlink"/>
            <w:rFonts w:ascii="Arial" w:hAnsi="Arial" w:cs="Arial"/>
            <w:color w:val="auto"/>
            <w:sz w:val="22"/>
            <w:szCs w:val="22"/>
          </w:rPr>
          <w:t>https://doi.org/10.1016/j.jclepro.2023.136930</w:t>
        </w:r>
      </w:hyperlink>
      <w:r w:rsidR="0039368B" w:rsidRPr="007F1BBC">
        <w:rPr>
          <w:rFonts w:ascii="Arial" w:hAnsi="Arial" w:cs="Arial"/>
          <w:sz w:val="22"/>
          <w:szCs w:val="22"/>
        </w:rPr>
        <w:t xml:space="preserve"> </w:t>
      </w:r>
      <w:r w:rsidRPr="007F1BBC">
        <w:rPr>
          <w:rFonts w:ascii="Arial" w:hAnsi="Arial" w:cs="Arial"/>
          <w:sz w:val="22"/>
          <w:szCs w:val="22"/>
        </w:rPr>
        <w:t>(Accessed: 14/10/2025).</w:t>
      </w:r>
    </w:p>
    <w:p w14:paraId="1252D135" w14:textId="77777777" w:rsidR="007418BD" w:rsidRPr="007F1BBC" w:rsidRDefault="007418BD" w:rsidP="007418BD">
      <w:pPr>
        <w:spacing w:after="0" w:line="360" w:lineRule="auto"/>
        <w:rPr>
          <w:rFonts w:ascii="Arial" w:hAnsi="Arial" w:cs="Arial"/>
          <w:sz w:val="16"/>
          <w:szCs w:val="16"/>
        </w:rPr>
      </w:pPr>
    </w:p>
    <w:p w14:paraId="0E30A4EA" w14:textId="77777777"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Cherkaoui, M. and </w:t>
      </w:r>
      <w:proofErr w:type="spellStart"/>
      <w:r w:rsidRPr="007F1BBC">
        <w:rPr>
          <w:rFonts w:ascii="Arial" w:hAnsi="Arial" w:cs="Arial"/>
          <w:sz w:val="22"/>
          <w:szCs w:val="22"/>
        </w:rPr>
        <w:t>Abouabdellah</w:t>
      </w:r>
      <w:proofErr w:type="spellEnd"/>
      <w:r w:rsidRPr="007F1BBC">
        <w:rPr>
          <w:rFonts w:ascii="Arial" w:hAnsi="Arial" w:cs="Arial"/>
          <w:sz w:val="22"/>
          <w:szCs w:val="22"/>
        </w:rPr>
        <w:t>, A. (2023) ‘Assessing Supply Chain Resilience in Morocco’s Automotive Industry,’ International Journal of Supply Chain Management, 12(5), pp. 211–223. Available at: https://ojs.excelingtech.co.uk/index.php/IJSCM/article/view/6867</w:t>
      </w:r>
    </w:p>
    <w:p w14:paraId="7B33637F" w14:textId="77777777"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 (Accessed: 14/10/2025).</w:t>
      </w:r>
    </w:p>
    <w:p w14:paraId="7D7CEBB4" w14:textId="77777777" w:rsidR="007418BD" w:rsidRPr="007F1BBC" w:rsidRDefault="007418BD" w:rsidP="007418BD">
      <w:pPr>
        <w:spacing w:after="0" w:line="360" w:lineRule="auto"/>
        <w:rPr>
          <w:rFonts w:ascii="Arial" w:hAnsi="Arial" w:cs="Arial"/>
          <w:sz w:val="16"/>
          <w:szCs w:val="16"/>
        </w:rPr>
      </w:pPr>
    </w:p>
    <w:p w14:paraId="7E57C3C5" w14:textId="61288033"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Coface (2024) Morocco Country Risk and Business Climate Assessment. Available at: </w:t>
      </w:r>
      <w:hyperlink r:id="rId36" w:history="1">
        <w:r w:rsidR="00EA1EA4" w:rsidRPr="007F1BBC">
          <w:rPr>
            <w:rStyle w:val="Hyperlink"/>
            <w:rFonts w:ascii="Arial" w:hAnsi="Arial" w:cs="Arial"/>
            <w:color w:val="auto"/>
            <w:sz w:val="22"/>
            <w:szCs w:val="22"/>
          </w:rPr>
          <w:t>https://www.coface.com/news-economy-and-insights/business-risk-dashboard/country-risk-files/morocco</w:t>
        </w:r>
      </w:hyperlink>
      <w:r w:rsidR="00EA1EA4" w:rsidRPr="007F1BBC">
        <w:rPr>
          <w:rFonts w:ascii="Arial" w:hAnsi="Arial" w:cs="Arial"/>
          <w:sz w:val="22"/>
          <w:szCs w:val="22"/>
        </w:rPr>
        <w:t xml:space="preserve"> </w:t>
      </w:r>
      <w:r w:rsidRPr="007F1BBC">
        <w:rPr>
          <w:rFonts w:ascii="Arial" w:hAnsi="Arial" w:cs="Arial"/>
          <w:sz w:val="22"/>
          <w:szCs w:val="22"/>
        </w:rPr>
        <w:t xml:space="preserve"> (Accessed: 14/10/2025).</w:t>
      </w:r>
    </w:p>
    <w:p w14:paraId="07FE64F1" w14:textId="77777777" w:rsidR="007418BD" w:rsidRPr="007F1BBC" w:rsidRDefault="007418BD" w:rsidP="007418BD">
      <w:pPr>
        <w:spacing w:after="0" w:line="360" w:lineRule="auto"/>
        <w:rPr>
          <w:rFonts w:ascii="Arial" w:hAnsi="Arial" w:cs="Arial"/>
          <w:sz w:val="22"/>
          <w:szCs w:val="22"/>
        </w:rPr>
      </w:pPr>
    </w:p>
    <w:p w14:paraId="6AFEEAA1" w14:textId="061A8993"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Companies House (2025) ELTA Automotive Ltd Company Filing Profile. Available at: </w:t>
      </w:r>
      <w:hyperlink r:id="rId37" w:history="1">
        <w:r w:rsidR="00EA1EA4" w:rsidRPr="007F1BBC">
          <w:rPr>
            <w:rStyle w:val="Hyperlink"/>
            <w:rFonts w:ascii="Arial" w:hAnsi="Arial" w:cs="Arial"/>
            <w:color w:val="auto"/>
            <w:sz w:val="22"/>
            <w:szCs w:val="22"/>
          </w:rPr>
          <w:t>https://find-and-update.company-information.service.gov.uk/company/02826734</w:t>
        </w:r>
      </w:hyperlink>
      <w:r w:rsidR="00EA1EA4" w:rsidRPr="007F1BBC">
        <w:rPr>
          <w:rFonts w:ascii="Arial" w:hAnsi="Arial" w:cs="Arial"/>
          <w:sz w:val="22"/>
          <w:szCs w:val="22"/>
        </w:rPr>
        <w:t xml:space="preserve"> </w:t>
      </w:r>
      <w:r w:rsidRPr="007F1BBC">
        <w:rPr>
          <w:rFonts w:ascii="Arial" w:hAnsi="Arial" w:cs="Arial"/>
          <w:sz w:val="22"/>
          <w:szCs w:val="22"/>
        </w:rPr>
        <w:t>(Accessed: 29/10/2025).</w:t>
      </w:r>
    </w:p>
    <w:p w14:paraId="507C198C" w14:textId="77777777" w:rsidR="007418BD" w:rsidRPr="007F1BBC" w:rsidRDefault="007418BD" w:rsidP="007418BD">
      <w:pPr>
        <w:spacing w:after="0" w:line="360" w:lineRule="auto"/>
        <w:rPr>
          <w:rFonts w:ascii="Arial" w:hAnsi="Arial" w:cs="Arial"/>
          <w:sz w:val="16"/>
          <w:szCs w:val="16"/>
        </w:rPr>
      </w:pPr>
    </w:p>
    <w:p w14:paraId="766BE00E" w14:textId="40463C9D"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E3S Conferences (2024) ‘Environmental Strategy and Sustainable Development in Morocco,’ E3S Conference Proceedings. Available at: </w:t>
      </w:r>
      <w:hyperlink r:id="rId38" w:history="1">
        <w:r w:rsidR="00EA1EA4" w:rsidRPr="007F1BBC">
          <w:rPr>
            <w:rStyle w:val="Hyperlink"/>
            <w:rFonts w:ascii="Arial" w:hAnsi="Arial" w:cs="Arial"/>
            <w:color w:val="auto"/>
            <w:sz w:val="22"/>
            <w:szCs w:val="22"/>
          </w:rPr>
          <w:t>https://www.e3s-conferences.org/articles/e3sconf/pdf/2024/57/e3sconf_joe4_01001.pdf</w:t>
        </w:r>
      </w:hyperlink>
      <w:r w:rsidR="00EA1EA4" w:rsidRPr="007F1BBC">
        <w:rPr>
          <w:rFonts w:ascii="Arial" w:hAnsi="Arial" w:cs="Arial"/>
          <w:sz w:val="22"/>
          <w:szCs w:val="22"/>
        </w:rPr>
        <w:t xml:space="preserve"> </w:t>
      </w:r>
      <w:r w:rsidRPr="007F1BBC">
        <w:rPr>
          <w:rFonts w:ascii="Arial" w:hAnsi="Arial" w:cs="Arial"/>
          <w:sz w:val="22"/>
          <w:szCs w:val="22"/>
        </w:rPr>
        <w:t xml:space="preserve"> (Accessed: 14/10/2025).</w:t>
      </w:r>
    </w:p>
    <w:p w14:paraId="237F6236" w14:textId="77777777" w:rsidR="007418BD" w:rsidRPr="007F1BBC" w:rsidRDefault="007418BD" w:rsidP="007418BD">
      <w:pPr>
        <w:spacing w:after="0" w:line="360" w:lineRule="auto"/>
        <w:rPr>
          <w:rFonts w:ascii="Arial" w:hAnsi="Arial" w:cs="Arial"/>
          <w:sz w:val="16"/>
          <w:szCs w:val="16"/>
        </w:rPr>
      </w:pPr>
    </w:p>
    <w:p w14:paraId="14F7E386" w14:textId="179457EC"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El Amrani, M. and Kettani, D. (2022) ‘Governance of Buyer–Supplier Relationship in Morocco,’ European Journal of Business and Management, 14(18), pp. 73–85. Available at: </w:t>
      </w:r>
      <w:hyperlink r:id="rId39" w:history="1">
        <w:r w:rsidR="00EA1EA4" w:rsidRPr="007F1BBC">
          <w:rPr>
            <w:rStyle w:val="Hyperlink"/>
            <w:rFonts w:ascii="Arial" w:hAnsi="Arial" w:cs="Arial"/>
            <w:color w:val="auto"/>
            <w:sz w:val="22"/>
            <w:szCs w:val="22"/>
          </w:rPr>
          <w:t>https://iiste.org/Journals/index.php/EJBM/article/download/6185/6338</w:t>
        </w:r>
      </w:hyperlink>
      <w:r w:rsidR="00EA1EA4" w:rsidRPr="007F1BBC">
        <w:rPr>
          <w:rFonts w:ascii="Arial" w:hAnsi="Arial" w:cs="Arial"/>
          <w:sz w:val="22"/>
          <w:szCs w:val="22"/>
        </w:rPr>
        <w:t xml:space="preserve"> </w:t>
      </w:r>
      <w:r w:rsidRPr="007F1BBC">
        <w:rPr>
          <w:rFonts w:ascii="Arial" w:hAnsi="Arial" w:cs="Arial"/>
          <w:sz w:val="22"/>
          <w:szCs w:val="22"/>
        </w:rPr>
        <w:t xml:space="preserve"> (Accessed: 14/10/2025).</w:t>
      </w:r>
    </w:p>
    <w:p w14:paraId="04E0557D" w14:textId="77777777" w:rsidR="007418BD" w:rsidRPr="007F1BBC" w:rsidRDefault="007418BD" w:rsidP="007418BD">
      <w:pPr>
        <w:spacing w:after="0" w:line="360" w:lineRule="auto"/>
        <w:rPr>
          <w:rFonts w:ascii="Arial" w:hAnsi="Arial" w:cs="Arial"/>
          <w:sz w:val="16"/>
          <w:szCs w:val="16"/>
        </w:rPr>
      </w:pPr>
    </w:p>
    <w:p w14:paraId="7D55EEB2" w14:textId="3B52BCA4"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Elta Automotive (2024) Company Overview and Product Range. Available at: </w:t>
      </w:r>
      <w:hyperlink r:id="rId40" w:history="1">
        <w:r w:rsidR="00EA1EA4" w:rsidRPr="007F1BBC">
          <w:rPr>
            <w:rStyle w:val="Hyperlink"/>
            <w:rFonts w:ascii="Arial" w:hAnsi="Arial" w:cs="Arial"/>
            <w:color w:val="auto"/>
            <w:sz w:val="22"/>
            <w:szCs w:val="22"/>
          </w:rPr>
          <w:t>https://www.eltaautomotive.com/</w:t>
        </w:r>
      </w:hyperlink>
      <w:r w:rsidR="00EA1EA4" w:rsidRPr="007F1BBC">
        <w:rPr>
          <w:rFonts w:ascii="Arial" w:hAnsi="Arial" w:cs="Arial"/>
          <w:sz w:val="22"/>
          <w:szCs w:val="22"/>
        </w:rPr>
        <w:t xml:space="preserve"> </w:t>
      </w:r>
      <w:r w:rsidRPr="007F1BBC">
        <w:rPr>
          <w:rFonts w:ascii="Arial" w:hAnsi="Arial" w:cs="Arial"/>
          <w:sz w:val="22"/>
          <w:szCs w:val="22"/>
        </w:rPr>
        <w:t xml:space="preserve"> (Accessed: 10/10/2025).</w:t>
      </w:r>
    </w:p>
    <w:p w14:paraId="64B313CE" w14:textId="77777777" w:rsidR="007418BD" w:rsidRPr="007F1BBC" w:rsidRDefault="007418BD" w:rsidP="007418BD">
      <w:pPr>
        <w:spacing w:after="0" w:line="360" w:lineRule="auto"/>
        <w:rPr>
          <w:rFonts w:ascii="Arial" w:hAnsi="Arial" w:cs="Arial"/>
          <w:sz w:val="16"/>
          <w:szCs w:val="16"/>
        </w:rPr>
      </w:pPr>
    </w:p>
    <w:p w14:paraId="6B976EE5" w14:textId="66CC4B91"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ELTA Automotive Ltd (Power BI Dashboard) (2025) Sales Report and Performance Data 2024–2025 (Internal Analytics Platform). Available at: </w:t>
      </w:r>
      <w:hyperlink r:id="rId41" w:history="1">
        <w:r w:rsidR="00EA1EA4" w:rsidRPr="007F1BBC">
          <w:rPr>
            <w:rStyle w:val="Hyperlink"/>
            <w:rFonts w:ascii="Arial" w:hAnsi="Arial" w:cs="Arial"/>
            <w:color w:val="auto"/>
            <w:sz w:val="22"/>
            <w:szCs w:val="22"/>
          </w:rPr>
          <w:t>https://app.powerbi.com</w:t>
        </w:r>
      </w:hyperlink>
      <w:r w:rsidR="00EA1EA4" w:rsidRPr="007F1BBC">
        <w:rPr>
          <w:rFonts w:ascii="Arial" w:hAnsi="Arial" w:cs="Arial"/>
          <w:sz w:val="22"/>
          <w:szCs w:val="22"/>
        </w:rPr>
        <w:t xml:space="preserve"> </w:t>
      </w:r>
      <w:r w:rsidRPr="007F1BBC">
        <w:rPr>
          <w:rFonts w:ascii="Arial" w:hAnsi="Arial" w:cs="Arial"/>
          <w:sz w:val="22"/>
          <w:szCs w:val="22"/>
        </w:rPr>
        <w:t xml:space="preserve"> (Accessed: 29/10/2025).</w:t>
      </w:r>
    </w:p>
    <w:p w14:paraId="2B8634F7" w14:textId="77777777" w:rsidR="007418BD" w:rsidRPr="007F1BBC" w:rsidRDefault="007418BD" w:rsidP="007418BD">
      <w:pPr>
        <w:spacing w:after="0" w:line="360" w:lineRule="auto"/>
        <w:rPr>
          <w:rFonts w:ascii="Arial" w:hAnsi="Arial" w:cs="Arial"/>
          <w:sz w:val="16"/>
          <w:szCs w:val="16"/>
        </w:rPr>
      </w:pPr>
    </w:p>
    <w:p w14:paraId="6AAC4AF1" w14:textId="27632275"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Gereffi, G. and Fernandez-Stark, K. (2022) ‘Global value chains, development, and emerging economies,’ Cambridge Journal of Regions, Economy and Society, 15(1), pp. 13–34. Available at: </w:t>
      </w:r>
      <w:hyperlink r:id="rId42" w:history="1">
        <w:r w:rsidR="00EA1EA4" w:rsidRPr="007F1BBC">
          <w:rPr>
            <w:rStyle w:val="Hyperlink"/>
            <w:rFonts w:ascii="Arial" w:hAnsi="Arial" w:cs="Arial"/>
            <w:color w:val="auto"/>
            <w:sz w:val="22"/>
            <w:szCs w:val="22"/>
          </w:rPr>
          <w:t>https://doi.org/10.1093/cjres/rsab029</w:t>
        </w:r>
      </w:hyperlink>
      <w:r w:rsidR="00EA1EA4" w:rsidRPr="007F1BBC">
        <w:rPr>
          <w:rFonts w:ascii="Arial" w:hAnsi="Arial" w:cs="Arial"/>
          <w:sz w:val="22"/>
          <w:szCs w:val="22"/>
        </w:rPr>
        <w:t xml:space="preserve"> </w:t>
      </w:r>
      <w:r w:rsidRPr="007F1BBC">
        <w:rPr>
          <w:rFonts w:ascii="Arial" w:hAnsi="Arial" w:cs="Arial"/>
          <w:sz w:val="22"/>
          <w:szCs w:val="22"/>
        </w:rPr>
        <w:t xml:space="preserve"> (Accessed: 21/10/2025).</w:t>
      </w:r>
    </w:p>
    <w:p w14:paraId="6EC3E095" w14:textId="77777777" w:rsidR="007418BD" w:rsidRPr="007F1BBC" w:rsidRDefault="007418BD" w:rsidP="007418BD">
      <w:pPr>
        <w:spacing w:after="0" w:line="360" w:lineRule="auto"/>
        <w:rPr>
          <w:rFonts w:ascii="Arial" w:hAnsi="Arial" w:cs="Arial"/>
          <w:sz w:val="16"/>
          <w:szCs w:val="16"/>
        </w:rPr>
      </w:pPr>
    </w:p>
    <w:p w14:paraId="651CC60B" w14:textId="60709F54"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Ghemawat, P. (2001) ‘Distance Still Matters: The Hard Reality of Global Expansion,’ Harvard Business Review, 79(8), pp. 137–147. Available at: </w:t>
      </w:r>
      <w:hyperlink r:id="rId43" w:history="1">
        <w:r w:rsidR="00EA1EA4" w:rsidRPr="007F1BBC">
          <w:rPr>
            <w:rStyle w:val="Hyperlink"/>
            <w:rFonts w:ascii="Arial" w:hAnsi="Arial" w:cs="Arial"/>
            <w:color w:val="auto"/>
            <w:sz w:val="22"/>
            <w:szCs w:val="22"/>
          </w:rPr>
          <w:t>https://hbr.org/2001/09/distance-still-matters</w:t>
        </w:r>
      </w:hyperlink>
      <w:r w:rsidR="00EA1EA4" w:rsidRPr="007F1BBC">
        <w:rPr>
          <w:rFonts w:ascii="Arial" w:hAnsi="Arial" w:cs="Arial"/>
          <w:sz w:val="22"/>
          <w:szCs w:val="22"/>
        </w:rPr>
        <w:t xml:space="preserve"> </w:t>
      </w:r>
      <w:r w:rsidRPr="007F1BBC">
        <w:rPr>
          <w:rFonts w:ascii="Arial" w:hAnsi="Arial" w:cs="Arial"/>
          <w:sz w:val="22"/>
          <w:szCs w:val="22"/>
        </w:rPr>
        <w:t xml:space="preserve"> (Accessed: 10/10/2025).</w:t>
      </w:r>
    </w:p>
    <w:p w14:paraId="1BE66DD6" w14:textId="77777777" w:rsidR="007418BD" w:rsidRPr="007F1BBC" w:rsidRDefault="007418BD" w:rsidP="007418BD">
      <w:pPr>
        <w:spacing w:after="0" w:line="360" w:lineRule="auto"/>
        <w:rPr>
          <w:rFonts w:ascii="Arial" w:hAnsi="Arial" w:cs="Arial"/>
          <w:sz w:val="16"/>
          <w:szCs w:val="16"/>
        </w:rPr>
      </w:pPr>
    </w:p>
    <w:p w14:paraId="7D81C7E5" w14:textId="751DBF5C"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Ghemawat, P. (2024) Redefining Global Distance: CAGE Framework in Modern Trade Analysis. Harvard Business Review. Available at: </w:t>
      </w:r>
      <w:hyperlink r:id="rId44" w:history="1">
        <w:r w:rsidR="00EA1EA4" w:rsidRPr="007F1BBC">
          <w:rPr>
            <w:rStyle w:val="Hyperlink"/>
            <w:rFonts w:ascii="Arial" w:hAnsi="Arial" w:cs="Arial"/>
            <w:color w:val="auto"/>
            <w:sz w:val="22"/>
            <w:szCs w:val="22"/>
          </w:rPr>
          <w:t>https://hbr.org</w:t>
        </w:r>
      </w:hyperlink>
      <w:r w:rsidR="00EA1EA4" w:rsidRPr="007F1BBC">
        <w:rPr>
          <w:rFonts w:ascii="Arial" w:hAnsi="Arial" w:cs="Arial"/>
          <w:sz w:val="22"/>
          <w:szCs w:val="22"/>
        </w:rPr>
        <w:t xml:space="preserve"> </w:t>
      </w:r>
      <w:r w:rsidRPr="007F1BBC">
        <w:rPr>
          <w:rFonts w:ascii="Arial" w:hAnsi="Arial" w:cs="Arial"/>
          <w:sz w:val="22"/>
          <w:szCs w:val="22"/>
        </w:rPr>
        <w:t>(Accessed: 14/10/2025).</w:t>
      </w:r>
    </w:p>
    <w:p w14:paraId="76DE90DA" w14:textId="77777777" w:rsidR="007418BD" w:rsidRPr="007F1BBC" w:rsidRDefault="007418BD" w:rsidP="007418BD">
      <w:pPr>
        <w:spacing w:after="0" w:line="360" w:lineRule="auto"/>
        <w:rPr>
          <w:rFonts w:ascii="Arial" w:hAnsi="Arial" w:cs="Arial"/>
          <w:sz w:val="16"/>
          <w:szCs w:val="16"/>
        </w:rPr>
      </w:pPr>
    </w:p>
    <w:p w14:paraId="561615F5" w14:textId="43957D40"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Goyal, A. (2020) ‘A Critical Analysis of Porter’s 5 Forces Model of Competitive Advantage,’ SSRN. Available at: </w:t>
      </w:r>
      <w:hyperlink r:id="rId45" w:history="1">
        <w:r w:rsidR="00EA1EA4" w:rsidRPr="007F1BBC">
          <w:rPr>
            <w:rStyle w:val="Hyperlink"/>
            <w:rFonts w:ascii="Arial" w:hAnsi="Arial" w:cs="Arial"/>
            <w:color w:val="auto"/>
            <w:sz w:val="22"/>
            <w:szCs w:val="22"/>
          </w:rPr>
          <w:t>https://papers.ssrn.com/sol3/papers.cfm?abstract_id=3765758</w:t>
        </w:r>
      </w:hyperlink>
      <w:r w:rsidR="00EA1EA4" w:rsidRPr="007F1BBC">
        <w:rPr>
          <w:rFonts w:ascii="Arial" w:hAnsi="Arial" w:cs="Arial"/>
          <w:sz w:val="22"/>
          <w:szCs w:val="22"/>
        </w:rPr>
        <w:t xml:space="preserve"> </w:t>
      </w:r>
      <w:r w:rsidRPr="007F1BBC">
        <w:rPr>
          <w:rFonts w:ascii="Arial" w:hAnsi="Arial" w:cs="Arial"/>
          <w:sz w:val="22"/>
          <w:szCs w:val="22"/>
        </w:rPr>
        <w:t>(Accessed: 14/10/2025).</w:t>
      </w:r>
    </w:p>
    <w:p w14:paraId="28553C1C" w14:textId="77777777" w:rsidR="007418BD" w:rsidRPr="007F1BBC" w:rsidRDefault="007418BD" w:rsidP="007418BD">
      <w:pPr>
        <w:spacing w:after="0" w:line="360" w:lineRule="auto"/>
        <w:rPr>
          <w:rFonts w:ascii="Arial" w:hAnsi="Arial" w:cs="Arial"/>
          <w:sz w:val="16"/>
          <w:szCs w:val="16"/>
        </w:rPr>
      </w:pPr>
    </w:p>
    <w:p w14:paraId="68EFCB6C" w14:textId="77777777"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Grant, R.M. (2024) Contemporary Strategy Analysis. 12th </w:t>
      </w:r>
      <w:proofErr w:type="spellStart"/>
      <w:r w:rsidRPr="007F1BBC">
        <w:rPr>
          <w:rFonts w:ascii="Arial" w:hAnsi="Arial" w:cs="Arial"/>
          <w:sz w:val="22"/>
          <w:szCs w:val="22"/>
        </w:rPr>
        <w:t>edn</w:t>
      </w:r>
      <w:proofErr w:type="spellEnd"/>
      <w:r w:rsidRPr="007F1BBC">
        <w:rPr>
          <w:rFonts w:ascii="Arial" w:hAnsi="Arial" w:cs="Arial"/>
          <w:sz w:val="22"/>
          <w:szCs w:val="22"/>
        </w:rPr>
        <w:t>. Hoboken, NJ: Wiley.</w:t>
      </w:r>
    </w:p>
    <w:p w14:paraId="525BD27D" w14:textId="77777777" w:rsidR="007418BD" w:rsidRPr="007F1BBC" w:rsidRDefault="007418BD" w:rsidP="007418BD">
      <w:pPr>
        <w:spacing w:after="0" w:line="360" w:lineRule="auto"/>
        <w:rPr>
          <w:rFonts w:ascii="Arial" w:hAnsi="Arial" w:cs="Arial"/>
          <w:sz w:val="16"/>
          <w:szCs w:val="16"/>
        </w:rPr>
      </w:pPr>
    </w:p>
    <w:p w14:paraId="48032998" w14:textId="224BAE7C"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lastRenderedPageBreak/>
        <w:t xml:space="preserve">Gundelach, H. and Nielsen, B.B. (2023) ‘Subsidiary performance measurement in international business research: A systematic review and future directions,’ Journal of Business Research, 169, 114252. Available at: </w:t>
      </w:r>
      <w:hyperlink r:id="rId46" w:history="1">
        <w:r w:rsidR="00EA1EA4" w:rsidRPr="007F1BBC">
          <w:rPr>
            <w:rStyle w:val="Hyperlink"/>
            <w:rFonts w:ascii="Arial" w:hAnsi="Arial" w:cs="Arial"/>
            <w:color w:val="auto"/>
            <w:sz w:val="22"/>
            <w:szCs w:val="22"/>
          </w:rPr>
          <w:t>https://doi.org/10.1016/j.jbusres.2023.114252</w:t>
        </w:r>
      </w:hyperlink>
      <w:r w:rsidR="00EA1EA4" w:rsidRPr="007F1BBC">
        <w:rPr>
          <w:rFonts w:ascii="Arial" w:hAnsi="Arial" w:cs="Arial"/>
          <w:sz w:val="22"/>
          <w:szCs w:val="22"/>
        </w:rPr>
        <w:t xml:space="preserve"> </w:t>
      </w:r>
      <w:r w:rsidRPr="007F1BBC">
        <w:rPr>
          <w:rFonts w:ascii="Arial" w:hAnsi="Arial" w:cs="Arial"/>
          <w:sz w:val="22"/>
          <w:szCs w:val="22"/>
        </w:rPr>
        <w:t>(Accessed: 31/10/2025).</w:t>
      </w:r>
    </w:p>
    <w:p w14:paraId="3C5F8828" w14:textId="77777777" w:rsidR="007418BD" w:rsidRPr="007F1BBC" w:rsidRDefault="007418BD" w:rsidP="007418BD">
      <w:pPr>
        <w:spacing w:after="0" w:line="360" w:lineRule="auto"/>
        <w:rPr>
          <w:rFonts w:ascii="Arial" w:hAnsi="Arial" w:cs="Arial"/>
          <w:sz w:val="16"/>
          <w:szCs w:val="16"/>
        </w:rPr>
      </w:pPr>
    </w:p>
    <w:p w14:paraId="22B27698" w14:textId="325BC3A2"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Hitt, M.A., Ireland, R.D. and </w:t>
      </w:r>
      <w:proofErr w:type="spellStart"/>
      <w:r w:rsidRPr="007F1BBC">
        <w:rPr>
          <w:rFonts w:ascii="Arial" w:hAnsi="Arial" w:cs="Arial"/>
          <w:sz w:val="22"/>
          <w:szCs w:val="22"/>
        </w:rPr>
        <w:t>Hoskisson</w:t>
      </w:r>
      <w:proofErr w:type="spellEnd"/>
      <w:r w:rsidRPr="007F1BBC">
        <w:rPr>
          <w:rFonts w:ascii="Arial" w:hAnsi="Arial" w:cs="Arial"/>
          <w:sz w:val="22"/>
          <w:szCs w:val="22"/>
        </w:rPr>
        <w:t xml:space="preserve">, R.E. (2024) Strategic Management: Competitiveness and Globalization. 14th </w:t>
      </w:r>
      <w:proofErr w:type="spellStart"/>
      <w:r w:rsidRPr="007F1BBC">
        <w:rPr>
          <w:rFonts w:ascii="Arial" w:hAnsi="Arial" w:cs="Arial"/>
          <w:sz w:val="22"/>
          <w:szCs w:val="22"/>
        </w:rPr>
        <w:t>edn</w:t>
      </w:r>
      <w:proofErr w:type="spellEnd"/>
      <w:r w:rsidRPr="007F1BBC">
        <w:rPr>
          <w:rFonts w:ascii="Arial" w:hAnsi="Arial" w:cs="Arial"/>
          <w:sz w:val="22"/>
          <w:szCs w:val="22"/>
        </w:rPr>
        <w:t xml:space="preserve">. Boston: Cengage Learning. Available at: </w:t>
      </w:r>
      <w:hyperlink r:id="rId47" w:history="1">
        <w:r w:rsidR="00EA1EA4" w:rsidRPr="007F1BBC">
          <w:rPr>
            <w:rStyle w:val="Hyperlink"/>
            <w:rFonts w:ascii="Arial" w:hAnsi="Arial" w:cs="Arial"/>
            <w:color w:val="auto"/>
            <w:sz w:val="22"/>
            <w:szCs w:val="22"/>
          </w:rPr>
          <w:t>https://www.cengage.com/strategic-management-hitt-14e</w:t>
        </w:r>
      </w:hyperlink>
      <w:r w:rsidR="00EA1EA4" w:rsidRPr="007F1BBC">
        <w:rPr>
          <w:rFonts w:ascii="Arial" w:hAnsi="Arial" w:cs="Arial"/>
          <w:sz w:val="22"/>
          <w:szCs w:val="22"/>
        </w:rPr>
        <w:t xml:space="preserve"> </w:t>
      </w:r>
      <w:r w:rsidRPr="007F1BBC">
        <w:rPr>
          <w:rFonts w:ascii="Arial" w:hAnsi="Arial" w:cs="Arial"/>
          <w:sz w:val="22"/>
          <w:szCs w:val="22"/>
        </w:rPr>
        <w:t>(Accessed: 21/10/2025).</w:t>
      </w:r>
    </w:p>
    <w:p w14:paraId="337C5792" w14:textId="40E45F57" w:rsidR="007418BD" w:rsidRPr="007F1BBC" w:rsidRDefault="007F1BBC" w:rsidP="007F1BBC">
      <w:pPr>
        <w:tabs>
          <w:tab w:val="left" w:pos="533"/>
        </w:tabs>
        <w:spacing w:after="0" w:line="360" w:lineRule="auto"/>
        <w:rPr>
          <w:rFonts w:ascii="Arial" w:hAnsi="Arial" w:cs="Arial"/>
          <w:sz w:val="16"/>
          <w:szCs w:val="16"/>
        </w:rPr>
      </w:pPr>
      <w:r w:rsidRPr="007F1BBC">
        <w:rPr>
          <w:rFonts w:ascii="Arial" w:hAnsi="Arial" w:cs="Arial"/>
          <w:sz w:val="22"/>
          <w:szCs w:val="22"/>
        </w:rPr>
        <w:tab/>
      </w:r>
    </w:p>
    <w:p w14:paraId="44385847" w14:textId="77777777"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Hofstede, G. (2001) Culture’s Consequences: Comparing Values, </w:t>
      </w:r>
      <w:proofErr w:type="spellStart"/>
      <w:r w:rsidRPr="007F1BBC">
        <w:rPr>
          <w:rFonts w:ascii="Arial" w:hAnsi="Arial" w:cs="Arial"/>
          <w:sz w:val="22"/>
          <w:szCs w:val="22"/>
        </w:rPr>
        <w:t>Behaviors</w:t>
      </w:r>
      <w:proofErr w:type="spellEnd"/>
      <w:r w:rsidRPr="007F1BBC">
        <w:rPr>
          <w:rFonts w:ascii="Arial" w:hAnsi="Arial" w:cs="Arial"/>
          <w:sz w:val="22"/>
          <w:szCs w:val="22"/>
        </w:rPr>
        <w:t>, Institutions and Organizations Across Nations. Thousand Oaks, CA: SAGE Publications.</w:t>
      </w:r>
    </w:p>
    <w:p w14:paraId="409F6646" w14:textId="77777777" w:rsidR="007418BD" w:rsidRPr="007F1BBC" w:rsidRDefault="007418BD" w:rsidP="007418BD">
      <w:pPr>
        <w:spacing w:after="0" w:line="360" w:lineRule="auto"/>
        <w:rPr>
          <w:rFonts w:ascii="Arial" w:hAnsi="Arial" w:cs="Arial"/>
          <w:sz w:val="16"/>
          <w:szCs w:val="16"/>
        </w:rPr>
      </w:pPr>
    </w:p>
    <w:p w14:paraId="6C5BB77B" w14:textId="7B642C3D"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IMF (2024) Morocco: 2024 Article IV Consultation; FCL and RSF Reviews. Washington, DC: International Monetary Fund. Available at: </w:t>
      </w:r>
      <w:hyperlink r:id="rId48" w:history="1">
        <w:r w:rsidR="00EA1EA4" w:rsidRPr="007F1BBC">
          <w:rPr>
            <w:rStyle w:val="Hyperlink"/>
            <w:rFonts w:ascii="Arial" w:hAnsi="Arial" w:cs="Arial"/>
            <w:color w:val="auto"/>
            <w:sz w:val="22"/>
            <w:szCs w:val="22"/>
          </w:rPr>
          <w:t>https://www.imf.org/en/Publications/CR/Issues/2024/05/01/Morocco-2024-Article-IV-Consultation-Review-Under-the-Flexible-Credit-Line-Arrangement-548442</w:t>
        </w:r>
      </w:hyperlink>
      <w:r w:rsidR="00EA1EA4" w:rsidRPr="007F1BBC">
        <w:rPr>
          <w:rFonts w:ascii="Arial" w:hAnsi="Arial" w:cs="Arial"/>
          <w:sz w:val="22"/>
          <w:szCs w:val="22"/>
        </w:rPr>
        <w:t xml:space="preserve"> </w:t>
      </w:r>
      <w:r w:rsidRPr="007F1BBC">
        <w:rPr>
          <w:rFonts w:ascii="Arial" w:hAnsi="Arial" w:cs="Arial"/>
          <w:sz w:val="22"/>
          <w:szCs w:val="22"/>
        </w:rPr>
        <w:t>(Accessed: 15/10/2025).</w:t>
      </w:r>
    </w:p>
    <w:p w14:paraId="159ADE33" w14:textId="77777777" w:rsidR="007418BD" w:rsidRPr="007F1BBC" w:rsidRDefault="007418BD" w:rsidP="007418BD">
      <w:pPr>
        <w:spacing w:after="0" w:line="360" w:lineRule="auto"/>
        <w:rPr>
          <w:rFonts w:ascii="Arial" w:hAnsi="Arial" w:cs="Arial"/>
          <w:sz w:val="16"/>
          <w:szCs w:val="16"/>
        </w:rPr>
      </w:pPr>
    </w:p>
    <w:p w14:paraId="714B0F62" w14:textId="77777777"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Johnson, G., Whittington, R., Scholes, K., Angwin, D. and </w:t>
      </w:r>
      <w:proofErr w:type="spellStart"/>
      <w:r w:rsidRPr="007F1BBC">
        <w:rPr>
          <w:rFonts w:ascii="Arial" w:hAnsi="Arial" w:cs="Arial"/>
          <w:sz w:val="22"/>
          <w:szCs w:val="22"/>
        </w:rPr>
        <w:t>Regnér</w:t>
      </w:r>
      <w:proofErr w:type="spellEnd"/>
      <w:r w:rsidRPr="007F1BBC">
        <w:rPr>
          <w:rFonts w:ascii="Arial" w:hAnsi="Arial" w:cs="Arial"/>
          <w:sz w:val="22"/>
          <w:szCs w:val="22"/>
        </w:rPr>
        <w:t xml:space="preserve">, P. (2023) Exploring Strategy: Text and Cases. 13th </w:t>
      </w:r>
      <w:proofErr w:type="spellStart"/>
      <w:r w:rsidRPr="007F1BBC">
        <w:rPr>
          <w:rFonts w:ascii="Arial" w:hAnsi="Arial" w:cs="Arial"/>
          <w:sz w:val="22"/>
          <w:szCs w:val="22"/>
        </w:rPr>
        <w:t>edn</w:t>
      </w:r>
      <w:proofErr w:type="spellEnd"/>
      <w:r w:rsidRPr="007F1BBC">
        <w:rPr>
          <w:rFonts w:ascii="Arial" w:hAnsi="Arial" w:cs="Arial"/>
          <w:sz w:val="22"/>
          <w:szCs w:val="22"/>
        </w:rPr>
        <w:t>. Harlow: Pearson Education.</w:t>
      </w:r>
    </w:p>
    <w:p w14:paraId="679A2008" w14:textId="77777777" w:rsidR="007418BD" w:rsidRPr="007F1BBC" w:rsidRDefault="007418BD" w:rsidP="007418BD">
      <w:pPr>
        <w:spacing w:after="0" w:line="360" w:lineRule="auto"/>
        <w:rPr>
          <w:rFonts w:ascii="Arial" w:hAnsi="Arial" w:cs="Arial"/>
          <w:sz w:val="16"/>
          <w:szCs w:val="16"/>
        </w:rPr>
      </w:pPr>
    </w:p>
    <w:p w14:paraId="07166868" w14:textId="227CF665"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Knott, P.J. (2022) ‘Does VRIO help managers evaluate a firm’s resources?’ Management Decision, 60(3), pp. 701–716. Available at: </w:t>
      </w:r>
      <w:hyperlink r:id="rId49" w:history="1">
        <w:r w:rsidR="00EA1EA4" w:rsidRPr="007F1BBC">
          <w:rPr>
            <w:rStyle w:val="Hyperlink"/>
            <w:rFonts w:ascii="Arial" w:hAnsi="Arial" w:cs="Arial"/>
            <w:color w:val="auto"/>
            <w:sz w:val="22"/>
            <w:szCs w:val="22"/>
          </w:rPr>
          <w:t>https://doi.org/10.1108/MD-08-2020-1086</w:t>
        </w:r>
      </w:hyperlink>
      <w:r w:rsidR="00EA1EA4" w:rsidRPr="007F1BBC">
        <w:rPr>
          <w:rFonts w:ascii="Arial" w:hAnsi="Arial" w:cs="Arial"/>
          <w:sz w:val="22"/>
          <w:szCs w:val="22"/>
        </w:rPr>
        <w:t xml:space="preserve"> </w:t>
      </w:r>
      <w:r w:rsidRPr="007F1BBC">
        <w:rPr>
          <w:rFonts w:ascii="Arial" w:hAnsi="Arial" w:cs="Arial"/>
          <w:sz w:val="22"/>
          <w:szCs w:val="22"/>
        </w:rPr>
        <w:t>(Accessed: 21/10/2025).</w:t>
      </w:r>
    </w:p>
    <w:p w14:paraId="01B015E8" w14:textId="77777777" w:rsidR="007418BD" w:rsidRPr="007F1BBC" w:rsidRDefault="007418BD" w:rsidP="007418BD">
      <w:pPr>
        <w:spacing w:after="0" w:line="360" w:lineRule="auto"/>
        <w:rPr>
          <w:rFonts w:ascii="Arial" w:hAnsi="Arial" w:cs="Arial"/>
          <w:sz w:val="16"/>
          <w:szCs w:val="16"/>
        </w:rPr>
      </w:pPr>
    </w:p>
    <w:p w14:paraId="051B78EC" w14:textId="647EF443"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Lee, H.S. (2023) ‘Internationalization of I-business Firms: The role of cultural, geographic, and economic distances,’ Journal of Business Research. Available at: </w:t>
      </w:r>
      <w:hyperlink r:id="rId50" w:history="1">
        <w:r w:rsidR="00EA1EA4" w:rsidRPr="007F1BBC">
          <w:rPr>
            <w:rStyle w:val="Hyperlink"/>
            <w:rFonts w:ascii="Arial" w:hAnsi="Arial" w:cs="Arial"/>
            <w:color w:val="auto"/>
            <w:sz w:val="22"/>
            <w:szCs w:val="22"/>
          </w:rPr>
          <w:t>https://www.sciencedirect.com/science/article/abs/pii/S0148296323003685</w:t>
        </w:r>
      </w:hyperlink>
      <w:r w:rsidR="00EA1EA4" w:rsidRPr="007F1BBC">
        <w:rPr>
          <w:rFonts w:ascii="Arial" w:hAnsi="Arial" w:cs="Arial"/>
          <w:sz w:val="22"/>
          <w:szCs w:val="22"/>
        </w:rPr>
        <w:t xml:space="preserve"> </w:t>
      </w:r>
      <w:r w:rsidRPr="007F1BBC">
        <w:rPr>
          <w:rFonts w:ascii="Arial" w:hAnsi="Arial" w:cs="Arial"/>
          <w:sz w:val="22"/>
          <w:szCs w:val="22"/>
        </w:rPr>
        <w:t>(Accessed: 14/10/2025).</w:t>
      </w:r>
    </w:p>
    <w:p w14:paraId="09FAA578" w14:textId="77777777" w:rsidR="007418BD" w:rsidRPr="007F1BBC" w:rsidRDefault="007418BD" w:rsidP="007418BD">
      <w:pPr>
        <w:spacing w:after="0" w:line="360" w:lineRule="auto"/>
        <w:rPr>
          <w:rFonts w:ascii="Arial" w:hAnsi="Arial" w:cs="Arial"/>
          <w:sz w:val="16"/>
          <w:szCs w:val="16"/>
        </w:rPr>
      </w:pPr>
    </w:p>
    <w:p w14:paraId="7E1997BC" w14:textId="644BC23D"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Lin, Y. and Chen, J. (2024) ‘Strategic performance management and innovation in global SMEs: The mediating role of analytics capability,’ Journal of Business Research, 170, 114610. Available at: </w:t>
      </w:r>
      <w:hyperlink r:id="rId51" w:history="1">
        <w:r w:rsidR="00EA1EA4" w:rsidRPr="007F1BBC">
          <w:rPr>
            <w:rStyle w:val="Hyperlink"/>
            <w:rFonts w:ascii="Arial" w:hAnsi="Arial" w:cs="Arial"/>
            <w:color w:val="auto"/>
            <w:sz w:val="22"/>
            <w:szCs w:val="22"/>
          </w:rPr>
          <w:t>https://doi.org/10.1016/j.jbusres.2024.11461</w:t>
        </w:r>
      </w:hyperlink>
      <w:r w:rsidR="00EA1EA4" w:rsidRPr="007F1BBC">
        <w:rPr>
          <w:rFonts w:ascii="Arial" w:hAnsi="Arial" w:cs="Arial"/>
          <w:sz w:val="22"/>
          <w:szCs w:val="22"/>
        </w:rPr>
        <w:t xml:space="preserve"> </w:t>
      </w:r>
      <w:r w:rsidRPr="007F1BBC">
        <w:rPr>
          <w:rFonts w:ascii="Arial" w:hAnsi="Arial" w:cs="Arial"/>
          <w:sz w:val="22"/>
          <w:szCs w:val="22"/>
        </w:rPr>
        <w:t xml:space="preserve"> (Accessed: 31/10/2025).</w:t>
      </w:r>
    </w:p>
    <w:p w14:paraId="36DF0F98" w14:textId="77777777" w:rsidR="007418BD" w:rsidRPr="007F1BBC" w:rsidRDefault="007418BD" w:rsidP="007418BD">
      <w:pPr>
        <w:spacing w:after="0" w:line="360" w:lineRule="auto"/>
        <w:rPr>
          <w:rFonts w:ascii="Arial" w:hAnsi="Arial" w:cs="Arial"/>
          <w:sz w:val="16"/>
          <w:szCs w:val="16"/>
        </w:rPr>
      </w:pPr>
    </w:p>
    <w:p w14:paraId="31B27C70" w14:textId="1A5853B8"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Ministry of Transport and Logistics (2024) Vehicle Fleet Statistics – Morocco in Figures 2024. High Commission for Planning, Kingdom of Morocco. Available at: </w:t>
      </w:r>
      <w:hyperlink r:id="rId52" w:history="1">
        <w:r w:rsidR="00EA1EA4" w:rsidRPr="007F1BBC">
          <w:rPr>
            <w:rStyle w:val="Hyperlink"/>
            <w:rFonts w:ascii="Arial" w:hAnsi="Arial" w:cs="Arial"/>
            <w:color w:val="auto"/>
            <w:sz w:val="22"/>
            <w:szCs w:val="22"/>
          </w:rPr>
          <w:t>https://www.hcp.ma/</w:t>
        </w:r>
      </w:hyperlink>
      <w:r w:rsidR="00EA1EA4" w:rsidRPr="007F1BBC">
        <w:rPr>
          <w:rFonts w:ascii="Arial" w:hAnsi="Arial" w:cs="Arial"/>
          <w:sz w:val="22"/>
          <w:szCs w:val="22"/>
        </w:rPr>
        <w:t xml:space="preserve"> </w:t>
      </w:r>
      <w:r w:rsidRPr="007F1BBC">
        <w:rPr>
          <w:rFonts w:ascii="Arial" w:hAnsi="Arial" w:cs="Arial"/>
          <w:sz w:val="22"/>
          <w:szCs w:val="22"/>
        </w:rPr>
        <w:t>(Accessed: 10/10/2025).</w:t>
      </w:r>
    </w:p>
    <w:p w14:paraId="275CA0E4" w14:textId="77777777" w:rsidR="007418BD" w:rsidRPr="007F1BBC" w:rsidRDefault="007418BD" w:rsidP="007418BD">
      <w:pPr>
        <w:spacing w:after="0" w:line="360" w:lineRule="auto"/>
        <w:rPr>
          <w:rFonts w:ascii="Arial" w:hAnsi="Arial" w:cs="Arial"/>
          <w:sz w:val="16"/>
          <w:szCs w:val="16"/>
        </w:rPr>
      </w:pPr>
    </w:p>
    <w:p w14:paraId="1E1CF7C6" w14:textId="12FDBBB9"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lastRenderedPageBreak/>
        <w:t xml:space="preserve">NYU Stern (2024) Globalization Explorer – CAGE Comparator: Morocco (HS8708 Imports). Available at: </w:t>
      </w:r>
      <w:hyperlink r:id="rId53" w:history="1">
        <w:r w:rsidR="00EA1EA4" w:rsidRPr="007F1BBC">
          <w:rPr>
            <w:rStyle w:val="Hyperlink"/>
            <w:rFonts w:ascii="Arial" w:hAnsi="Arial" w:cs="Arial"/>
            <w:color w:val="auto"/>
            <w:sz w:val="22"/>
            <w:szCs w:val="22"/>
          </w:rPr>
          <w:t>https://globalization.stern.nyu.edu/cage?country=MAR&amp;indicator=HS8708</w:t>
        </w:r>
      </w:hyperlink>
      <w:r w:rsidR="00EA1EA4" w:rsidRPr="007F1BBC">
        <w:rPr>
          <w:rFonts w:ascii="Arial" w:hAnsi="Arial" w:cs="Arial"/>
          <w:sz w:val="22"/>
          <w:szCs w:val="22"/>
        </w:rPr>
        <w:t xml:space="preserve"> </w:t>
      </w:r>
      <w:r w:rsidRPr="007F1BBC">
        <w:rPr>
          <w:rFonts w:ascii="Arial" w:hAnsi="Arial" w:cs="Arial"/>
          <w:sz w:val="22"/>
          <w:szCs w:val="22"/>
        </w:rPr>
        <w:t xml:space="preserve"> (Accessed: 14/10/2025).</w:t>
      </w:r>
    </w:p>
    <w:p w14:paraId="585A1755" w14:textId="77777777" w:rsidR="007418BD" w:rsidRPr="007F1BBC" w:rsidRDefault="007418BD" w:rsidP="007418BD">
      <w:pPr>
        <w:spacing w:after="0" w:line="360" w:lineRule="auto"/>
        <w:rPr>
          <w:rFonts w:ascii="Arial" w:hAnsi="Arial" w:cs="Arial"/>
          <w:sz w:val="16"/>
          <w:szCs w:val="16"/>
        </w:rPr>
      </w:pPr>
    </w:p>
    <w:p w14:paraId="4C631B03" w14:textId="4B20B017"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OICA (2024) 2024 Production Statistics. Available at: </w:t>
      </w:r>
      <w:hyperlink r:id="rId54" w:history="1">
        <w:r w:rsidR="00EA1EA4" w:rsidRPr="007F1BBC">
          <w:rPr>
            <w:rStyle w:val="Hyperlink"/>
            <w:rFonts w:ascii="Arial" w:hAnsi="Arial" w:cs="Arial"/>
            <w:color w:val="auto"/>
            <w:sz w:val="22"/>
            <w:szCs w:val="22"/>
          </w:rPr>
          <w:t>https://oica.net/2024-production-statistics/</w:t>
        </w:r>
      </w:hyperlink>
      <w:r w:rsidR="00EA1EA4" w:rsidRPr="007F1BBC">
        <w:rPr>
          <w:rFonts w:ascii="Arial" w:hAnsi="Arial" w:cs="Arial"/>
          <w:sz w:val="22"/>
          <w:szCs w:val="22"/>
        </w:rPr>
        <w:t xml:space="preserve"> </w:t>
      </w:r>
      <w:r w:rsidRPr="007F1BBC">
        <w:rPr>
          <w:rFonts w:ascii="Arial" w:hAnsi="Arial" w:cs="Arial"/>
          <w:sz w:val="22"/>
          <w:szCs w:val="22"/>
        </w:rPr>
        <w:t xml:space="preserve"> (Accessed: 15/10/2025).</w:t>
      </w:r>
    </w:p>
    <w:p w14:paraId="11102752" w14:textId="77777777" w:rsidR="007418BD" w:rsidRPr="007F1BBC" w:rsidRDefault="007418BD" w:rsidP="007418BD">
      <w:pPr>
        <w:spacing w:after="0" w:line="360" w:lineRule="auto"/>
        <w:rPr>
          <w:rFonts w:ascii="Arial" w:hAnsi="Arial" w:cs="Arial"/>
          <w:sz w:val="16"/>
          <w:szCs w:val="16"/>
        </w:rPr>
      </w:pPr>
    </w:p>
    <w:p w14:paraId="167A1020" w14:textId="68366102" w:rsidR="007418BD" w:rsidRPr="007F1BBC" w:rsidRDefault="007418BD" w:rsidP="007418BD">
      <w:pPr>
        <w:spacing w:after="0" w:line="360" w:lineRule="auto"/>
        <w:rPr>
          <w:rFonts w:ascii="Arial" w:hAnsi="Arial" w:cs="Arial"/>
          <w:sz w:val="22"/>
          <w:szCs w:val="22"/>
        </w:rPr>
      </w:pPr>
      <w:proofErr w:type="spellStart"/>
      <w:r w:rsidRPr="007F1BBC">
        <w:rPr>
          <w:rFonts w:ascii="Arial" w:hAnsi="Arial" w:cs="Arial"/>
          <w:sz w:val="22"/>
          <w:szCs w:val="22"/>
        </w:rPr>
        <w:t>Ouzif</w:t>
      </w:r>
      <w:proofErr w:type="spellEnd"/>
      <w:r w:rsidRPr="007F1BBC">
        <w:rPr>
          <w:rFonts w:ascii="Arial" w:hAnsi="Arial" w:cs="Arial"/>
          <w:sz w:val="22"/>
          <w:szCs w:val="22"/>
        </w:rPr>
        <w:t xml:space="preserve">, H. et al. (2024) ‘The Impact of Information and Communication Technologies on the Competitiveness of SMEs in Morocco: An Approach Based on the Technology Acceptance Model,’ International Journal of Social Science and Human Research, 7(11), pp. 8122–8127. Available at: </w:t>
      </w:r>
      <w:hyperlink r:id="rId55" w:history="1">
        <w:r w:rsidR="00EA1EA4" w:rsidRPr="007F1BBC">
          <w:rPr>
            <w:rStyle w:val="Hyperlink"/>
            <w:rFonts w:ascii="Arial" w:hAnsi="Arial" w:cs="Arial"/>
            <w:color w:val="auto"/>
            <w:sz w:val="22"/>
            <w:szCs w:val="22"/>
          </w:rPr>
          <w:t>https://www.ijsshr.in</w:t>
        </w:r>
      </w:hyperlink>
      <w:r w:rsidR="00EA1EA4" w:rsidRPr="007F1BBC">
        <w:rPr>
          <w:rFonts w:ascii="Arial" w:hAnsi="Arial" w:cs="Arial"/>
          <w:sz w:val="22"/>
          <w:szCs w:val="22"/>
        </w:rPr>
        <w:t xml:space="preserve"> </w:t>
      </w:r>
      <w:r w:rsidRPr="007F1BBC">
        <w:rPr>
          <w:rFonts w:ascii="Arial" w:hAnsi="Arial" w:cs="Arial"/>
          <w:sz w:val="22"/>
          <w:szCs w:val="22"/>
        </w:rPr>
        <w:t>(Accessed: 14/10/2025).</w:t>
      </w:r>
    </w:p>
    <w:p w14:paraId="63C95611" w14:textId="77777777" w:rsidR="007418BD" w:rsidRPr="007F1BBC" w:rsidRDefault="007418BD" w:rsidP="007418BD">
      <w:pPr>
        <w:spacing w:after="0" w:line="360" w:lineRule="auto"/>
        <w:rPr>
          <w:rFonts w:ascii="Arial" w:hAnsi="Arial" w:cs="Arial"/>
          <w:sz w:val="16"/>
          <w:szCs w:val="16"/>
        </w:rPr>
      </w:pPr>
    </w:p>
    <w:p w14:paraId="6444521E" w14:textId="031036A6"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Pangarkar, N. (2024) ‘Using Porter’s Five Forces analysis to drive strategy,’ Journal of Organization Excellence, 43(1), pp. 7–18. Available at: </w:t>
      </w:r>
      <w:hyperlink r:id="rId56" w:history="1">
        <w:r w:rsidR="00EA1EA4" w:rsidRPr="007F1BBC">
          <w:rPr>
            <w:rStyle w:val="Hyperlink"/>
            <w:rFonts w:ascii="Arial" w:hAnsi="Arial" w:cs="Arial"/>
            <w:color w:val="auto"/>
            <w:sz w:val="22"/>
            <w:szCs w:val="22"/>
          </w:rPr>
          <w:t>https://onlinelibrary.wiley.com/doi/full/10.1002/joe.22250</w:t>
        </w:r>
      </w:hyperlink>
      <w:r w:rsidR="00EA1EA4" w:rsidRPr="007F1BBC">
        <w:rPr>
          <w:rFonts w:ascii="Arial" w:hAnsi="Arial" w:cs="Arial"/>
          <w:sz w:val="22"/>
          <w:szCs w:val="22"/>
        </w:rPr>
        <w:t xml:space="preserve"> </w:t>
      </w:r>
      <w:r w:rsidRPr="007F1BBC">
        <w:rPr>
          <w:rFonts w:ascii="Arial" w:hAnsi="Arial" w:cs="Arial"/>
          <w:sz w:val="22"/>
          <w:szCs w:val="22"/>
        </w:rPr>
        <w:t xml:space="preserve"> (Accessed: 14/10/2025).</w:t>
      </w:r>
    </w:p>
    <w:p w14:paraId="2C0F39F7" w14:textId="77777777" w:rsidR="007418BD" w:rsidRPr="007F1BBC" w:rsidRDefault="007418BD" w:rsidP="007418BD">
      <w:pPr>
        <w:spacing w:after="0" w:line="360" w:lineRule="auto"/>
        <w:rPr>
          <w:rFonts w:ascii="Arial" w:hAnsi="Arial" w:cs="Arial"/>
          <w:sz w:val="16"/>
          <w:szCs w:val="16"/>
        </w:rPr>
      </w:pPr>
    </w:p>
    <w:p w14:paraId="3FA39660" w14:textId="71701874"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Policy </w:t>
      </w:r>
      <w:proofErr w:type="spellStart"/>
      <w:r w:rsidRPr="007F1BBC">
        <w:rPr>
          <w:rFonts w:ascii="Arial" w:hAnsi="Arial" w:cs="Arial"/>
          <w:sz w:val="22"/>
          <w:szCs w:val="22"/>
        </w:rPr>
        <w:t>Center</w:t>
      </w:r>
      <w:proofErr w:type="spellEnd"/>
      <w:r w:rsidRPr="007F1BBC">
        <w:rPr>
          <w:rFonts w:ascii="Arial" w:hAnsi="Arial" w:cs="Arial"/>
          <w:sz w:val="22"/>
          <w:szCs w:val="22"/>
        </w:rPr>
        <w:t xml:space="preserve"> for the New South (Najib, I. and Haddad, E.) (2024) The Automotive Sector in Morocco: An Input-Output Analysis. Rabat: Policy </w:t>
      </w:r>
      <w:proofErr w:type="spellStart"/>
      <w:r w:rsidRPr="007F1BBC">
        <w:rPr>
          <w:rFonts w:ascii="Arial" w:hAnsi="Arial" w:cs="Arial"/>
          <w:sz w:val="22"/>
          <w:szCs w:val="22"/>
        </w:rPr>
        <w:t>Center</w:t>
      </w:r>
      <w:proofErr w:type="spellEnd"/>
      <w:r w:rsidRPr="007F1BBC">
        <w:rPr>
          <w:rFonts w:ascii="Arial" w:hAnsi="Arial" w:cs="Arial"/>
          <w:sz w:val="22"/>
          <w:szCs w:val="22"/>
        </w:rPr>
        <w:t xml:space="preserve"> for the New South. Available at: </w:t>
      </w:r>
      <w:hyperlink r:id="rId57" w:history="1">
        <w:r w:rsidR="00B81E71" w:rsidRPr="007F1BBC">
          <w:rPr>
            <w:rStyle w:val="Hyperlink"/>
            <w:rFonts w:ascii="Arial" w:hAnsi="Arial" w:cs="Arial"/>
            <w:color w:val="auto"/>
            <w:sz w:val="22"/>
            <w:szCs w:val="22"/>
          </w:rPr>
          <w:t>https://www.policycenter.ma/sites/default/files/2024-01/RP_03-24%20%28Najib%20Ilham%20%26%20Eduardo%20Haddad%29.pdf</w:t>
        </w:r>
      </w:hyperlink>
      <w:r w:rsidR="00B81E71" w:rsidRPr="007F1BBC">
        <w:rPr>
          <w:rFonts w:ascii="Arial" w:hAnsi="Arial" w:cs="Arial"/>
          <w:sz w:val="22"/>
          <w:szCs w:val="22"/>
        </w:rPr>
        <w:t xml:space="preserve"> </w:t>
      </w:r>
      <w:r w:rsidRPr="007F1BBC">
        <w:rPr>
          <w:rFonts w:ascii="Arial" w:hAnsi="Arial" w:cs="Arial"/>
          <w:sz w:val="22"/>
          <w:szCs w:val="22"/>
        </w:rPr>
        <w:t xml:space="preserve"> (Accessed: 15/10/2025).</w:t>
      </w:r>
    </w:p>
    <w:p w14:paraId="01CCB027" w14:textId="77777777" w:rsidR="007418BD" w:rsidRPr="007F1BBC" w:rsidRDefault="007418BD" w:rsidP="007418BD">
      <w:pPr>
        <w:spacing w:after="0" w:line="360" w:lineRule="auto"/>
        <w:rPr>
          <w:rFonts w:ascii="Arial" w:hAnsi="Arial" w:cs="Arial"/>
          <w:sz w:val="16"/>
          <w:szCs w:val="16"/>
        </w:rPr>
      </w:pPr>
    </w:p>
    <w:p w14:paraId="0A2CEEFB" w14:textId="2841ACB6"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Porter, M.E. (1985) Porter’s Generic Strategies. Available at: </w:t>
      </w:r>
      <w:hyperlink r:id="rId58" w:history="1">
        <w:r w:rsidR="00B81E71" w:rsidRPr="007F1BBC">
          <w:rPr>
            <w:rStyle w:val="Hyperlink"/>
            <w:rFonts w:ascii="Arial" w:hAnsi="Arial" w:cs="Arial"/>
            <w:color w:val="auto"/>
            <w:sz w:val="22"/>
            <w:szCs w:val="22"/>
          </w:rPr>
          <w:t>https://www.researchgate.net/figure/Porters-generic-strategies_fig1_333118406</w:t>
        </w:r>
      </w:hyperlink>
      <w:r w:rsidR="00B81E71" w:rsidRPr="007F1BBC">
        <w:rPr>
          <w:rFonts w:ascii="Arial" w:hAnsi="Arial" w:cs="Arial"/>
          <w:sz w:val="22"/>
          <w:szCs w:val="22"/>
        </w:rPr>
        <w:t xml:space="preserve"> </w:t>
      </w:r>
      <w:r w:rsidRPr="007F1BBC">
        <w:rPr>
          <w:rFonts w:ascii="Arial" w:hAnsi="Arial" w:cs="Arial"/>
          <w:sz w:val="22"/>
          <w:szCs w:val="22"/>
        </w:rPr>
        <w:t>(Accessed: 21/10/2025).</w:t>
      </w:r>
    </w:p>
    <w:p w14:paraId="78D8C396" w14:textId="77777777" w:rsidR="007418BD" w:rsidRPr="007F1BBC" w:rsidRDefault="007418BD" w:rsidP="007418BD">
      <w:pPr>
        <w:spacing w:after="0" w:line="360" w:lineRule="auto"/>
        <w:rPr>
          <w:rFonts w:ascii="Arial" w:hAnsi="Arial" w:cs="Arial"/>
          <w:sz w:val="16"/>
          <w:szCs w:val="16"/>
        </w:rPr>
      </w:pPr>
    </w:p>
    <w:p w14:paraId="2ED4385F" w14:textId="77777777"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Porter, M.E. (1990) The Competitive Advantage of Nations. New York: Free Press.</w:t>
      </w:r>
    </w:p>
    <w:p w14:paraId="1E835720" w14:textId="77777777" w:rsidR="007418BD" w:rsidRPr="007F1BBC" w:rsidRDefault="007418BD" w:rsidP="007418BD">
      <w:pPr>
        <w:spacing w:after="0" w:line="360" w:lineRule="auto"/>
        <w:rPr>
          <w:rFonts w:ascii="Arial" w:hAnsi="Arial" w:cs="Arial"/>
          <w:sz w:val="16"/>
          <w:szCs w:val="16"/>
        </w:rPr>
      </w:pPr>
    </w:p>
    <w:p w14:paraId="6160696E" w14:textId="29C73618"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Porter, M.E. (1990) ‘The Competitive Advantage of Nations,’ Harvard Business Review, March–April. Available at: </w:t>
      </w:r>
      <w:hyperlink r:id="rId59" w:history="1">
        <w:r w:rsidR="00B81E71" w:rsidRPr="007F1BBC">
          <w:rPr>
            <w:rStyle w:val="Hyperlink"/>
            <w:rFonts w:ascii="Arial" w:hAnsi="Arial" w:cs="Arial"/>
            <w:color w:val="auto"/>
            <w:sz w:val="22"/>
            <w:szCs w:val="22"/>
          </w:rPr>
          <w:t>https://hbr.org/1990/03/the-competitive-advantage-of-nations</w:t>
        </w:r>
      </w:hyperlink>
      <w:r w:rsidR="00B81E71" w:rsidRPr="007F1BBC">
        <w:rPr>
          <w:rFonts w:ascii="Arial" w:hAnsi="Arial" w:cs="Arial"/>
          <w:sz w:val="22"/>
          <w:szCs w:val="22"/>
        </w:rPr>
        <w:t xml:space="preserve"> </w:t>
      </w:r>
      <w:r w:rsidRPr="007F1BBC">
        <w:rPr>
          <w:rFonts w:ascii="Arial" w:hAnsi="Arial" w:cs="Arial"/>
          <w:sz w:val="22"/>
          <w:szCs w:val="22"/>
        </w:rPr>
        <w:t>(Accessed: 10/10/2025).</w:t>
      </w:r>
    </w:p>
    <w:p w14:paraId="4AB99480" w14:textId="77777777" w:rsidR="007418BD" w:rsidRPr="007F1BBC" w:rsidRDefault="007418BD" w:rsidP="007418BD">
      <w:pPr>
        <w:spacing w:after="0" w:line="360" w:lineRule="auto"/>
        <w:rPr>
          <w:rFonts w:ascii="Arial" w:hAnsi="Arial" w:cs="Arial"/>
          <w:sz w:val="16"/>
          <w:szCs w:val="16"/>
        </w:rPr>
      </w:pPr>
    </w:p>
    <w:p w14:paraId="516A3154" w14:textId="19F12810"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SMMT (2025) UK Automotive Motor Industry Facts 2025. Available at: </w:t>
      </w:r>
      <w:hyperlink r:id="rId60" w:history="1">
        <w:r w:rsidR="00B81E71" w:rsidRPr="007F1BBC">
          <w:rPr>
            <w:rStyle w:val="Hyperlink"/>
            <w:rFonts w:ascii="Arial" w:hAnsi="Arial" w:cs="Arial"/>
            <w:color w:val="auto"/>
            <w:sz w:val="22"/>
            <w:szCs w:val="22"/>
          </w:rPr>
          <w:t>https://www.smmt.co.uk/smmt-motor-industry-facts-2025/</w:t>
        </w:r>
      </w:hyperlink>
      <w:r w:rsidR="00B81E71" w:rsidRPr="007F1BBC">
        <w:rPr>
          <w:rFonts w:ascii="Arial" w:hAnsi="Arial" w:cs="Arial"/>
          <w:sz w:val="22"/>
          <w:szCs w:val="22"/>
        </w:rPr>
        <w:t xml:space="preserve"> </w:t>
      </w:r>
      <w:r w:rsidRPr="007F1BBC">
        <w:rPr>
          <w:rFonts w:ascii="Arial" w:hAnsi="Arial" w:cs="Arial"/>
          <w:sz w:val="22"/>
          <w:szCs w:val="22"/>
        </w:rPr>
        <w:t>(Accessed: 29/10/2025).</w:t>
      </w:r>
    </w:p>
    <w:p w14:paraId="71F33F26" w14:textId="77777777" w:rsidR="007418BD" w:rsidRPr="007F1BBC" w:rsidRDefault="007418BD" w:rsidP="007418BD">
      <w:pPr>
        <w:spacing w:after="0" w:line="360" w:lineRule="auto"/>
        <w:rPr>
          <w:rFonts w:ascii="Arial" w:hAnsi="Arial" w:cs="Arial"/>
          <w:sz w:val="16"/>
          <w:szCs w:val="16"/>
        </w:rPr>
      </w:pPr>
    </w:p>
    <w:p w14:paraId="469AD5D9" w14:textId="4BD94D4E"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Tangier Med Special Agency / Industrial Estate Portal (n.d.) Tangier Automotive City (TAC). Available at: </w:t>
      </w:r>
      <w:hyperlink r:id="rId61" w:history="1">
        <w:r w:rsidR="00B81E71" w:rsidRPr="007F1BBC">
          <w:rPr>
            <w:rStyle w:val="Hyperlink"/>
            <w:rFonts w:ascii="Arial" w:hAnsi="Arial" w:cs="Arial"/>
            <w:color w:val="auto"/>
            <w:sz w:val="22"/>
            <w:szCs w:val="22"/>
          </w:rPr>
          <w:t>https://industrial-estate.gov.ma/fiche-zone.php?id=305&amp;lang=en</w:t>
        </w:r>
      </w:hyperlink>
      <w:r w:rsidR="00B81E71" w:rsidRPr="007F1BBC">
        <w:rPr>
          <w:rFonts w:ascii="Arial" w:hAnsi="Arial" w:cs="Arial"/>
          <w:sz w:val="22"/>
          <w:szCs w:val="22"/>
        </w:rPr>
        <w:t xml:space="preserve"> </w:t>
      </w:r>
      <w:r w:rsidRPr="007F1BBC">
        <w:rPr>
          <w:rFonts w:ascii="Arial" w:hAnsi="Arial" w:cs="Arial"/>
          <w:sz w:val="22"/>
          <w:szCs w:val="22"/>
        </w:rPr>
        <w:t>(Accessed: 15/10/2025).</w:t>
      </w:r>
    </w:p>
    <w:p w14:paraId="3D0ACAFC" w14:textId="77777777" w:rsidR="007418BD" w:rsidRPr="007F1BBC" w:rsidRDefault="007418BD" w:rsidP="007418BD">
      <w:pPr>
        <w:spacing w:after="0" w:line="360" w:lineRule="auto"/>
        <w:rPr>
          <w:rFonts w:ascii="Arial" w:hAnsi="Arial" w:cs="Arial"/>
          <w:sz w:val="16"/>
          <w:szCs w:val="16"/>
        </w:rPr>
      </w:pPr>
    </w:p>
    <w:p w14:paraId="1BA37C6A" w14:textId="23D33265" w:rsidR="007418BD" w:rsidRPr="007F1BBC" w:rsidRDefault="007418BD" w:rsidP="007418BD">
      <w:pPr>
        <w:spacing w:after="0" w:line="360" w:lineRule="auto"/>
        <w:rPr>
          <w:rFonts w:ascii="Arial" w:hAnsi="Arial" w:cs="Arial"/>
          <w:sz w:val="22"/>
          <w:szCs w:val="22"/>
        </w:rPr>
      </w:pPr>
      <w:proofErr w:type="spellStart"/>
      <w:r w:rsidRPr="007F1BBC">
        <w:rPr>
          <w:rFonts w:ascii="Arial" w:hAnsi="Arial" w:cs="Arial"/>
          <w:sz w:val="22"/>
          <w:szCs w:val="22"/>
        </w:rPr>
        <w:lastRenderedPageBreak/>
        <w:t>Tarigan</w:t>
      </w:r>
      <w:proofErr w:type="spellEnd"/>
      <w:r w:rsidRPr="007F1BBC">
        <w:rPr>
          <w:rFonts w:ascii="Arial" w:hAnsi="Arial" w:cs="Arial"/>
          <w:sz w:val="22"/>
          <w:szCs w:val="22"/>
        </w:rPr>
        <w:t xml:space="preserve">, Z.J.H., </w:t>
      </w:r>
      <w:proofErr w:type="spellStart"/>
      <w:r w:rsidRPr="007F1BBC">
        <w:rPr>
          <w:rFonts w:ascii="Arial" w:hAnsi="Arial" w:cs="Arial"/>
          <w:sz w:val="22"/>
          <w:szCs w:val="22"/>
        </w:rPr>
        <w:t>Siagian</w:t>
      </w:r>
      <w:proofErr w:type="spellEnd"/>
      <w:r w:rsidRPr="007F1BBC">
        <w:rPr>
          <w:rFonts w:ascii="Arial" w:hAnsi="Arial" w:cs="Arial"/>
          <w:sz w:val="22"/>
          <w:szCs w:val="22"/>
        </w:rPr>
        <w:t xml:space="preserve">, H. and Jie, F. (2023) ‘Impact of performance measurement system and strategic alignment on business performance,’ </w:t>
      </w:r>
      <w:proofErr w:type="spellStart"/>
      <w:r w:rsidRPr="007F1BBC">
        <w:rPr>
          <w:rFonts w:ascii="Arial" w:hAnsi="Arial" w:cs="Arial"/>
          <w:sz w:val="22"/>
          <w:szCs w:val="22"/>
        </w:rPr>
        <w:t>Heliyon</w:t>
      </w:r>
      <w:proofErr w:type="spellEnd"/>
      <w:r w:rsidRPr="007F1BBC">
        <w:rPr>
          <w:rFonts w:ascii="Arial" w:hAnsi="Arial" w:cs="Arial"/>
          <w:sz w:val="22"/>
          <w:szCs w:val="22"/>
        </w:rPr>
        <w:t xml:space="preserve">, 9(4), e14560. Available at: </w:t>
      </w:r>
      <w:hyperlink r:id="rId62" w:history="1">
        <w:r w:rsidR="00B81E71" w:rsidRPr="007F1BBC">
          <w:rPr>
            <w:rStyle w:val="Hyperlink"/>
            <w:rFonts w:ascii="Arial" w:hAnsi="Arial" w:cs="Arial"/>
            <w:color w:val="auto"/>
            <w:sz w:val="22"/>
            <w:szCs w:val="22"/>
          </w:rPr>
          <w:t>https://doi.org/10.1016/j.heliyon.2023.e14560</w:t>
        </w:r>
      </w:hyperlink>
      <w:r w:rsidR="00B81E71" w:rsidRPr="007F1BBC">
        <w:rPr>
          <w:rFonts w:ascii="Arial" w:hAnsi="Arial" w:cs="Arial"/>
          <w:sz w:val="22"/>
          <w:szCs w:val="22"/>
        </w:rPr>
        <w:t xml:space="preserve"> </w:t>
      </w:r>
      <w:r w:rsidRPr="007F1BBC">
        <w:rPr>
          <w:rFonts w:ascii="Arial" w:hAnsi="Arial" w:cs="Arial"/>
          <w:sz w:val="22"/>
          <w:szCs w:val="22"/>
        </w:rPr>
        <w:t>(Accessed: 31/10/2025).</w:t>
      </w:r>
    </w:p>
    <w:p w14:paraId="69E8A893" w14:textId="77777777" w:rsidR="007418BD" w:rsidRPr="007F1BBC" w:rsidRDefault="007418BD" w:rsidP="007418BD">
      <w:pPr>
        <w:spacing w:after="0" w:line="360" w:lineRule="auto"/>
        <w:rPr>
          <w:rFonts w:ascii="Arial" w:hAnsi="Arial" w:cs="Arial"/>
          <w:sz w:val="16"/>
          <w:szCs w:val="16"/>
        </w:rPr>
      </w:pPr>
    </w:p>
    <w:p w14:paraId="6C4B2E1C" w14:textId="25542582"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The Culture Factor (2025) Country Comparison Tool: Morocco vs United Kingdom. Available at: </w:t>
      </w:r>
      <w:hyperlink r:id="rId63" w:history="1">
        <w:r w:rsidR="00B81E71" w:rsidRPr="007F1BBC">
          <w:rPr>
            <w:rStyle w:val="Hyperlink"/>
            <w:rFonts w:ascii="Arial" w:hAnsi="Arial" w:cs="Arial"/>
            <w:color w:val="auto"/>
            <w:sz w:val="22"/>
            <w:szCs w:val="22"/>
          </w:rPr>
          <w:t>https://www.theculturefactor.com/country-comparison-tool?countries=morocco%2Cunited+kingdom</w:t>
        </w:r>
      </w:hyperlink>
      <w:r w:rsidR="00B81E71" w:rsidRPr="007F1BBC">
        <w:rPr>
          <w:rFonts w:ascii="Arial" w:hAnsi="Arial" w:cs="Arial"/>
          <w:sz w:val="22"/>
          <w:szCs w:val="22"/>
        </w:rPr>
        <w:t xml:space="preserve"> </w:t>
      </w:r>
      <w:r w:rsidRPr="007F1BBC">
        <w:rPr>
          <w:rFonts w:ascii="Arial" w:hAnsi="Arial" w:cs="Arial"/>
          <w:sz w:val="22"/>
          <w:szCs w:val="22"/>
        </w:rPr>
        <w:t>(Accessed: 14/10/2025).</w:t>
      </w:r>
    </w:p>
    <w:p w14:paraId="1B34D75E" w14:textId="77777777" w:rsidR="007418BD" w:rsidRPr="007F1BBC" w:rsidRDefault="007418BD" w:rsidP="007418BD">
      <w:pPr>
        <w:spacing w:after="0" w:line="360" w:lineRule="auto"/>
        <w:rPr>
          <w:rFonts w:ascii="Arial" w:hAnsi="Arial" w:cs="Arial"/>
          <w:sz w:val="16"/>
          <w:szCs w:val="16"/>
        </w:rPr>
      </w:pPr>
    </w:p>
    <w:p w14:paraId="391DFB12" w14:textId="4B32C606"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The Strategy Institute (2024) ‘The Ansoff Matrix: A Powerful Tool for Business Strategy and Growth,’ Strategy Institute Insights. Available at: </w:t>
      </w:r>
      <w:hyperlink r:id="rId64" w:history="1">
        <w:r w:rsidR="00B81E71" w:rsidRPr="007F1BBC">
          <w:rPr>
            <w:rStyle w:val="Hyperlink"/>
            <w:rFonts w:ascii="Arial" w:hAnsi="Arial" w:cs="Arial"/>
            <w:color w:val="auto"/>
            <w:sz w:val="22"/>
            <w:szCs w:val="22"/>
          </w:rPr>
          <w:t>https://www.thestrategyinstitute.org/insights/the-ansoff-matrix-a-powerful-tool-for-business-strategy-and-growth</w:t>
        </w:r>
      </w:hyperlink>
      <w:r w:rsidR="00B81E71" w:rsidRPr="007F1BBC">
        <w:rPr>
          <w:rFonts w:ascii="Arial" w:hAnsi="Arial" w:cs="Arial"/>
          <w:sz w:val="22"/>
          <w:szCs w:val="22"/>
        </w:rPr>
        <w:t xml:space="preserve"> </w:t>
      </w:r>
      <w:r w:rsidRPr="007F1BBC">
        <w:rPr>
          <w:rFonts w:ascii="Arial" w:hAnsi="Arial" w:cs="Arial"/>
          <w:sz w:val="22"/>
          <w:szCs w:val="22"/>
        </w:rPr>
        <w:t>(Accessed: 10/10/2025).</w:t>
      </w:r>
    </w:p>
    <w:p w14:paraId="4E35A772" w14:textId="77777777" w:rsidR="007418BD" w:rsidRPr="007F1BBC" w:rsidRDefault="007418BD" w:rsidP="007418BD">
      <w:pPr>
        <w:spacing w:after="0" w:line="360" w:lineRule="auto"/>
        <w:rPr>
          <w:rFonts w:ascii="Arial" w:hAnsi="Arial" w:cs="Arial"/>
          <w:sz w:val="16"/>
          <w:szCs w:val="16"/>
        </w:rPr>
      </w:pPr>
    </w:p>
    <w:p w14:paraId="0690421F" w14:textId="6523AC42"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Transparency International (2024) Corruption Perceptions Index 2024. Available at: </w:t>
      </w:r>
      <w:hyperlink r:id="rId65" w:history="1">
        <w:r w:rsidR="00B81E71" w:rsidRPr="007F1BBC">
          <w:rPr>
            <w:rStyle w:val="Hyperlink"/>
            <w:rFonts w:ascii="Arial" w:hAnsi="Arial" w:cs="Arial"/>
            <w:color w:val="auto"/>
            <w:sz w:val="22"/>
            <w:szCs w:val="22"/>
          </w:rPr>
          <w:t>https://transparency.org</w:t>
        </w:r>
      </w:hyperlink>
      <w:r w:rsidR="00B81E71" w:rsidRPr="007F1BBC">
        <w:rPr>
          <w:rFonts w:ascii="Arial" w:hAnsi="Arial" w:cs="Arial"/>
          <w:sz w:val="22"/>
          <w:szCs w:val="22"/>
        </w:rPr>
        <w:t xml:space="preserve"> </w:t>
      </w:r>
      <w:r w:rsidRPr="007F1BBC">
        <w:rPr>
          <w:rFonts w:ascii="Arial" w:hAnsi="Arial" w:cs="Arial"/>
          <w:sz w:val="22"/>
          <w:szCs w:val="22"/>
        </w:rPr>
        <w:t>(Accessed: 10/10/2025).</w:t>
      </w:r>
    </w:p>
    <w:p w14:paraId="674556A2" w14:textId="77777777" w:rsidR="007418BD" w:rsidRPr="007F1BBC" w:rsidRDefault="007418BD" w:rsidP="007418BD">
      <w:pPr>
        <w:spacing w:after="0" w:line="360" w:lineRule="auto"/>
        <w:rPr>
          <w:rFonts w:ascii="Arial" w:hAnsi="Arial" w:cs="Arial"/>
          <w:sz w:val="16"/>
          <w:szCs w:val="16"/>
        </w:rPr>
      </w:pPr>
    </w:p>
    <w:p w14:paraId="6BA88E95" w14:textId="1C7EEDF1"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UK Government (2025) Overseas Business Risk: Morocco. Available at: </w:t>
      </w:r>
      <w:hyperlink r:id="rId66" w:history="1">
        <w:r w:rsidR="00B81E71" w:rsidRPr="007F1BBC">
          <w:rPr>
            <w:rStyle w:val="Hyperlink"/>
            <w:rFonts w:ascii="Arial" w:hAnsi="Arial" w:cs="Arial"/>
            <w:color w:val="auto"/>
            <w:sz w:val="22"/>
            <w:szCs w:val="22"/>
          </w:rPr>
          <w:t>https://www.gov.uk/government/publications/overseas-business-risk-morocco/overseas-business-risk-morocco</w:t>
        </w:r>
      </w:hyperlink>
      <w:r w:rsidR="00B81E71" w:rsidRPr="007F1BBC">
        <w:rPr>
          <w:rFonts w:ascii="Arial" w:hAnsi="Arial" w:cs="Arial"/>
          <w:sz w:val="22"/>
          <w:szCs w:val="22"/>
        </w:rPr>
        <w:t xml:space="preserve"> </w:t>
      </w:r>
      <w:r w:rsidRPr="007F1BBC">
        <w:rPr>
          <w:rFonts w:ascii="Arial" w:hAnsi="Arial" w:cs="Arial"/>
          <w:sz w:val="22"/>
          <w:szCs w:val="22"/>
        </w:rPr>
        <w:t>(Accessed: 14/10/2025).</w:t>
      </w:r>
    </w:p>
    <w:p w14:paraId="3C72CBD6" w14:textId="77777777" w:rsidR="007418BD" w:rsidRPr="007F1BBC" w:rsidRDefault="007418BD" w:rsidP="007418BD">
      <w:pPr>
        <w:spacing w:after="0" w:line="360" w:lineRule="auto"/>
        <w:rPr>
          <w:rFonts w:ascii="Arial" w:hAnsi="Arial" w:cs="Arial"/>
          <w:sz w:val="16"/>
          <w:szCs w:val="16"/>
        </w:rPr>
      </w:pPr>
    </w:p>
    <w:p w14:paraId="4F87F11D" w14:textId="50107EA4"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UK Government (2025) Overseas Business Risk: Morocco – Bribery and Corruption. Available at: </w:t>
      </w:r>
      <w:hyperlink r:id="rId67" w:anchor="bribery-and-corruption" w:history="1">
        <w:r w:rsidR="00B81E71" w:rsidRPr="007F1BBC">
          <w:rPr>
            <w:rStyle w:val="Hyperlink"/>
            <w:rFonts w:ascii="Arial" w:hAnsi="Arial" w:cs="Arial"/>
            <w:color w:val="auto"/>
            <w:sz w:val="22"/>
            <w:szCs w:val="22"/>
          </w:rPr>
          <w:t>https://www.gov.uk/government/publications/overseas-business-risk-morocco/overseas-business-risk-morocco#bribery-and-corruption</w:t>
        </w:r>
      </w:hyperlink>
      <w:r w:rsidR="00B81E71" w:rsidRPr="007F1BBC">
        <w:rPr>
          <w:rFonts w:ascii="Arial" w:hAnsi="Arial" w:cs="Arial"/>
          <w:sz w:val="22"/>
          <w:szCs w:val="22"/>
        </w:rPr>
        <w:t xml:space="preserve"> </w:t>
      </w:r>
      <w:r w:rsidRPr="007F1BBC">
        <w:rPr>
          <w:rFonts w:ascii="Arial" w:hAnsi="Arial" w:cs="Arial"/>
          <w:sz w:val="22"/>
          <w:szCs w:val="22"/>
        </w:rPr>
        <w:t>(Accessed: 14/10/2025).</w:t>
      </w:r>
    </w:p>
    <w:p w14:paraId="2D39B4BC" w14:textId="77777777" w:rsidR="007418BD" w:rsidRPr="007F1BBC" w:rsidRDefault="007418BD" w:rsidP="007418BD">
      <w:pPr>
        <w:spacing w:after="0" w:line="360" w:lineRule="auto"/>
        <w:rPr>
          <w:rFonts w:ascii="Arial" w:hAnsi="Arial" w:cs="Arial"/>
          <w:sz w:val="16"/>
          <w:szCs w:val="16"/>
        </w:rPr>
      </w:pPr>
    </w:p>
    <w:p w14:paraId="7806F2C6" w14:textId="695AF83D"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Williams, A. and Zhang, X. (2007) Production Development within China: Cultural Difference within International Joint Ventures. Royal College of Art. Available at: </w:t>
      </w:r>
      <w:hyperlink r:id="rId68" w:history="1">
        <w:r w:rsidR="00B81E71" w:rsidRPr="007F1BBC">
          <w:rPr>
            <w:rStyle w:val="Hyperlink"/>
            <w:rFonts w:ascii="Arial" w:hAnsi="Arial" w:cs="Arial"/>
            <w:color w:val="auto"/>
            <w:sz w:val="22"/>
            <w:szCs w:val="22"/>
          </w:rPr>
          <w:t>https://www.researchgate.net/publication/282849367_Production_Development_within_China_Cultural_Difference_within_International_Joint_Ventures</w:t>
        </w:r>
      </w:hyperlink>
      <w:r w:rsidR="00B81E71" w:rsidRPr="007F1BBC">
        <w:rPr>
          <w:rFonts w:ascii="Arial" w:hAnsi="Arial" w:cs="Arial"/>
          <w:sz w:val="22"/>
          <w:szCs w:val="22"/>
        </w:rPr>
        <w:t xml:space="preserve"> </w:t>
      </w:r>
      <w:r w:rsidRPr="007F1BBC">
        <w:rPr>
          <w:rFonts w:ascii="Arial" w:hAnsi="Arial" w:cs="Arial"/>
          <w:sz w:val="22"/>
          <w:szCs w:val="22"/>
        </w:rPr>
        <w:t xml:space="preserve"> (Accessed: 21/10/2025).</w:t>
      </w:r>
    </w:p>
    <w:p w14:paraId="3D9C7BAF" w14:textId="77777777" w:rsidR="007418BD" w:rsidRPr="007F1BBC" w:rsidRDefault="007418BD" w:rsidP="007418BD">
      <w:pPr>
        <w:spacing w:after="0" w:line="360" w:lineRule="auto"/>
        <w:rPr>
          <w:rFonts w:ascii="Arial" w:hAnsi="Arial" w:cs="Arial"/>
          <w:sz w:val="16"/>
          <w:szCs w:val="16"/>
        </w:rPr>
      </w:pPr>
    </w:p>
    <w:p w14:paraId="6EE943E7" w14:textId="0D69D038"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World Bank (2024) Connecting to Compete 2024: Trade Logistics in the Global Economy – Logistics Performance Index (LPI). Washington, DC: World Bank Group. Available at: </w:t>
      </w:r>
      <w:hyperlink r:id="rId69" w:history="1">
        <w:r w:rsidR="007F1BBC" w:rsidRPr="007F1BBC">
          <w:rPr>
            <w:rStyle w:val="Hyperlink"/>
            <w:rFonts w:ascii="Arial" w:hAnsi="Arial" w:cs="Arial"/>
            <w:color w:val="auto"/>
            <w:sz w:val="22"/>
            <w:szCs w:val="22"/>
          </w:rPr>
          <w:t>https://lpi.worldbank.org/</w:t>
        </w:r>
      </w:hyperlink>
      <w:r w:rsidR="007F1BBC" w:rsidRPr="007F1BBC">
        <w:rPr>
          <w:rFonts w:ascii="Arial" w:hAnsi="Arial" w:cs="Arial"/>
          <w:sz w:val="22"/>
          <w:szCs w:val="22"/>
        </w:rPr>
        <w:t xml:space="preserve"> </w:t>
      </w:r>
      <w:r w:rsidRPr="007F1BBC">
        <w:rPr>
          <w:rFonts w:ascii="Arial" w:hAnsi="Arial" w:cs="Arial"/>
          <w:sz w:val="22"/>
          <w:szCs w:val="22"/>
        </w:rPr>
        <w:t xml:space="preserve"> (Accessed: 10/10/2025).</w:t>
      </w:r>
    </w:p>
    <w:p w14:paraId="05DEF679" w14:textId="77777777" w:rsidR="007418BD" w:rsidRPr="007F1BBC" w:rsidRDefault="007418BD" w:rsidP="007418BD">
      <w:pPr>
        <w:spacing w:after="0" w:line="360" w:lineRule="auto"/>
        <w:rPr>
          <w:rFonts w:ascii="Arial" w:hAnsi="Arial" w:cs="Arial"/>
          <w:sz w:val="16"/>
          <w:szCs w:val="16"/>
        </w:rPr>
      </w:pPr>
    </w:p>
    <w:p w14:paraId="4AF2371E" w14:textId="0EC1E2FD"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World Bank (2024) Morocco Economic Update 2024. Washington, DC: World Bank. Available at: </w:t>
      </w:r>
      <w:hyperlink r:id="rId70" w:history="1">
        <w:r w:rsidR="007F1BBC" w:rsidRPr="007F1BBC">
          <w:rPr>
            <w:rStyle w:val="Hyperlink"/>
            <w:rFonts w:ascii="Arial" w:hAnsi="Arial" w:cs="Arial"/>
            <w:color w:val="auto"/>
            <w:sz w:val="22"/>
            <w:szCs w:val="22"/>
          </w:rPr>
          <w:t>https://documents1.worldbank.org/curated/en/099942003212584239/pdf/IDU-f31b9294-4e94-460c-904e-326e75368a2a.pdf</w:t>
        </w:r>
      </w:hyperlink>
      <w:r w:rsidR="007F1BBC" w:rsidRPr="007F1BBC">
        <w:rPr>
          <w:rFonts w:ascii="Arial" w:hAnsi="Arial" w:cs="Arial"/>
          <w:sz w:val="22"/>
          <w:szCs w:val="22"/>
        </w:rPr>
        <w:t xml:space="preserve"> </w:t>
      </w:r>
      <w:r w:rsidRPr="007F1BBC">
        <w:rPr>
          <w:rFonts w:ascii="Arial" w:hAnsi="Arial" w:cs="Arial"/>
          <w:sz w:val="22"/>
          <w:szCs w:val="22"/>
        </w:rPr>
        <w:t xml:space="preserve"> (Accessed: 15/10/2025).</w:t>
      </w:r>
    </w:p>
    <w:p w14:paraId="49394ABF" w14:textId="77777777" w:rsidR="007418BD" w:rsidRPr="007F1BBC" w:rsidRDefault="007418BD" w:rsidP="007418BD">
      <w:pPr>
        <w:spacing w:after="0" w:line="360" w:lineRule="auto"/>
        <w:rPr>
          <w:rFonts w:ascii="Arial" w:hAnsi="Arial" w:cs="Arial"/>
          <w:sz w:val="16"/>
          <w:szCs w:val="16"/>
        </w:rPr>
      </w:pPr>
    </w:p>
    <w:p w14:paraId="20AB3264" w14:textId="660AC030"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World Bank (2024) World Integrated Trade Solution (WITS) – Morocco Automotive Sector Overview. Available at: </w:t>
      </w:r>
      <w:hyperlink r:id="rId71" w:history="1">
        <w:r w:rsidR="007F1BBC" w:rsidRPr="007F1BBC">
          <w:rPr>
            <w:rStyle w:val="Hyperlink"/>
            <w:rFonts w:ascii="Arial" w:hAnsi="Arial" w:cs="Arial"/>
            <w:color w:val="auto"/>
            <w:sz w:val="22"/>
            <w:szCs w:val="22"/>
          </w:rPr>
          <w:t>https://wits.worldbank.org/</w:t>
        </w:r>
      </w:hyperlink>
      <w:r w:rsidR="007F1BBC" w:rsidRPr="007F1BBC">
        <w:rPr>
          <w:rFonts w:ascii="Arial" w:hAnsi="Arial" w:cs="Arial"/>
          <w:sz w:val="22"/>
          <w:szCs w:val="22"/>
        </w:rPr>
        <w:t xml:space="preserve"> </w:t>
      </w:r>
      <w:r w:rsidRPr="007F1BBC">
        <w:rPr>
          <w:rFonts w:ascii="Arial" w:hAnsi="Arial" w:cs="Arial"/>
          <w:sz w:val="22"/>
          <w:szCs w:val="22"/>
        </w:rPr>
        <w:t>(Accessed: 10/10/2025).</w:t>
      </w:r>
    </w:p>
    <w:p w14:paraId="62B8EDF5" w14:textId="77777777" w:rsidR="007418BD" w:rsidRPr="007F1BBC" w:rsidRDefault="007418BD" w:rsidP="007418BD">
      <w:pPr>
        <w:spacing w:after="0" w:line="360" w:lineRule="auto"/>
        <w:rPr>
          <w:rFonts w:ascii="Arial" w:hAnsi="Arial" w:cs="Arial"/>
          <w:sz w:val="16"/>
          <w:szCs w:val="16"/>
        </w:rPr>
      </w:pPr>
    </w:p>
    <w:p w14:paraId="3873EA35" w14:textId="44D446C8" w:rsidR="007418BD"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UN Comtrade (2025) International Trade Data Explorer: HS 8708 – Motor Vehicle Parts and Accessories (2020–2024). Available at: </w:t>
      </w:r>
      <w:hyperlink r:id="rId72" w:history="1">
        <w:r w:rsidR="007F1BBC" w:rsidRPr="007F1BBC">
          <w:rPr>
            <w:rStyle w:val="Hyperlink"/>
            <w:rFonts w:ascii="Arial" w:hAnsi="Arial" w:cs="Arial"/>
            <w:color w:val="auto"/>
            <w:sz w:val="22"/>
            <w:szCs w:val="22"/>
          </w:rPr>
          <w:t>https://comtradeplus.un.org/</w:t>
        </w:r>
      </w:hyperlink>
      <w:r w:rsidR="007F1BBC" w:rsidRPr="007F1BBC">
        <w:rPr>
          <w:rFonts w:ascii="Arial" w:hAnsi="Arial" w:cs="Arial"/>
          <w:sz w:val="22"/>
          <w:szCs w:val="22"/>
        </w:rPr>
        <w:t xml:space="preserve"> </w:t>
      </w:r>
      <w:r w:rsidRPr="007F1BBC">
        <w:rPr>
          <w:rFonts w:ascii="Arial" w:hAnsi="Arial" w:cs="Arial"/>
          <w:sz w:val="22"/>
          <w:szCs w:val="22"/>
        </w:rPr>
        <w:t xml:space="preserve"> (Accessed: 10/10/2025).</w:t>
      </w:r>
    </w:p>
    <w:p w14:paraId="51ECB351" w14:textId="77777777" w:rsidR="007418BD" w:rsidRPr="007F1BBC" w:rsidRDefault="007418BD" w:rsidP="007418BD">
      <w:pPr>
        <w:spacing w:after="0" w:line="360" w:lineRule="auto"/>
        <w:rPr>
          <w:rFonts w:ascii="Arial" w:hAnsi="Arial" w:cs="Arial"/>
          <w:sz w:val="16"/>
          <w:szCs w:val="16"/>
        </w:rPr>
      </w:pPr>
    </w:p>
    <w:p w14:paraId="7C6B1FE0" w14:textId="3A4A030B" w:rsidR="00324F10" w:rsidRPr="007F1BBC" w:rsidRDefault="007418BD" w:rsidP="007418BD">
      <w:pPr>
        <w:spacing w:after="0" w:line="360" w:lineRule="auto"/>
        <w:rPr>
          <w:rFonts w:ascii="Arial" w:hAnsi="Arial" w:cs="Arial"/>
          <w:sz w:val="22"/>
          <w:szCs w:val="22"/>
        </w:rPr>
      </w:pPr>
      <w:r w:rsidRPr="007F1BBC">
        <w:rPr>
          <w:rFonts w:ascii="Arial" w:hAnsi="Arial" w:cs="Arial"/>
          <w:sz w:val="22"/>
          <w:szCs w:val="22"/>
        </w:rPr>
        <w:t xml:space="preserve">UN Comtrade (2025) </w:t>
      </w:r>
      <w:proofErr w:type="spellStart"/>
      <w:r w:rsidRPr="007F1BBC">
        <w:rPr>
          <w:rFonts w:ascii="Arial" w:hAnsi="Arial" w:cs="Arial"/>
          <w:sz w:val="22"/>
          <w:szCs w:val="22"/>
        </w:rPr>
        <w:t>TradeFlow</w:t>
      </w:r>
      <w:proofErr w:type="spellEnd"/>
      <w:r w:rsidRPr="007F1BBC">
        <w:rPr>
          <w:rFonts w:ascii="Arial" w:hAnsi="Arial" w:cs="Arial"/>
          <w:sz w:val="22"/>
          <w:szCs w:val="22"/>
        </w:rPr>
        <w:t xml:space="preserve">: Morocco Imports – HS 8708 from UK, 2024. Available at: </w:t>
      </w:r>
      <w:hyperlink r:id="rId73" w:history="1">
        <w:r w:rsidR="007F1BBC" w:rsidRPr="007F1BBC">
          <w:rPr>
            <w:rStyle w:val="Hyperlink"/>
            <w:rFonts w:ascii="Arial" w:hAnsi="Arial" w:cs="Arial"/>
            <w:color w:val="auto"/>
            <w:sz w:val="22"/>
            <w:szCs w:val="22"/>
          </w:rPr>
          <w:t>https://comtradeplus.un.org/TradeFlow?AggregateBy=none&amp;BreakdownMode=plus&amp;CommodityCodes=8708&amp;Flows=M&amp;Frequency=A&amp;Partners=710&amp;Reporters=97&amp;period=2024</w:t>
        </w:r>
      </w:hyperlink>
      <w:r w:rsidR="007F1BBC" w:rsidRPr="007F1BBC">
        <w:rPr>
          <w:rFonts w:ascii="Arial" w:hAnsi="Arial" w:cs="Arial"/>
          <w:sz w:val="22"/>
          <w:szCs w:val="22"/>
        </w:rPr>
        <w:t xml:space="preserve"> </w:t>
      </w:r>
      <w:r w:rsidRPr="007F1BBC">
        <w:rPr>
          <w:rFonts w:ascii="Arial" w:hAnsi="Arial" w:cs="Arial"/>
          <w:sz w:val="22"/>
          <w:szCs w:val="22"/>
        </w:rPr>
        <w:t>(Accessed: 10/10/2025).</w:t>
      </w:r>
    </w:p>
    <w:p w14:paraId="2A8D1A47" w14:textId="77777777" w:rsidR="00D600AD" w:rsidRPr="00D600AD" w:rsidRDefault="00D600AD" w:rsidP="00D600AD">
      <w:pPr>
        <w:spacing w:after="0" w:line="360" w:lineRule="auto"/>
        <w:ind w:firstLine="567"/>
        <w:jc w:val="both"/>
        <w:rPr>
          <w:rFonts w:ascii="Arial" w:hAnsi="Arial" w:cs="Arial"/>
          <w:sz w:val="22"/>
          <w:szCs w:val="22"/>
        </w:rPr>
      </w:pPr>
    </w:p>
    <w:p w14:paraId="6404CB53" w14:textId="77777777" w:rsidR="00D600AD" w:rsidRDefault="00D600AD" w:rsidP="00466E0E">
      <w:pPr>
        <w:spacing w:after="0" w:line="360" w:lineRule="auto"/>
        <w:ind w:firstLine="567"/>
        <w:jc w:val="both"/>
        <w:rPr>
          <w:rFonts w:ascii="Arial" w:hAnsi="Arial" w:cs="Arial"/>
          <w:sz w:val="22"/>
          <w:szCs w:val="22"/>
        </w:rPr>
      </w:pPr>
    </w:p>
    <w:p w14:paraId="12215772" w14:textId="77777777" w:rsidR="0073205E" w:rsidRPr="00F91710" w:rsidRDefault="0073205E" w:rsidP="0073205E">
      <w:pPr>
        <w:spacing w:after="0" w:line="360" w:lineRule="auto"/>
        <w:ind w:firstLine="567"/>
        <w:jc w:val="both"/>
        <w:rPr>
          <w:rFonts w:ascii="Arial" w:hAnsi="Arial" w:cs="Arial"/>
          <w:sz w:val="22"/>
          <w:szCs w:val="22"/>
        </w:rPr>
      </w:pPr>
    </w:p>
    <w:p w14:paraId="691CE83F" w14:textId="77777777" w:rsidR="00F91710" w:rsidRDefault="00F91710" w:rsidP="001D60C7">
      <w:pPr>
        <w:spacing w:after="0" w:line="360" w:lineRule="auto"/>
        <w:ind w:firstLine="567"/>
        <w:jc w:val="both"/>
        <w:rPr>
          <w:rFonts w:ascii="Arial" w:hAnsi="Arial" w:cs="Arial"/>
          <w:sz w:val="22"/>
          <w:szCs w:val="22"/>
        </w:rPr>
      </w:pPr>
    </w:p>
    <w:p w14:paraId="62E4DBAC" w14:textId="77777777" w:rsidR="00F91710" w:rsidRPr="00F91710" w:rsidRDefault="00F91710" w:rsidP="001D60C7">
      <w:pPr>
        <w:spacing w:after="0" w:line="360" w:lineRule="auto"/>
        <w:ind w:firstLine="567"/>
        <w:jc w:val="both"/>
        <w:rPr>
          <w:rFonts w:ascii="Arial" w:hAnsi="Arial" w:cs="Arial"/>
          <w:sz w:val="22"/>
          <w:szCs w:val="22"/>
        </w:rPr>
      </w:pPr>
    </w:p>
    <w:sectPr w:rsidR="00F91710" w:rsidRPr="00F91710">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F4E93" w14:textId="77777777" w:rsidR="00E8635C" w:rsidRDefault="00E8635C" w:rsidP="00AC21C7">
      <w:pPr>
        <w:spacing w:after="0" w:line="240" w:lineRule="auto"/>
      </w:pPr>
      <w:r>
        <w:separator/>
      </w:r>
    </w:p>
  </w:endnote>
  <w:endnote w:type="continuationSeparator" w:id="0">
    <w:p w14:paraId="143E8509" w14:textId="77777777" w:rsidR="00E8635C" w:rsidRDefault="00E8635C" w:rsidP="00AC2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6729160"/>
      <w:docPartObj>
        <w:docPartGallery w:val="Page Numbers (Bottom of Page)"/>
        <w:docPartUnique/>
      </w:docPartObj>
    </w:sdtPr>
    <w:sdtEndPr>
      <w:rPr>
        <w:noProof/>
      </w:rPr>
    </w:sdtEndPr>
    <w:sdtContent>
      <w:p w14:paraId="3AB1B989" w14:textId="72948889" w:rsidR="00AC21C7" w:rsidRDefault="00AC21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A8694D" w14:textId="77777777" w:rsidR="00AC21C7" w:rsidRDefault="00AC2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85B3F" w14:textId="77777777" w:rsidR="00E8635C" w:rsidRDefault="00E8635C" w:rsidP="00AC21C7">
      <w:pPr>
        <w:spacing w:after="0" w:line="240" w:lineRule="auto"/>
      </w:pPr>
      <w:r>
        <w:separator/>
      </w:r>
    </w:p>
  </w:footnote>
  <w:footnote w:type="continuationSeparator" w:id="0">
    <w:p w14:paraId="5BDF17C6" w14:textId="77777777" w:rsidR="00E8635C" w:rsidRDefault="00E8635C" w:rsidP="00AC21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42F54"/>
    <w:multiLevelType w:val="multilevel"/>
    <w:tmpl w:val="D66EB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752FCE"/>
    <w:multiLevelType w:val="multilevel"/>
    <w:tmpl w:val="509AB7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C12E48"/>
    <w:multiLevelType w:val="multilevel"/>
    <w:tmpl w:val="8A36A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DC737E"/>
    <w:multiLevelType w:val="multilevel"/>
    <w:tmpl w:val="0C0C6E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5" w15:restartNumberingAfterBreak="0">
    <w:nsid w:val="48DB2DB9"/>
    <w:multiLevelType w:val="multilevel"/>
    <w:tmpl w:val="AA947776"/>
    <w:lvl w:ilvl="0">
      <w:start w:val="1"/>
      <w:numFmt w:val="decimal"/>
      <w:lvlText w:val="%1."/>
      <w:lvlJc w:val="left"/>
      <w:pPr>
        <w:ind w:left="927" w:hanging="360"/>
      </w:pPr>
      <w:rPr>
        <w:rFonts w:hint="default"/>
      </w:rPr>
    </w:lvl>
    <w:lvl w:ilvl="1">
      <w:start w:val="2"/>
      <w:numFmt w:val="decimal"/>
      <w:isLgl/>
      <w:lvlText w:val="%1.%2."/>
      <w:lvlJc w:val="left"/>
      <w:pPr>
        <w:ind w:left="1287" w:hanging="72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647" w:hanging="108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2007" w:hanging="144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367" w:hanging="1800"/>
      </w:pPr>
      <w:rPr>
        <w:rFonts w:hint="default"/>
      </w:rPr>
    </w:lvl>
    <w:lvl w:ilvl="8">
      <w:start w:val="1"/>
      <w:numFmt w:val="decimal"/>
      <w:isLgl/>
      <w:lvlText w:val="%1.%2.%3.%4.%5.%6.%7.%8.%9."/>
      <w:lvlJc w:val="left"/>
      <w:pPr>
        <w:ind w:left="2367" w:hanging="1800"/>
      </w:pPr>
      <w:rPr>
        <w:rFonts w:hint="default"/>
      </w:rPr>
    </w:lvl>
  </w:abstractNum>
  <w:abstractNum w:abstractNumId="6" w15:restartNumberingAfterBreak="0">
    <w:nsid w:val="51A1542C"/>
    <w:multiLevelType w:val="multilevel"/>
    <w:tmpl w:val="CEC84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CE5D23"/>
    <w:multiLevelType w:val="multilevel"/>
    <w:tmpl w:val="AAA2A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657DEC"/>
    <w:multiLevelType w:val="multilevel"/>
    <w:tmpl w:val="1CFEC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9E6974"/>
    <w:multiLevelType w:val="multilevel"/>
    <w:tmpl w:val="885EE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191FE5"/>
    <w:multiLevelType w:val="multilevel"/>
    <w:tmpl w:val="8D1C1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6458556">
    <w:abstractNumId w:val="4"/>
  </w:num>
  <w:num w:numId="2" w16cid:durableId="1753157442">
    <w:abstractNumId w:val="8"/>
  </w:num>
  <w:num w:numId="3" w16cid:durableId="2085179466">
    <w:abstractNumId w:val="6"/>
  </w:num>
  <w:num w:numId="4" w16cid:durableId="2029020671">
    <w:abstractNumId w:val="0"/>
  </w:num>
  <w:num w:numId="5" w16cid:durableId="755132198">
    <w:abstractNumId w:val="7"/>
  </w:num>
  <w:num w:numId="6" w16cid:durableId="1840537497">
    <w:abstractNumId w:val="9"/>
  </w:num>
  <w:num w:numId="7" w16cid:durableId="90709939">
    <w:abstractNumId w:val="5"/>
  </w:num>
  <w:num w:numId="8" w16cid:durableId="1265115095">
    <w:abstractNumId w:val="1"/>
  </w:num>
  <w:num w:numId="9" w16cid:durableId="1805155490">
    <w:abstractNumId w:val="3"/>
  </w:num>
  <w:num w:numId="10" w16cid:durableId="1594127004">
    <w:abstractNumId w:val="2"/>
  </w:num>
  <w:num w:numId="11" w16cid:durableId="9680550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AB3"/>
    <w:rsid w:val="00004BC5"/>
    <w:rsid w:val="000052BA"/>
    <w:rsid w:val="00007FD2"/>
    <w:rsid w:val="0001035D"/>
    <w:rsid w:val="00012119"/>
    <w:rsid w:val="000143D3"/>
    <w:rsid w:val="000175B3"/>
    <w:rsid w:val="000216A3"/>
    <w:rsid w:val="0002184F"/>
    <w:rsid w:val="00022280"/>
    <w:rsid w:val="000226EC"/>
    <w:rsid w:val="0002451D"/>
    <w:rsid w:val="00025086"/>
    <w:rsid w:val="000258AF"/>
    <w:rsid w:val="00025C12"/>
    <w:rsid w:val="00026F57"/>
    <w:rsid w:val="00027382"/>
    <w:rsid w:val="00030AD6"/>
    <w:rsid w:val="00032AB9"/>
    <w:rsid w:val="000347AC"/>
    <w:rsid w:val="00035E73"/>
    <w:rsid w:val="00036A4F"/>
    <w:rsid w:val="00040533"/>
    <w:rsid w:val="00041715"/>
    <w:rsid w:val="00044D95"/>
    <w:rsid w:val="00045A54"/>
    <w:rsid w:val="000468E2"/>
    <w:rsid w:val="0004695E"/>
    <w:rsid w:val="0004760F"/>
    <w:rsid w:val="00050CB0"/>
    <w:rsid w:val="00056A45"/>
    <w:rsid w:val="00057786"/>
    <w:rsid w:val="00057AFA"/>
    <w:rsid w:val="00061EF1"/>
    <w:rsid w:val="000641A0"/>
    <w:rsid w:val="0006645E"/>
    <w:rsid w:val="000674D9"/>
    <w:rsid w:val="000700D5"/>
    <w:rsid w:val="000742AD"/>
    <w:rsid w:val="00076055"/>
    <w:rsid w:val="0007626B"/>
    <w:rsid w:val="0007762B"/>
    <w:rsid w:val="00080E0F"/>
    <w:rsid w:val="00081111"/>
    <w:rsid w:val="0008183E"/>
    <w:rsid w:val="000926B2"/>
    <w:rsid w:val="000931D5"/>
    <w:rsid w:val="0009595C"/>
    <w:rsid w:val="00095D87"/>
    <w:rsid w:val="0009676E"/>
    <w:rsid w:val="000A196C"/>
    <w:rsid w:val="000A258A"/>
    <w:rsid w:val="000A38D2"/>
    <w:rsid w:val="000A60FB"/>
    <w:rsid w:val="000B1001"/>
    <w:rsid w:val="000B1F0A"/>
    <w:rsid w:val="000B42C9"/>
    <w:rsid w:val="000B4A78"/>
    <w:rsid w:val="000C0164"/>
    <w:rsid w:val="000C2B89"/>
    <w:rsid w:val="000C2E40"/>
    <w:rsid w:val="000C371A"/>
    <w:rsid w:val="000C4419"/>
    <w:rsid w:val="000C56A6"/>
    <w:rsid w:val="000D110A"/>
    <w:rsid w:val="000D33C8"/>
    <w:rsid w:val="000D557F"/>
    <w:rsid w:val="000E609F"/>
    <w:rsid w:val="000F4BD6"/>
    <w:rsid w:val="000F55FC"/>
    <w:rsid w:val="00102BA2"/>
    <w:rsid w:val="00103ADD"/>
    <w:rsid w:val="0010441B"/>
    <w:rsid w:val="00106CDF"/>
    <w:rsid w:val="0011208A"/>
    <w:rsid w:val="00112C55"/>
    <w:rsid w:val="001133F0"/>
    <w:rsid w:val="00116E77"/>
    <w:rsid w:val="001174E2"/>
    <w:rsid w:val="001207E8"/>
    <w:rsid w:val="0013057D"/>
    <w:rsid w:val="00131931"/>
    <w:rsid w:val="0013309D"/>
    <w:rsid w:val="0013494A"/>
    <w:rsid w:val="00137E1C"/>
    <w:rsid w:val="0014273A"/>
    <w:rsid w:val="00143F52"/>
    <w:rsid w:val="00144D04"/>
    <w:rsid w:val="00147C86"/>
    <w:rsid w:val="00150FFE"/>
    <w:rsid w:val="0015436F"/>
    <w:rsid w:val="001546A3"/>
    <w:rsid w:val="00154FE1"/>
    <w:rsid w:val="00155390"/>
    <w:rsid w:val="00157F6F"/>
    <w:rsid w:val="0016410E"/>
    <w:rsid w:val="00164CA8"/>
    <w:rsid w:val="00166FF6"/>
    <w:rsid w:val="00167B32"/>
    <w:rsid w:val="001700CC"/>
    <w:rsid w:val="00170D1A"/>
    <w:rsid w:val="001728D8"/>
    <w:rsid w:val="00173521"/>
    <w:rsid w:val="00173A3B"/>
    <w:rsid w:val="00173A8C"/>
    <w:rsid w:val="00174F4D"/>
    <w:rsid w:val="001778D9"/>
    <w:rsid w:val="00177F49"/>
    <w:rsid w:val="0018077D"/>
    <w:rsid w:val="00181A9B"/>
    <w:rsid w:val="00182024"/>
    <w:rsid w:val="0018429F"/>
    <w:rsid w:val="001919DC"/>
    <w:rsid w:val="001928FE"/>
    <w:rsid w:val="00195619"/>
    <w:rsid w:val="001A0C33"/>
    <w:rsid w:val="001A45CB"/>
    <w:rsid w:val="001A746C"/>
    <w:rsid w:val="001A7ACA"/>
    <w:rsid w:val="001B045A"/>
    <w:rsid w:val="001B146A"/>
    <w:rsid w:val="001B3B17"/>
    <w:rsid w:val="001B7E86"/>
    <w:rsid w:val="001C301F"/>
    <w:rsid w:val="001C5905"/>
    <w:rsid w:val="001C6822"/>
    <w:rsid w:val="001D0AB6"/>
    <w:rsid w:val="001D1F79"/>
    <w:rsid w:val="001D300E"/>
    <w:rsid w:val="001D3FD1"/>
    <w:rsid w:val="001D4402"/>
    <w:rsid w:val="001D4CBE"/>
    <w:rsid w:val="001D4EEE"/>
    <w:rsid w:val="001D60C7"/>
    <w:rsid w:val="001E0B3F"/>
    <w:rsid w:val="001E269E"/>
    <w:rsid w:val="001E3B08"/>
    <w:rsid w:val="001E4FD4"/>
    <w:rsid w:val="001E5176"/>
    <w:rsid w:val="001E76AC"/>
    <w:rsid w:val="001F342B"/>
    <w:rsid w:val="00200681"/>
    <w:rsid w:val="00200765"/>
    <w:rsid w:val="00204FA7"/>
    <w:rsid w:val="00207B98"/>
    <w:rsid w:val="0021095A"/>
    <w:rsid w:val="00210EE5"/>
    <w:rsid w:val="00211411"/>
    <w:rsid w:val="00211D5C"/>
    <w:rsid w:val="00213F01"/>
    <w:rsid w:val="00214D89"/>
    <w:rsid w:val="00215795"/>
    <w:rsid w:val="00215DB5"/>
    <w:rsid w:val="00220185"/>
    <w:rsid w:val="0022206E"/>
    <w:rsid w:val="00225ADB"/>
    <w:rsid w:val="002353DD"/>
    <w:rsid w:val="00240D39"/>
    <w:rsid w:val="00240E75"/>
    <w:rsid w:val="0024117B"/>
    <w:rsid w:val="00242634"/>
    <w:rsid w:val="00243155"/>
    <w:rsid w:val="002445D9"/>
    <w:rsid w:val="00244D66"/>
    <w:rsid w:val="00246CB7"/>
    <w:rsid w:val="00250265"/>
    <w:rsid w:val="0025691B"/>
    <w:rsid w:val="00257324"/>
    <w:rsid w:val="00260E1E"/>
    <w:rsid w:val="00260F63"/>
    <w:rsid w:val="00264232"/>
    <w:rsid w:val="0026568D"/>
    <w:rsid w:val="00265C7E"/>
    <w:rsid w:val="00267E9B"/>
    <w:rsid w:val="00276137"/>
    <w:rsid w:val="002809C8"/>
    <w:rsid w:val="00281609"/>
    <w:rsid w:val="0028341E"/>
    <w:rsid w:val="002852AE"/>
    <w:rsid w:val="00287FD4"/>
    <w:rsid w:val="00296D55"/>
    <w:rsid w:val="002A1350"/>
    <w:rsid w:val="002A232E"/>
    <w:rsid w:val="002A2DD7"/>
    <w:rsid w:val="002A3B10"/>
    <w:rsid w:val="002A5FE7"/>
    <w:rsid w:val="002A775C"/>
    <w:rsid w:val="002B0961"/>
    <w:rsid w:val="002B15D6"/>
    <w:rsid w:val="002B3463"/>
    <w:rsid w:val="002B3C1B"/>
    <w:rsid w:val="002B77DD"/>
    <w:rsid w:val="002C004B"/>
    <w:rsid w:val="002C1601"/>
    <w:rsid w:val="002C3466"/>
    <w:rsid w:val="002C52BB"/>
    <w:rsid w:val="002C6ECF"/>
    <w:rsid w:val="002C7147"/>
    <w:rsid w:val="002C7E32"/>
    <w:rsid w:val="002D4792"/>
    <w:rsid w:val="002D5B61"/>
    <w:rsid w:val="002D62BF"/>
    <w:rsid w:val="002D675B"/>
    <w:rsid w:val="002D6957"/>
    <w:rsid w:val="002E083E"/>
    <w:rsid w:val="002E26C9"/>
    <w:rsid w:val="002E5483"/>
    <w:rsid w:val="002F1463"/>
    <w:rsid w:val="002F5FEF"/>
    <w:rsid w:val="003057A9"/>
    <w:rsid w:val="00310480"/>
    <w:rsid w:val="0031105E"/>
    <w:rsid w:val="00311CF3"/>
    <w:rsid w:val="0031707F"/>
    <w:rsid w:val="00317EA9"/>
    <w:rsid w:val="00317EC9"/>
    <w:rsid w:val="0032066A"/>
    <w:rsid w:val="00320A78"/>
    <w:rsid w:val="003240F0"/>
    <w:rsid w:val="00324637"/>
    <w:rsid w:val="00324F10"/>
    <w:rsid w:val="003260FD"/>
    <w:rsid w:val="00333076"/>
    <w:rsid w:val="0033628D"/>
    <w:rsid w:val="00337E85"/>
    <w:rsid w:val="00341290"/>
    <w:rsid w:val="00343A8A"/>
    <w:rsid w:val="00344BF4"/>
    <w:rsid w:val="00346FAD"/>
    <w:rsid w:val="00347125"/>
    <w:rsid w:val="00351481"/>
    <w:rsid w:val="00353EFA"/>
    <w:rsid w:val="00355713"/>
    <w:rsid w:val="0035712A"/>
    <w:rsid w:val="00361C76"/>
    <w:rsid w:val="00361FE8"/>
    <w:rsid w:val="00362005"/>
    <w:rsid w:val="00376EF5"/>
    <w:rsid w:val="003777AA"/>
    <w:rsid w:val="00380BFF"/>
    <w:rsid w:val="00380C6B"/>
    <w:rsid w:val="003819C2"/>
    <w:rsid w:val="00383EC7"/>
    <w:rsid w:val="00387C26"/>
    <w:rsid w:val="0039368B"/>
    <w:rsid w:val="003949B6"/>
    <w:rsid w:val="00397998"/>
    <w:rsid w:val="00397FEC"/>
    <w:rsid w:val="003A1B31"/>
    <w:rsid w:val="003A3552"/>
    <w:rsid w:val="003A5738"/>
    <w:rsid w:val="003A6772"/>
    <w:rsid w:val="003A6FCF"/>
    <w:rsid w:val="003A766A"/>
    <w:rsid w:val="003B2629"/>
    <w:rsid w:val="003B72BF"/>
    <w:rsid w:val="003C0F17"/>
    <w:rsid w:val="003C0F81"/>
    <w:rsid w:val="003C269B"/>
    <w:rsid w:val="003C2D75"/>
    <w:rsid w:val="003C3923"/>
    <w:rsid w:val="003C7173"/>
    <w:rsid w:val="003D072D"/>
    <w:rsid w:val="003D0D34"/>
    <w:rsid w:val="003D1A50"/>
    <w:rsid w:val="003D374F"/>
    <w:rsid w:val="003D5BF9"/>
    <w:rsid w:val="003D74F2"/>
    <w:rsid w:val="003E00C4"/>
    <w:rsid w:val="003E01B4"/>
    <w:rsid w:val="003E0504"/>
    <w:rsid w:val="003F3473"/>
    <w:rsid w:val="003F65C1"/>
    <w:rsid w:val="003F7C32"/>
    <w:rsid w:val="0040021D"/>
    <w:rsid w:val="004025DF"/>
    <w:rsid w:val="00403A52"/>
    <w:rsid w:val="00410434"/>
    <w:rsid w:val="0041336B"/>
    <w:rsid w:val="00413DD2"/>
    <w:rsid w:val="004145D2"/>
    <w:rsid w:val="00421D39"/>
    <w:rsid w:val="0042229B"/>
    <w:rsid w:val="00422A8A"/>
    <w:rsid w:val="004233DB"/>
    <w:rsid w:val="00433588"/>
    <w:rsid w:val="004342EE"/>
    <w:rsid w:val="00435058"/>
    <w:rsid w:val="00435788"/>
    <w:rsid w:val="00441F8F"/>
    <w:rsid w:val="00442D86"/>
    <w:rsid w:val="0044776B"/>
    <w:rsid w:val="00454C2C"/>
    <w:rsid w:val="00455C65"/>
    <w:rsid w:val="0045602B"/>
    <w:rsid w:val="00456E6D"/>
    <w:rsid w:val="0046134E"/>
    <w:rsid w:val="00465BFE"/>
    <w:rsid w:val="00466E0E"/>
    <w:rsid w:val="004710AE"/>
    <w:rsid w:val="0047556C"/>
    <w:rsid w:val="004759B9"/>
    <w:rsid w:val="00476D56"/>
    <w:rsid w:val="00480B0C"/>
    <w:rsid w:val="0048240C"/>
    <w:rsid w:val="0048499F"/>
    <w:rsid w:val="00486E39"/>
    <w:rsid w:val="00487984"/>
    <w:rsid w:val="0049010C"/>
    <w:rsid w:val="004908DE"/>
    <w:rsid w:val="00492E76"/>
    <w:rsid w:val="0049313E"/>
    <w:rsid w:val="004952CE"/>
    <w:rsid w:val="0049627C"/>
    <w:rsid w:val="004A1C33"/>
    <w:rsid w:val="004A2507"/>
    <w:rsid w:val="004A3DF9"/>
    <w:rsid w:val="004A3EDB"/>
    <w:rsid w:val="004B3E5E"/>
    <w:rsid w:val="004C159B"/>
    <w:rsid w:val="004C2D92"/>
    <w:rsid w:val="004C54D5"/>
    <w:rsid w:val="004C7E50"/>
    <w:rsid w:val="004D1040"/>
    <w:rsid w:val="004D13C3"/>
    <w:rsid w:val="004D1595"/>
    <w:rsid w:val="004D44D2"/>
    <w:rsid w:val="004D4E13"/>
    <w:rsid w:val="004D617E"/>
    <w:rsid w:val="004D6B83"/>
    <w:rsid w:val="004E35FC"/>
    <w:rsid w:val="004E49FA"/>
    <w:rsid w:val="004E5CBB"/>
    <w:rsid w:val="004E7AA8"/>
    <w:rsid w:val="004F3957"/>
    <w:rsid w:val="004F39F4"/>
    <w:rsid w:val="004F3B9F"/>
    <w:rsid w:val="004F514F"/>
    <w:rsid w:val="004F73A9"/>
    <w:rsid w:val="00501057"/>
    <w:rsid w:val="0050308F"/>
    <w:rsid w:val="0050404F"/>
    <w:rsid w:val="00505C22"/>
    <w:rsid w:val="00506F4A"/>
    <w:rsid w:val="005072A8"/>
    <w:rsid w:val="00510844"/>
    <w:rsid w:val="005111E4"/>
    <w:rsid w:val="00512088"/>
    <w:rsid w:val="0051380D"/>
    <w:rsid w:val="00514E00"/>
    <w:rsid w:val="00516B51"/>
    <w:rsid w:val="005173AA"/>
    <w:rsid w:val="00517E26"/>
    <w:rsid w:val="005231F6"/>
    <w:rsid w:val="00525FB4"/>
    <w:rsid w:val="00530508"/>
    <w:rsid w:val="00542E3D"/>
    <w:rsid w:val="00544A90"/>
    <w:rsid w:val="00546227"/>
    <w:rsid w:val="00546DA9"/>
    <w:rsid w:val="0054719E"/>
    <w:rsid w:val="005536AF"/>
    <w:rsid w:val="00555746"/>
    <w:rsid w:val="00561B0F"/>
    <w:rsid w:val="00561F35"/>
    <w:rsid w:val="00562BF5"/>
    <w:rsid w:val="005641F1"/>
    <w:rsid w:val="00566684"/>
    <w:rsid w:val="0057009A"/>
    <w:rsid w:val="00571F98"/>
    <w:rsid w:val="00573EBC"/>
    <w:rsid w:val="005770EA"/>
    <w:rsid w:val="00577522"/>
    <w:rsid w:val="00580CE5"/>
    <w:rsid w:val="00583F18"/>
    <w:rsid w:val="00585C04"/>
    <w:rsid w:val="00586782"/>
    <w:rsid w:val="00587F43"/>
    <w:rsid w:val="00592D5C"/>
    <w:rsid w:val="0059315E"/>
    <w:rsid w:val="005952A0"/>
    <w:rsid w:val="00595A7B"/>
    <w:rsid w:val="005A28DD"/>
    <w:rsid w:val="005A67DF"/>
    <w:rsid w:val="005A6A8A"/>
    <w:rsid w:val="005A7DB9"/>
    <w:rsid w:val="005B3955"/>
    <w:rsid w:val="005B4637"/>
    <w:rsid w:val="005B5F4A"/>
    <w:rsid w:val="005B6B09"/>
    <w:rsid w:val="005C1DFE"/>
    <w:rsid w:val="005C22CD"/>
    <w:rsid w:val="005C2C89"/>
    <w:rsid w:val="005C2EF4"/>
    <w:rsid w:val="005C3830"/>
    <w:rsid w:val="005C3D2F"/>
    <w:rsid w:val="005C50D3"/>
    <w:rsid w:val="005C5AC7"/>
    <w:rsid w:val="005C66B2"/>
    <w:rsid w:val="005C6A38"/>
    <w:rsid w:val="005C6C4A"/>
    <w:rsid w:val="005C774F"/>
    <w:rsid w:val="005D136E"/>
    <w:rsid w:val="005D5A56"/>
    <w:rsid w:val="005E1D91"/>
    <w:rsid w:val="005E2671"/>
    <w:rsid w:val="005E5F9C"/>
    <w:rsid w:val="005F5539"/>
    <w:rsid w:val="005F5C5F"/>
    <w:rsid w:val="00600FDF"/>
    <w:rsid w:val="00602269"/>
    <w:rsid w:val="00606725"/>
    <w:rsid w:val="0060766D"/>
    <w:rsid w:val="00612575"/>
    <w:rsid w:val="00612B93"/>
    <w:rsid w:val="00613652"/>
    <w:rsid w:val="0061439F"/>
    <w:rsid w:val="006208C9"/>
    <w:rsid w:val="00620BDC"/>
    <w:rsid w:val="00620ED0"/>
    <w:rsid w:val="00623BFD"/>
    <w:rsid w:val="00626074"/>
    <w:rsid w:val="00627EE4"/>
    <w:rsid w:val="0063084E"/>
    <w:rsid w:val="00631DC2"/>
    <w:rsid w:val="006334E5"/>
    <w:rsid w:val="0063666F"/>
    <w:rsid w:val="006368F4"/>
    <w:rsid w:val="006371C7"/>
    <w:rsid w:val="006459D4"/>
    <w:rsid w:val="00650ED5"/>
    <w:rsid w:val="0065130A"/>
    <w:rsid w:val="0065195F"/>
    <w:rsid w:val="00654107"/>
    <w:rsid w:val="00660234"/>
    <w:rsid w:val="00660BB9"/>
    <w:rsid w:val="00661AE3"/>
    <w:rsid w:val="00662FA8"/>
    <w:rsid w:val="00665FCC"/>
    <w:rsid w:val="006725D4"/>
    <w:rsid w:val="006735F3"/>
    <w:rsid w:val="00674352"/>
    <w:rsid w:val="00677017"/>
    <w:rsid w:val="006844BE"/>
    <w:rsid w:val="00685B5B"/>
    <w:rsid w:val="00686C44"/>
    <w:rsid w:val="0069195F"/>
    <w:rsid w:val="00691D34"/>
    <w:rsid w:val="00692E61"/>
    <w:rsid w:val="006A04ED"/>
    <w:rsid w:val="006A446B"/>
    <w:rsid w:val="006A513D"/>
    <w:rsid w:val="006A7037"/>
    <w:rsid w:val="006B0A91"/>
    <w:rsid w:val="006B14CC"/>
    <w:rsid w:val="006B631A"/>
    <w:rsid w:val="006B7042"/>
    <w:rsid w:val="006B74DA"/>
    <w:rsid w:val="006C039A"/>
    <w:rsid w:val="006C0B98"/>
    <w:rsid w:val="006C0EA4"/>
    <w:rsid w:val="006C1038"/>
    <w:rsid w:val="006C17E7"/>
    <w:rsid w:val="006C1F1E"/>
    <w:rsid w:val="006C27A2"/>
    <w:rsid w:val="006C4D99"/>
    <w:rsid w:val="006C5794"/>
    <w:rsid w:val="006D3B90"/>
    <w:rsid w:val="006D482F"/>
    <w:rsid w:val="006D5C1F"/>
    <w:rsid w:val="006D5D2D"/>
    <w:rsid w:val="006D7CB0"/>
    <w:rsid w:val="006D7DF2"/>
    <w:rsid w:val="006E1866"/>
    <w:rsid w:val="006E3964"/>
    <w:rsid w:val="006E5354"/>
    <w:rsid w:val="006F0D24"/>
    <w:rsid w:val="007023FE"/>
    <w:rsid w:val="00703114"/>
    <w:rsid w:val="00703299"/>
    <w:rsid w:val="00704934"/>
    <w:rsid w:val="007063F1"/>
    <w:rsid w:val="0070756C"/>
    <w:rsid w:val="00707D0D"/>
    <w:rsid w:val="00712731"/>
    <w:rsid w:val="00714197"/>
    <w:rsid w:val="00723E7D"/>
    <w:rsid w:val="007255B8"/>
    <w:rsid w:val="0073052C"/>
    <w:rsid w:val="0073205E"/>
    <w:rsid w:val="00740549"/>
    <w:rsid w:val="007406CD"/>
    <w:rsid w:val="007418BD"/>
    <w:rsid w:val="00743801"/>
    <w:rsid w:val="007468B6"/>
    <w:rsid w:val="0074718D"/>
    <w:rsid w:val="007633F8"/>
    <w:rsid w:val="00763796"/>
    <w:rsid w:val="0076511E"/>
    <w:rsid w:val="00765616"/>
    <w:rsid w:val="00766216"/>
    <w:rsid w:val="00781401"/>
    <w:rsid w:val="007830C7"/>
    <w:rsid w:val="00783628"/>
    <w:rsid w:val="007851A7"/>
    <w:rsid w:val="0078581D"/>
    <w:rsid w:val="007858D1"/>
    <w:rsid w:val="0079060B"/>
    <w:rsid w:val="0079481C"/>
    <w:rsid w:val="00794F45"/>
    <w:rsid w:val="007968C6"/>
    <w:rsid w:val="007A40FC"/>
    <w:rsid w:val="007A4572"/>
    <w:rsid w:val="007A49A0"/>
    <w:rsid w:val="007A4A00"/>
    <w:rsid w:val="007A52B6"/>
    <w:rsid w:val="007A5770"/>
    <w:rsid w:val="007A65F1"/>
    <w:rsid w:val="007A7127"/>
    <w:rsid w:val="007B5C89"/>
    <w:rsid w:val="007B5F40"/>
    <w:rsid w:val="007B70F9"/>
    <w:rsid w:val="007C01C9"/>
    <w:rsid w:val="007C03C9"/>
    <w:rsid w:val="007C0D2F"/>
    <w:rsid w:val="007C116D"/>
    <w:rsid w:val="007C261D"/>
    <w:rsid w:val="007C3D3C"/>
    <w:rsid w:val="007C3EE4"/>
    <w:rsid w:val="007C4825"/>
    <w:rsid w:val="007C5058"/>
    <w:rsid w:val="007C6692"/>
    <w:rsid w:val="007C737B"/>
    <w:rsid w:val="007D339B"/>
    <w:rsid w:val="007D54CD"/>
    <w:rsid w:val="007D5D2A"/>
    <w:rsid w:val="007D6218"/>
    <w:rsid w:val="007E119C"/>
    <w:rsid w:val="007E27BD"/>
    <w:rsid w:val="007F1BBC"/>
    <w:rsid w:val="007F1EC2"/>
    <w:rsid w:val="007F56AA"/>
    <w:rsid w:val="007F7556"/>
    <w:rsid w:val="008011DB"/>
    <w:rsid w:val="00802D97"/>
    <w:rsid w:val="00803BC6"/>
    <w:rsid w:val="00805F79"/>
    <w:rsid w:val="00806F9D"/>
    <w:rsid w:val="00810D41"/>
    <w:rsid w:val="0081196C"/>
    <w:rsid w:val="00813804"/>
    <w:rsid w:val="008174B0"/>
    <w:rsid w:val="00821BDB"/>
    <w:rsid w:val="00827245"/>
    <w:rsid w:val="0083040C"/>
    <w:rsid w:val="0083233E"/>
    <w:rsid w:val="008325EB"/>
    <w:rsid w:val="0083290A"/>
    <w:rsid w:val="008376CE"/>
    <w:rsid w:val="008434DB"/>
    <w:rsid w:val="00845873"/>
    <w:rsid w:val="0085729B"/>
    <w:rsid w:val="0086195E"/>
    <w:rsid w:val="00862B89"/>
    <w:rsid w:val="00873AB3"/>
    <w:rsid w:val="008810AC"/>
    <w:rsid w:val="008856B9"/>
    <w:rsid w:val="00892E41"/>
    <w:rsid w:val="00895D7A"/>
    <w:rsid w:val="00895F2B"/>
    <w:rsid w:val="008966E9"/>
    <w:rsid w:val="008A0388"/>
    <w:rsid w:val="008A1FA1"/>
    <w:rsid w:val="008A29FE"/>
    <w:rsid w:val="008A3730"/>
    <w:rsid w:val="008A4F3C"/>
    <w:rsid w:val="008B07DD"/>
    <w:rsid w:val="008B348C"/>
    <w:rsid w:val="008B4FE5"/>
    <w:rsid w:val="008B5FC8"/>
    <w:rsid w:val="008C0964"/>
    <w:rsid w:val="008C54ED"/>
    <w:rsid w:val="008D2332"/>
    <w:rsid w:val="008D2F4A"/>
    <w:rsid w:val="008D38FA"/>
    <w:rsid w:val="008D7033"/>
    <w:rsid w:val="008D72B0"/>
    <w:rsid w:val="008D75E1"/>
    <w:rsid w:val="008D7E44"/>
    <w:rsid w:val="008E659E"/>
    <w:rsid w:val="008E74A8"/>
    <w:rsid w:val="008E7AD1"/>
    <w:rsid w:val="008F0189"/>
    <w:rsid w:val="008F0C32"/>
    <w:rsid w:val="008F1BE7"/>
    <w:rsid w:val="008F21E3"/>
    <w:rsid w:val="008F49AF"/>
    <w:rsid w:val="008F60BE"/>
    <w:rsid w:val="00900E7D"/>
    <w:rsid w:val="00901D59"/>
    <w:rsid w:val="00903949"/>
    <w:rsid w:val="0090485B"/>
    <w:rsid w:val="009051C0"/>
    <w:rsid w:val="0090644A"/>
    <w:rsid w:val="009114BE"/>
    <w:rsid w:val="00913D61"/>
    <w:rsid w:val="0091648F"/>
    <w:rsid w:val="00917B76"/>
    <w:rsid w:val="009273D7"/>
    <w:rsid w:val="009277C3"/>
    <w:rsid w:val="009314DF"/>
    <w:rsid w:val="009326CB"/>
    <w:rsid w:val="009327B5"/>
    <w:rsid w:val="0094153D"/>
    <w:rsid w:val="00942D2D"/>
    <w:rsid w:val="00945E19"/>
    <w:rsid w:val="009526C8"/>
    <w:rsid w:val="00953EC0"/>
    <w:rsid w:val="0095470B"/>
    <w:rsid w:val="00957CA9"/>
    <w:rsid w:val="00957F38"/>
    <w:rsid w:val="00961089"/>
    <w:rsid w:val="00962D7C"/>
    <w:rsid w:val="009638A8"/>
    <w:rsid w:val="00963E7A"/>
    <w:rsid w:val="00963E81"/>
    <w:rsid w:val="00963E98"/>
    <w:rsid w:val="0096610F"/>
    <w:rsid w:val="00967A65"/>
    <w:rsid w:val="00970A10"/>
    <w:rsid w:val="009730A8"/>
    <w:rsid w:val="009778F4"/>
    <w:rsid w:val="00980BAF"/>
    <w:rsid w:val="00980C37"/>
    <w:rsid w:val="00983D68"/>
    <w:rsid w:val="00990CFC"/>
    <w:rsid w:val="00992C4B"/>
    <w:rsid w:val="009944A8"/>
    <w:rsid w:val="00994665"/>
    <w:rsid w:val="00995DFF"/>
    <w:rsid w:val="009A01D1"/>
    <w:rsid w:val="009A2DC6"/>
    <w:rsid w:val="009A343F"/>
    <w:rsid w:val="009A3616"/>
    <w:rsid w:val="009A410E"/>
    <w:rsid w:val="009A42CC"/>
    <w:rsid w:val="009A4FC0"/>
    <w:rsid w:val="009A5478"/>
    <w:rsid w:val="009A7605"/>
    <w:rsid w:val="009B01E7"/>
    <w:rsid w:val="009B3517"/>
    <w:rsid w:val="009B4830"/>
    <w:rsid w:val="009B5412"/>
    <w:rsid w:val="009B59C0"/>
    <w:rsid w:val="009B6BCB"/>
    <w:rsid w:val="009C0E82"/>
    <w:rsid w:val="009C1E1F"/>
    <w:rsid w:val="009C423B"/>
    <w:rsid w:val="009C5951"/>
    <w:rsid w:val="009C5E54"/>
    <w:rsid w:val="009C7019"/>
    <w:rsid w:val="009D0E44"/>
    <w:rsid w:val="009D207A"/>
    <w:rsid w:val="009D42F8"/>
    <w:rsid w:val="009D6799"/>
    <w:rsid w:val="009D6E66"/>
    <w:rsid w:val="009E2E44"/>
    <w:rsid w:val="009F048F"/>
    <w:rsid w:val="009F11B3"/>
    <w:rsid w:val="009F6822"/>
    <w:rsid w:val="009F7388"/>
    <w:rsid w:val="00A0000F"/>
    <w:rsid w:val="00A0138E"/>
    <w:rsid w:val="00A047B3"/>
    <w:rsid w:val="00A06423"/>
    <w:rsid w:val="00A073CF"/>
    <w:rsid w:val="00A10182"/>
    <w:rsid w:val="00A10D3F"/>
    <w:rsid w:val="00A12592"/>
    <w:rsid w:val="00A13266"/>
    <w:rsid w:val="00A148F5"/>
    <w:rsid w:val="00A240BE"/>
    <w:rsid w:val="00A24DCB"/>
    <w:rsid w:val="00A27B7E"/>
    <w:rsid w:val="00A30CF1"/>
    <w:rsid w:val="00A33C57"/>
    <w:rsid w:val="00A35981"/>
    <w:rsid w:val="00A378EE"/>
    <w:rsid w:val="00A37E49"/>
    <w:rsid w:val="00A4089D"/>
    <w:rsid w:val="00A52F38"/>
    <w:rsid w:val="00A540E1"/>
    <w:rsid w:val="00A60F00"/>
    <w:rsid w:val="00A61D6B"/>
    <w:rsid w:val="00A65913"/>
    <w:rsid w:val="00A66E9A"/>
    <w:rsid w:val="00A702B9"/>
    <w:rsid w:val="00A733D2"/>
    <w:rsid w:val="00A81AC8"/>
    <w:rsid w:val="00A81D51"/>
    <w:rsid w:val="00A83708"/>
    <w:rsid w:val="00A8719D"/>
    <w:rsid w:val="00A90174"/>
    <w:rsid w:val="00A9139C"/>
    <w:rsid w:val="00A91D7E"/>
    <w:rsid w:val="00A95FA6"/>
    <w:rsid w:val="00A960C8"/>
    <w:rsid w:val="00A963FC"/>
    <w:rsid w:val="00A96929"/>
    <w:rsid w:val="00A97E3C"/>
    <w:rsid w:val="00AA0318"/>
    <w:rsid w:val="00AA18C6"/>
    <w:rsid w:val="00AA1FD4"/>
    <w:rsid w:val="00AA259F"/>
    <w:rsid w:val="00AA3EE5"/>
    <w:rsid w:val="00AA4439"/>
    <w:rsid w:val="00AA49FF"/>
    <w:rsid w:val="00AA5978"/>
    <w:rsid w:val="00AA5B06"/>
    <w:rsid w:val="00AA5C52"/>
    <w:rsid w:val="00AA6597"/>
    <w:rsid w:val="00AB0734"/>
    <w:rsid w:val="00AB7372"/>
    <w:rsid w:val="00AB75C5"/>
    <w:rsid w:val="00AB7B62"/>
    <w:rsid w:val="00AC21C7"/>
    <w:rsid w:val="00AC292B"/>
    <w:rsid w:val="00AC3CBC"/>
    <w:rsid w:val="00AC59FC"/>
    <w:rsid w:val="00AD04E8"/>
    <w:rsid w:val="00AD069B"/>
    <w:rsid w:val="00AE051C"/>
    <w:rsid w:val="00AE1335"/>
    <w:rsid w:val="00AE1504"/>
    <w:rsid w:val="00AE4234"/>
    <w:rsid w:val="00AE792F"/>
    <w:rsid w:val="00AF1CC9"/>
    <w:rsid w:val="00AF5C9D"/>
    <w:rsid w:val="00AF5F1A"/>
    <w:rsid w:val="00AF7317"/>
    <w:rsid w:val="00AF7FA6"/>
    <w:rsid w:val="00B00A5C"/>
    <w:rsid w:val="00B05CA2"/>
    <w:rsid w:val="00B06A70"/>
    <w:rsid w:val="00B1343F"/>
    <w:rsid w:val="00B204BE"/>
    <w:rsid w:val="00B21936"/>
    <w:rsid w:val="00B22FE3"/>
    <w:rsid w:val="00B24C40"/>
    <w:rsid w:val="00B30699"/>
    <w:rsid w:val="00B3090E"/>
    <w:rsid w:val="00B31C13"/>
    <w:rsid w:val="00B36288"/>
    <w:rsid w:val="00B402AB"/>
    <w:rsid w:val="00B41D16"/>
    <w:rsid w:val="00B42084"/>
    <w:rsid w:val="00B4233B"/>
    <w:rsid w:val="00B43308"/>
    <w:rsid w:val="00B43739"/>
    <w:rsid w:val="00B43F96"/>
    <w:rsid w:val="00B47E50"/>
    <w:rsid w:val="00B50926"/>
    <w:rsid w:val="00B52DF9"/>
    <w:rsid w:val="00B55546"/>
    <w:rsid w:val="00B603AF"/>
    <w:rsid w:val="00B6187D"/>
    <w:rsid w:val="00B6363F"/>
    <w:rsid w:val="00B72BC4"/>
    <w:rsid w:val="00B73A8C"/>
    <w:rsid w:val="00B74DBF"/>
    <w:rsid w:val="00B779A8"/>
    <w:rsid w:val="00B800EE"/>
    <w:rsid w:val="00B81E71"/>
    <w:rsid w:val="00B840EA"/>
    <w:rsid w:val="00B852E9"/>
    <w:rsid w:val="00B85409"/>
    <w:rsid w:val="00B91341"/>
    <w:rsid w:val="00B940CD"/>
    <w:rsid w:val="00B95064"/>
    <w:rsid w:val="00B97440"/>
    <w:rsid w:val="00B97AF2"/>
    <w:rsid w:val="00BA4157"/>
    <w:rsid w:val="00BA5114"/>
    <w:rsid w:val="00BA7A05"/>
    <w:rsid w:val="00BB0274"/>
    <w:rsid w:val="00BB2049"/>
    <w:rsid w:val="00BC39EC"/>
    <w:rsid w:val="00BC3A3C"/>
    <w:rsid w:val="00BC4B52"/>
    <w:rsid w:val="00BC59B9"/>
    <w:rsid w:val="00BC6782"/>
    <w:rsid w:val="00BD2559"/>
    <w:rsid w:val="00BD2C5C"/>
    <w:rsid w:val="00BD36CA"/>
    <w:rsid w:val="00BD4AFE"/>
    <w:rsid w:val="00BD5091"/>
    <w:rsid w:val="00BD60FB"/>
    <w:rsid w:val="00BD7DC9"/>
    <w:rsid w:val="00BD7FD8"/>
    <w:rsid w:val="00BE016B"/>
    <w:rsid w:val="00BE222E"/>
    <w:rsid w:val="00BE288E"/>
    <w:rsid w:val="00BE43E5"/>
    <w:rsid w:val="00BF1CB8"/>
    <w:rsid w:val="00BF399A"/>
    <w:rsid w:val="00C002D7"/>
    <w:rsid w:val="00C03872"/>
    <w:rsid w:val="00C03D73"/>
    <w:rsid w:val="00C07633"/>
    <w:rsid w:val="00C07638"/>
    <w:rsid w:val="00C078DB"/>
    <w:rsid w:val="00C13744"/>
    <w:rsid w:val="00C14174"/>
    <w:rsid w:val="00C16871"/>
    <w:rsid w:val="00C16CEE"/>
    <w:rsid w:val="00C17BEA"/>
    <w:rsid w:val="00C2168F"/>
    <w:rsid w:val="00C23067"/>
    <w:rsid w:val="00C30327"/>
    <w:rsid w:val="00C34345"/>
    <w:rsid w:val="00C357DB"/>
    <w:rsid w:val="00C3766C"/>
    <w:rsid w:val="00C41257"/>
    <w:rsid w:val="00C429F0"/>
    <w:rsid w:val="00C44EA8"/>
    <w:rsid w:val="00C559E5"/>
    <w:rsid w:val="00C64029"/>
    <w:rsid w:val="00C64FFC"/>
    <w:rsid w:val="00C65EA0"/>
    <w:rsid w:val="00C65EEE"/>
    <w:rsid w:val="00C671D5"/>
    <w:rsid w:val="00C6722B"/>
    <w:rsid w:val="00C6780F"/>
    <w:rsid w:val="00C71630"/>
    <w:rsid w:val="00C71BFA"/>
    <w:rsid w:val="00C73129"/>
    <w:rsid w:val="00C81C2B"/>
    <w:rsid w:val="00C85649"/>
    <w:rsid w:val="00C872DD"/>
    <w:rsid w:val="00C91A49"/>
    <w:rsid w:val="00C93A79"/>
    <w:rsid w:val="00CA0DB7"/>
    <w:rsid w:val="00CA6025"/>
    <w:rsid w:val="00CA703D"/>
    <w:rsid w:val="00CA7F24"/>
    <w:rsid w:val="00CB65F6"/>
    <w:rsid w:val="00CC05B7"/>
    <w:rsid w:val="00CC2F86"/>
    <w:rsid w:val="00CC7751"/>
    <w:rsid w:val="00CD033C"/>
    <w:rsid w:val="00CD5DA6"/>
    <w:rsid w:val="00CE3B28"/>
    <w:rsid w:val="00CE4218"/>
    <w:rsid w:val="00CF1450"/>
    <w:rsid w:val="00CF2DE3"/>
    <w:rsid w:val="00CF38DB"/>
    <w:rsid w:val="00CF4AA0"/>
    <w:rsid w:val="00CF5F09"/>
    <w:rsid w:val="00CF77B1"/>
    <w:rsid w:val="00D00029"/>
    <w:rsid w:val="00D002FF"/>
    <w:rsid w:val="00D01AEB"/>
    <w:rsid w:val="00D0318F"/>
    <w:rsid w:val="00D0403B"/>
    <w:rsid w:val="00D04529"/>
    <w:rsid w:val="00D06D25"/>
    <w:rsid w:val="00D07E67"/>
    <w:rsid w:val="00D20578"/>
    <w:rsid w:val="00D22A52"/>
    <w:rsid w:val="00D23E4C"/>
    <w:rsid w:val="00D25922"/>
    <w:rsid w:val="00D25A79"/>
    <w:rsid w:val="00D26FC3"/>
    <w:rsid w:val="00D31623"/>
    <w:rsid w:val="00D33417"/>
    <w:rsid w:val="00D357C1"/>
    <w:rsid w:val="00D405A3"/>
    <w:rsid w:val="00D4286A"/>
    <w:rsid w:val="00D443F2"/>
    <w:rsid w:val="00D45DDF"/>
    <w:rsid w:val="00D500BA"/>
    <w:rsid w:val="00D50800"/>
    <w:rsid w:val="00D5220A"/>
    <w:rsid w:val="00D52968"/>
    <w:rsid w:val="00D53ECF"/>
    <w:rsid w:val="00D54054"/>
    <w:rsid w:val="00D5707F"/>
    <w:rsid w:val="00D600AD"/>
    <w:rsid w:val="00D64AB1"/>
    <w:rsid w:val="00D66FB2"/>
    <w:rsid w:val="00D67EDF"/>
    <w:rsid w:val="00D74613"/>
    <w:rsid w:val="00D80366"/>
    <w:rsid w:val="00D80A39"/>
    <w:rsid w:val="00D865F8"/>
    <w:rsid w:val="00D90EE3"/>
    <w:rsid w:val="00D94806"/>
    <w:rsid w:val="00D9539E"/>
    <w:rsid w:val="00DA27EC"/>
    <w:rsid w:val="00DA3949"/>
    <w:rsid w:val="00DB032B"/>
    <w:rsid w:val="00DB40DA"/>
    <w:rsid w:val="00DB5340"/>
    <w:rsid w:val="00DB70C7"/>
    <w:rsid w:val="00DC0E3A"/>
    <w:rsid w:val="00DC1BDC"/>
    <w:rsid w:val="00DC256A"/>
    <w:rsid w:val="00DC298F"/>
    <w:rsid w:val="00DC4855"/>
    <w:rsid w:val="00DD0691"/>
    <w:rsid w:val="00DD29E9"/>
    <w:rsid w:val="00DD49A3"/>
    <w:rsid w:val="00DD5C15"/>
    <w:rsid w:val="00DD7228"/>
    <w:rsid w:val="00DE0057"/>
    <w:rsid w:val="00DE0A68"/>
    <w:rsid w:val="00DE1EE5"/>
    <w:rsid w:val="00DE4326"/>
    <w:rsid w:val="00DE70B2"/>
    <w:rsid w:val="00DF216B"/>
    <w:rsid w:val="00DF2FE1"/>
    <w:rsid w:val="00DF4016"/>
    <w:rsid w:val="00DF5A63"/>
    <w:rsid w:val="00DF6B81"/>
    <w:rsid w:val="00E01469"/>
    <w:rsid w:val="00E024F4"/>
    <w:rsid w:val="00E033E6"/>
    <w:rsid w:val="00E03C54"/>
    <w:rsid w:val="00E03F96"/>
    <w:rsid w:val="00E06D30"/>
    <w:rsid w:val="00E10295"/>
    <w:rsid w:val="00E11D59"/>
    <w:rsid w:val="00E13E5B"/>
    <w:rsid w:val="00E146B6"/>
    <w:rsid w:val="00E15A54"/>
    <w:rsid w:val="00E223B3"/>
    <w:rsid w:val="00E2248D"/>
    <w:rsid w:val="00E22E80"/>
    <w:rsid w:val="00E25B4D"/>
    <w:rsid w:val="00E26895"/>
    <w:rsid w:val="00E26E60"/>
    <w:rsid w:val="00E312B7"/>
    <w:rsid w:val="00E35AE9"/>
    <w:rsid w:val="00E3659F"/>
    <w:rsid w:val="00E367D2"/>
    <w:rsid w:val="00E36D37"/>
    <w:rsid w:val="00E42557"/>
    <w:rsid w:val="00E433A7"/>
    <w:rsid w:val="00E542C3"/>
    <w:rsid w:val="00E6268C"/>
    <w:rsid w:val="00E64C30"/>
    <w:rsid w:val="00E67476"/>
    <w:rsid w:val="00E67A38"/>
    <w:rsid w:val="00E70C86"/>
    <w:rsid w:val="00E7199D"/>
    <w:rsid w:val="00E72399"/>
    <w:rsid w:val="00E74AA6"/>
    <w:rsid w:val="00E808B5"/>
    <w:rsid w:val="00E84E3E"/>
    <w:rsid w:val="00E8635C"/>
    <w:rsid w:val="00E90CC7"/>
    <w:rsid w:val="00E91FB0"/>
    <w:rsid w:val="00E932E1"/>
    <w:rsid w:val="00E93808"/>
    <w:rsid w:val="00EA0AFE"/>
    <w:rsid w:val="00EA1A81"/>
    <w:rsid w:val="00EA1EA4"/>
    <w:rsid w:val="00EA78C9"/>
    <w:rsid w:val="00EA7CE7"/>
    <w:rsid w:val="00EB3E7E"/>
    <w:rsid w:val="00EB525D"/>
    <w:rsid w:val="00EB7E1C"/>
    <w:rsid w:val="00EC11D8"/>
    <w:rsid w:val="00EC1680"/>
    <w:rsid w:val="00EC1F82"/>
    <w:rsid w:val="00EC5CFD"/>
    <w:rsid w:val="00EC7538"/>
    <w:rsid w:val="00ED1F00"/>
    <w:rsid w:val="00ED5859"/>
    <w:rsid w:val="00ED6FB9"/>
    <w:rsid w:val="00EE000B"/>
    <w:rsid w:val="00EE0783"/>
    <w:rsid w:val="00EF0304"/>
    <w:rsid w:val="00EF118E"/>
    <w:rsid w:val="00EF569C"/>
    <w:rsid w:val="00F00A00"/>
    <w:rsid w:val="00F013AA"/>
    <w:rsid w:val="00F01639"/>
    <w:rsid w:val="00F03887"/>
    <w:rsid w:val="00F03AD0"/>
    <w:rsid w:val="00F054F3"/>
    <w:rsid w:val="00F05F1F"/>
    <w:rsid w:val="00F0727C"/>
    <w:rsid w:val="00F07314"/>
    <w:rsid w:val="00F172DA"/>
    <w:rsid w:val="00F23851"/>
    <w:rsid w:val="00F24B67"/>
    <w:rsid w:val="00F26D36"/>
    <w:rsid w:val="00F3134C"/>
    <w:rsid w:val="00F31364"/>
    <w:rsid w:val="00F327E0"/>
    <w:rsid w:val="00F32868"/>
    <w:rsid w:val="00F37FFC"/>
    <w:rsid w:val="00F4149A"/>
    <w:rsid w:val="00F42C84"/>
    <w:rsid w:val="00F43265"/>
    <w:rsid w:val="00F44201"/>
    <w:rsid w:val="00F44725"/>
    <w:rsid w:val="00F4790B"/>
    <w:rsid w:val="00F47C5D"/>
    <w:rsid w:val="00F47F1C"/>
    <w:rsid w:val="00F52E73"/>
    <w:rsid w:val="00F5384D"/>
    <w:rsid w:val="00F538DA"/>
    <w:rsid w:val="00F54E55"/>
    <w:rsid w:val="00F55BAC"/>
    <w:rsid w:val="00F60B48"/>
    <w:rsid w:val="00F61BD9"/>
    <w:rsid w:val="00F62D9C"/>
    <w:rsid w:val="00F64821"/>
    <w:rsid w:val="00F668D7"/>
    <w:rsid w:val="00F70EC3"/>
    <w:rsid w:val="00F77990"/>
    <w:rsid w:val="00F849AB"/>
    <w:rsid w:val="00F8681C"/>
    <w:rsid w:val="00F86A9F"/>
    <w:rsid w:val="00F87D46"/>
    <w:rsid w:val="00F91141"/>
    <w:rsid w:val="00F91710"/>
    <w:rsid w:val="00F966C0"/>
    <w:rsid w:val="00F97DBE"/>
    <w:rsid w:val="00FA3956"/>
    <w:rsid w:val="00FB38EA"/>
    <w:rsid w:val="00FB5F63"/>
    <w:rsid w:val="00FB7FAD"/>
    <w:rsid w:val="00FC0FD8"/>
    <w:rsid w:val="00FC1C0C"/>
    <w:rsid w:val="00FC4907"/>
    <w:rsid w:val="00FC7406"/>
    <w:rsid w:val="00FD567F"/>
    <w:rsid w:val="00FE1AAF"/>
    <w:rsid w:val="00FE2C53"/>
    <w:rsid w:val="00FE4631"/>
    <w:rsid w:val="00FE4EA8"/>
    <w:rsid w:val="00FE73AF"/>
    <w:rsid w:val="00FF0404"/>
    <w:rsid w:val="00FF3825"/>
    <w:rsid w:val="00FF5BA4"/>
    <w:rsid w:val="00FF5DF5"/>
    <w:rsid w:val="00FF7DD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939D99"/>
  <w15:chartTrackingRefBased/>
  <w15:docId w15:val="{AADD204E-C5B7-4118-87FC-2641E2122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A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3A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3A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3A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3A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3A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3A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3A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3A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A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3A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3A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3A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3A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3A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3A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3A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3AB3"/>
    <w:rPr>
      <w:rFonts w:eastAsiaTheme="majorEastAsia" w:cstheme="majorBidi"/>
      <w:color w:val="272727" w:themeColor="text1" w:themeTint="D8"/>
    </w:rPr>
  </w:style>
  <w:style w:type="paragraph" w:styleId="Title">
    <w:name w:val="Title"/>
    <w:basedOn w:val="Normal"/>
    <w:next w:val="Normal"/>
    <w:link w:val="TitleChar"/>
    <w:uiPriority w:val="10"/>
    <w:qFormat/>
    <w:rsid w:val="00873A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3A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3A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3AB3"/>
    <w:pPr>
      <w:spacing w:before="160"/>
      <w:jc w:val="center"/>
    </w:pPr>
    <w:rPr>
      <w:i/>
      <w:iCs/>
      <w:color w:val="404040" w:themeColor="text1" w:themeTint="BF"/>
    </w:rPr>
  </w:style>
  <w:style w:type="character" w:customStyle="1" w:styleId="QuoteChar">
    <w:name w:val="Quote Char"/>
    <w:basedOn w:val="DefaultParagraphFont"/>
    <w:link w:val="Quote"/>
    <w:uiPriority w:val="29"/>
    <w:rsid w:val="00873AB3"/>
    <w:rPr>
      <w:i/>
      <w:iCs/>
      <w:color w:val="404040" w:themeColor="text1" w:themeTint="BF"/>
    </w:rPr>
  </w:style>
  <w:style w:type="paragraph" w:styleId="ListParagraph">
    <w:name w:val="List Paragraph"/>
    <w:basedOn w:val="Normal"/>
    <w:uiPriority w:val="34"/>
    <w:qFormat/>
    <w:rsid w:val="00873AB3"/>
    <w:pPr>
      <w:ind w:left="720"/>
      <w:contextualSpacing/>
    </w:pPr>
  </w:style>
  <w:style w:type="character" w:styleId="IntenseEmphasis">
    <w:name w:val="Intense Emphasis"/>
    <w:basedOn w:val="DefaultParagraphFont"/>
    <w:uiPriority w:val="21"/>
    <w:qFormat/>
    <w:rsid w:val="00873AB3"/>
    <w:rPr>
      <w:i/>
      <w:iCs/>
      <w:color w:val="0F4761" w:themeColor="accent1" w:themeShade="BF"/>
    </w:rPr>
  </w:style>
  <w:style w:type="paragraph" w:styleId="IntenseQuote">
    <w:name w:val="Intense Quote"/>
    <w:basedOn w:val="Normal"/>
    <w:next w:val="Normal"/>
    <w:link w:val="IntenseQuoteChar"/>
    <w:uiPriority w:val="30"/>
    <w:qFormat/>
    <w:rsid w:val="00873A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3AB3"/>
    <w:rPr>
      <w:i/>
      <w:iCs/>
      <w:color w:val="0F4761" w:themeColor="accent1" w:themeShade="BF"/>
    </w:rPr>
  </w:style>
  <w:style w:type="character" w:styleId="IntenseReference">
    <w:name w:val="Intense Reference"/>
    <w:basedOn w:val="DefaultParagraphFont"/>
    <w:uiPriority w:val="32"/>
    <w:qFormat/>
    <w:rsid w:val="00873AB3"/>
    <w:rPr>
      <w:b/>
      <w:bCs/>
      <w:smallCaps/>
      <w:color w:val="0F4761" w:themeColor="accent1" w:themeShade="BF"/>
      <w:spacing w:val="5"/>
    </w:rPr>
  </w:style>
  <w:style w:type="table" w:styleId="TableGrid">
    <w:name w:val="Table Grid"/>
    <w:basedOn w:val="TableNormal"/>
    <w:uiPriority w:val="39"/>
    <w:rsid w:val="005030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2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1C7"/>
  </w:style>
  <w:style w:type="paragraph" w:styleId="Footer">
    <w:name w:val="footer"/>
    <w:basedOn w:val="Normal"/>
    <w:link w:val="FooterChar"/>
    <w:uiPriority w:val="99"/>
    <w:unhideWhenUsed/>
    <w:rsid w:val="00AC2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1C7"/>
  </w:style>
  <w:style w:type="character" w:styleId="Hyperlink">
    <w:name w:val="Hyperlink"/>
    <w:basedOn w:val="DefaultParagraphFont"/>
    <w:uiPriority w:val="99"/>
    <w:unhideWhenUsed/>
    <w:rsid w:val="00D0318F"/>
    <w:rPr>
      <w:color w:val="467886" w:themeColor="hyperlink"/>
      <w:u w:val="single"/>
    </w:rPr>
  </w:style>
  <w:style w:type="character" w:styleId="UnresolvedMention">
    <w:name w:val="Unresolved Mention"/>
    <w:basedOn w:val="DefaultParagraphFont"/>
    <w:uiPriority w:val="99"/>
    <w:semiHidden/>
    <w:unhideWhenUsed/>
    <w:rsid w:val="00D0318F"/>
    <w:rPr>
      <w:color w:val="605E5C"/>
      <w:shd w:val="clear" w:color="auto" w:fill="E1DFDD"/>
    </w:rPr>
  </w:style>
  <w:style w:type="character" w:customStyle="1" w:styleId="mord">
    <w:name w:val="mord"/>
    <w:basedOn w:val="DefaultParagraphFont"/>
    <w:rsid w:val="00F55BAC"/>
  </w:style>
  <w:style w:type="character" w:customStyle="1" w:styleId="mrel">
    <w:name w:val="mrel"/>
    <w:basedOn w:val="DefaultParagraphFont"/>
    <w:rsid w:val="00F55BAC"/>
  </w:style>
  <w:style w:type="character" w:customStyle="1" w:styleId="delimsizing">
    <w:name w:val="delimsizing"/>
    <w:basedOn w:val="DefaultParagraphFont"/>
    <w:rsid w:val="00F55BAC"/>
  </w:style>
  <w:style w:type="character" w:customStyle="1" w:styleId="vlist-s">
    <w:name w:val="vlist-s"/>
    <w:basedOn w:val="DefaultParagraphFont"/>
    <w:rsid w:val="00F55BAC"/>
  </w:style>
  <w:style w:type="character" w:customStyle="1" w:styleId="mbin">
    <w:name w:val="mbin"/>
    <w:basedOn w:val="DefaultParagraphFont"/>
    <w:rsid w:val="00F55BAC"/>
  </w:style>
  <w:style w:type="paragraph" w:styleId="NormalWeb">
    <w:name w:val="Normal (Web)"/>
    <w:basedOn w:val="Normal"/>
    <w:uiPriority w:val="99"/>
    <w:semiHidden/>
    <w:unhideWhenUsed/>
    <w:rsid w:val="00FB38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katex-mathml">
    <w:name w:val="katex-mathml"/>
    <w:basedOn w:val="DefaultParagraphFont"/>
    <w:rsid w:val="00FB38EA"/>
  </w:style>
  <w:style w:type="character" w:styleId="CommentReference">
    <w:name w:val="annotation reference"/>
    <w:basedOn w:val="DefaultParagraphFont"/>
    <w:uiPriority w:val="99"/>
    <w:semiHidden/>
    <w:unhideWhenUsed/>
    <w:rsid w:val="00BD7DC9"/>
    <w:rPr>
      <w:sz w:val="16"/>
      <w:szCs w:val="16"/>
    </w:rPr>
  </w:style>
  <w:style w:type="paragraph" w:styleId="CommentText">
    <w:name w:val="annotation text"/>
    <w:basedOn w:val="Normal"/>
    <w:link w:val="CommentTextChar"/>
    <w:uiPriority w:val="99"/>
    <w:unhideWhenUsed/>
    <w:rsid w:val="00BD7DC9"/>
    <w:pPr>
      <w:spacing w:line="240" w:lineRule="auto"/>
    </w:pPr>
    <w:rPr>
      <w:sz w:val="20"/>
      <w:szCs w:val="20"/>
    </w:rPr>
  </w:style>
  <w:style w:type="character" w:customStyle="1" w:styleId="CommentTextChar">
    <w:name w:val="Comment Text Char"/>
    <w:basedOn w:val="DefaultParagraphFont"/>
    <w:link w:val="CommentText"/>
    <w:uiPriority w:val="99"/>
    <w:rsid w:val="00BD7DC9"/>
    <w:rPr>
      <w:sz w:val="20"/>
      <w:szCs w:val="20"/>
    </w:rPr>
  </w:style>
  <w:style w:type="paragraph" w:styleId="CommentSubject">
    <w:name w:val="annotation subject"/>
    <w:basedOn w:val="CommentText"/>
    <w:next w:val="CommentText"/>
    <w:link w:val="CommentSubjectChar"/>
    <w:uiPriority w:val="99"/>
    <w:semiHidden/>
    <w:unhideWhenUsed/>
    <w:rsid w:val="00BD7DC9"/>
    <w:rPr>
      <w:b/>
      <w:bCs/>
    </w:rPr>
  </w:style>
  <w:style w:type="character" w:customStyle="1" w:styleId="CommentSubjectChar">
    <w:name w:val="Comment Subject Char"/>
    <w:basedOn w:val="CommentTextChar"/>
    <w:link w:val="CommentSubject"/>
    <w:uiPriority w:val="99"/>
    <w:semiHidden/>
    <w:rsid w:val="00BD7DC9"/>
    <w:rPr>
      <w:b/>
      <w:bCs/>
      <w:sz w:val="20"/>
      <w:szCs w:val="20"/>
    </w:rPr>
  </w:style>
  <w:style w:type="paragraph" w:styleId="TOCHeading">
    <w:name w:val="TOC Heading"/>
    <w:basedOn w:val="Heading1"/>
    <w:next w:val="Normal"/>
    <w:uiPriority w:val="39"/>
    <w:unhideWhenUsed/>
    <w:qFormat/>
    <w:rsid w:val="00F6482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64821"/>
    <w:pPr>
      <w:tabs>
        <w:tab w:val="right" w:leader="dot" w:pos="9016"/>
      </w:tabs>
      <w:spacing w:after="100" w:line="240" w:lineRule="auto"/>
    </w:pPr>
    <w:rPr>
      <w:rFonts w:ascii="Arial" w:hAnsi="Arial" w:cs="Arial"/>
      <w:noProof/>
      <w:sz w:val="20"/>
      <w:szCs w:val="20"/>
    </w:rPr>
  </w:style>
  <w:style w:type="paragraph" w:styleId="TOC2">
    <w:name w:val="toc 2"/>
    <w:basedOn w:val="Normal"/>
    <w:next w:val="Normal"/>
    <w:autoRedefine/>
    <w:uiPriority w:val="39"/>
    <w:unhideWhenUsed/>
    <w:rsid w:val="00F648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60867">
      <w:bodyDiv w:val="1"/>
      <w:marLeft w:val="0"/>
      <w:marRight w:val="0"/>
      <w:marTop w:val="0"/>
      <w:marBottom w:val="0"/>
      <w:divBdr>
        <w:top w:val="none" w:sz="0" w:space="0" w:color="auto"/>
        <w:left w:val="none" w:sz="0" w:space="0" w:color="auto"/>
        <w:bottom w:val="none" w:sz="0" w:space="0" w:color="auto"/>
        <w:right w:val="none" w:sz="0" w:space="0" w:color="auto"/>
      </w:divBdr>
    </w:div>
    <w:div w:id="14699490">
      <w:bodyDiv w:val="1"/>
      <w:marLeft w:val="0"/>
      <w:marRight w:val="0"/>
      <w:marTop w:val="0"/>
      <w:marBottom w:val="0"/>
      <w:divBdr>
        <w:top w:val="none" w:sz="0" w:space="0" w:color="auto"/>
        <w:left w:val="none" w:sz="0" w:space="0" w:color="auto"/>
        <w:bottom w:val="none" w:sz="0" w:space="0" w:color="auto"/>
        <w:right w:val="none" w:sz="0" w:space="0" w:color="auto"/>
      </w:divBdr>
    </w:div>
    <w:div w:id="15085474">
      <w:bodyDiv w:val="1"/>
      <w:marLeft w:val="0"/>
      <w:marRight w:val="0"/>
      <w:marTop w:val="0"/>
      <w:marBottom w:val="0"/>
      <w:divBdr>
        <w:top w:val="none" w:sz="0" w:space="0" w:color="auto"/>
        <w:left w:val="none" w:sz="0" w:space="0" w:color="auto"/>
        <w:bottom w:val="none" w:sz="0" w:space="0" w:color="auto"/>
        <w:right w:val="none" w:sz="0" w:space="0" w:color="auto"/>
      </w:divBdr>
    </w:div>
    <w:div w:id="43525152">
      <w:bodyDiv w:val="1"/>
      <w:marLeft w:val="0"/>
      <w:marRight w:val="0"/>
      <w:marTop w:val="0"/>
      <w:marBottom w:val="0"/>
      <w:divBdr>
        <w:top w:val="none" w:sz="0" w:space="0" w:color="auto"/>
        <w:left w:val="none" w:sz="0" w:space="0" w:color="auto"/>
        <w:bottom w:val="none" w:sz="0" w:space="0" w:color="auto"/>
        <w:right w:val="none" w:sz="0" w:space="0" w:color="auto"/>
      </w:divBdr>
    </w:div>
    <w:div w:id="46225667">
      <w:bodyDiv w:val="1"/>
      <w:marLeft w:val="0"/>
      <w:marRight w:val="0"/>
      <w:marTop w:val="0"/>
      <w:marBottom w:val="0"/>
      <w:divBdr>
        <w:top w:val="none" w:sz="0" w:space="0" w:color="auto"/>
        <w:left w:val="none" w:sz="0" w:space="0" w:color="auto"/>
        <w:bottom w:val="none" w:sz="0" w:space="0" w:color="auto"/>
        <w:right w:val="none" w:sz="0" w:space="0" w:color="auto"/>
      </w:divBdr>
    </w:div>
    <w:div w:id="62260997">
      <w:bodyDiv w:val="1"/>
      <w:marLeft w:val="0"/>
      <w:marRight w:val="0"/>
      <w:marTop w:val="0"/>
      <w:marBottom w:val="0"/>
      <w:divBdr>
        <w:top w:val="none" w:sz="0" w:space="0" w:color="auto"/>
        <w:left w:val="none" w:sz="0" w:space="0" w:color="auto"/>
        <w:bottom w:val="none" w:sz="0" w:space="0" w:color="auto"/>
        <w:right w:val="none" w:sz="0" w:space="0" w:color="auto"/>
      </w:divBdr>
    </w:div>
    <w:div w:id="134840231">
      <w:bodyDiv w:val="1"/>
      <w:marLeft w:val="0"/>
      <w:marRight w:val="0"/>
      <w:marTop w:val="0"/>
      <w:marBottom w:val="0"/>
      <w:divBdr>
        <w:top w:val="none" w:sz="0" w:space="0" w:color="auto"/>
        <w:left w:val="none" w:sz="0" w:space="0" w:color="auto"/>
        <w:bottom w:val="none" w:sz="0" w:space="0" w:color="auto"/>
        <w:right w:val="none" w:sz="0" w:space="0" w:color="auto"/>
      </w:divBdr>
    </w:div>
    <w:div w:id="191693725">
      <w:bodyDiv w:val="1"/>
      <w:marLeft w:val="0"/>
      <w:marRight w:val="0"/>
      <w:marTop w:val="0"/>
      <w:marBottom w:val="0"/>
      <w:divBdr>
        <w:top w:val="none" w:sz="0" w:space="0" w:color="auto"/>
        <w:left w:val="none" w:sz="0" w:space="0" w:color="auto"/>
        <w:bottom w:val="none" w:sz="0" w:space="0" w:color="auto"/>
        <w:right w:val="none" w:sz="0" w:space="0" w:color="auto"/>
      </w:divBdr>
    </w:div>
    <w:div w:id="203368913">
      <w:bodyDiv w:val="1"/>
      <w:marLeft w:val="0"/>
      <w:marRight w:val="0"/>
      <w:marTop w:val="0"/>
      <w:marBottom w:val="0"/>
      <w:divBdr>
        <w:top w:val="none" w:sz="0" w:space="0" w:color="auto"/>
        <w:left w:val="none" w:sz="0" w:space="0" w:color="auto"/>
        <w:bottom w:val="none" w:sz="0" w:space="0" w:color="auto"/>
        <w:right w:val="none" w:sz="0" w:space="0" w:color="auto"/>
      </w:divBdr>
    </w:div>
    <w:div w:id="242881187">
      <w:bodyDiv w:val="1"/>
      <w:marLeft w:val="0"/>
      <w:marRight w:val="0"/>
      <w:marTop w:val="0"/>
      <w:marBottom w:val="0"/>
      <w:divBdr>
        <w:top w:val="none" w:sz="0" w:space="0" w:color="auto"/>
        <w:left w:val="none" w:sz="0" w:space="0" w:color="auto"/>
        <w:bottom w:val="none" w:sz="0" w:space="0" w:color="auto"/>
        <w:right w:val="none" w:sz="0" w:space="0" w:color="auto"/>
      </w:divBdr>
    </w:div>
    <w:div w:id="261106834">
      <w:bodyDiv w:val="1"/>
      <w:marLeft w:val="0"/>
      <w:marRight w:val="0"/>
      <w:marTop w:val="0"/>
      <w:marBottom w:val="0"/>
      <w:divBdr>
        <w:top w:val="none" w:sz="0" w:space="0" w:color="auto"/>
        <w:left w:val="none" w:sz="0" w:space="0" w:color="auto"/>
        <w:bottom w:val="none" w:sz="0" w:space="0" w:color="auto"/>
        <w:right w:val="none" w:sz="0" w:space="0" w:color="auto"/>
      </w:divBdr>
    </w:div>
    <w:div w:id="306937580">
      <w:bodyDiv w:val="1"/>
      <w:marLeft w:val="0"/>
      <w:marRight w:val="0"/>
      <w:marTop w:val="0"/>
      <w:marBottom w:val="0"/>
      <w:divBdr>
        <w:top w:val="none" w:sz="0" w:space="0" w:color="auto"/>
        <w:left w:val="none" w:sz="0" w:space="0" w:color="auto"/>
        <w:bottom w:val="none" w:sz="0" w:space="0" w:color="auto"/>
        <w:right w:val="none" w:sz="0" w:space="0" w:color="auto"/>
      </w:divBdr>
    </w:div>
    <w:div w:id="321861110">
      <w:bodyDiv w:val="1"/>
      <w:marLeft w:val="0"/>
      <w:marRight w:val="0"/>
      <w:marTop w:val="0"/>
      <w:marBottom w:val="0"/>
      <w:divBdr>
        <w:top w:val="none" w:sz="0" w:space="0" w:color="auto"/>
        <w:left w:val="none" w:sz="0" w:space="0" w:color="auto"/>
        <w:bottom w:val="none" w:sz="0" w:space="0" w:color="auto"/>
        <w:right w:val="none" w:sz="0" w:space="0" w:color="auto"/>
      </w:divBdr>
    </w:div>
    <w:div w:id="325862542">
      <w:bodyDiv w:val="1"/>
      <w:marLeft w:val="0"/>
      <w:marRight w:val="0"/>
      <w:marTop w:val="0"/>
      <w:marBottom w:val="0"/>
      <w:divBdr>
        <w:top w:val="none" w:sz="0" w:space="0" w:color="auto"/>
        <w:left w:val="none" w:sz="0" w:space="0" w:color="auto"/>
        <w:bottom w:val="none" w:sz="0" w:space="0" w:color="auto"/>
        <w:right w:val="none" w:sz="0" w:space="0" w:color="auto"/>
      </w:divBdr>
    </w:div>
    <w:div w:id="330182453">
      <w:bodyDiv w:val="1"/>
      <w:marLeft w:val="0"/>
      <w:marRight w:val="0"/>
      <w:marTop w:val="0"/>
      <w:marBottom w:val="0"/>
      <w:divBdr>
        <w:top w:val="none" w:sz="0" w:space="0" w:color="auto"/>
        <w:left w:val="none" w:sz="0" w:space="0" w:color="auto"/>
        <w:bottom w:val="none" w:sz="0" w:space="0" w:color="auto"/>
        <w:right w:val="none" w:sz="0" w:space="0" w:color="auto"/>
      </w:divBdr>
    </w:div>
    <w:div w:id="400979454">
      <w:bodyDiv w:val="1"/>
      <w:marLeft w:val="0"/>
      <w:marRight w:val="0"/>
      <w:marTop w:val="0"/>
      <w:marBottom w:val="0"/>
      <w:divBdr>
        <w:top w:val="none" w:sz="0" w:space="0" w:color="auto"/>
        <w:left w:val="none" w:sz="0" w:space="0" w:color="auto"/>
        <w:bottom w:val="none" w:sz="0" w:space="0" w:color="auto"/>
        <w:right w:val="none" w:sz="0" w:space="0" w:color="auto"/>
      </w:divBdr>
    </w:div>
    <w:div w:id="420833330">
      <w:bodyDiv w:val="1"/>
      <w:marLeft w:val="0"/>
      <w:marRight w:val="0"/>
      <w:marTop w:val="0"/>
      <w:marBottom w:val="0"/>
      <w:divBdr>
        <w:top w:val="none" w:sz="0" w:space="0" w:color="auto"/>
        <w:left w:val="none" w:sz="0" w:space="0" w:color="auto"/>
        <w:bottom w:val="none" w:sz="0" w:space="0" w:color="auto"/>
        <w:right w:val="none" w:sz="0" w:space="0" w:color="auto"/>
      </w:divBdr>
    </w:div>
    <w:div w:id="430900507">
      <w:bodyDiv w:val="1"/>
      <w:marLeft w:val="0"/>
      <w:marRight w:val="0"/>
      <w:marTop w:val="0"/>
      <w:marBottom w:val="0"/>
      <w:divBdr>
        <w:top w:val="none" w:sz="0" w:space="0" w:color="auto"/>
        <w:left w:val="none" w:sz="0" w:space="0" w:color="auto"/>
        <w:bottom w:val="none" w:sz="0" w:space="0" w:color="auto"/>
        <w:right w:val="none" w:sz="0" w:space="0" w:color="auto"/>
      </w:divBdr>
    </w:div>
    <w:div w:id="439574194">
      <w:bodyDiv w:val="1"/>
      <w:marLeft w:val="0"/>
      <w:marRight w:val="0"/>
      <w:marTop w:val="0"/>
      <w:marBottom w:val="0"/>
      <w:divBdr>
        <w:top w:val="none" w:sz="0" w:space="0" w:color="auto"/>
        <w:left w:val="none" w:sz="0" w:space="0" w:color="auto"/>
        <w:bottom w:val="none" w:sz="0" w:space="0" w:color="auto"/>
        <w:right w:val="none" w:sz="0" w:space="0" w:color="auto"/>
      </w:divBdr>
    </w:div>
    <w:div w:id="501167777">
      <w:bodyDiv w:val="1"/>
      <w:marLeft w:val="0"/>
      <w:marRight w:val="0"/>
      <w:marTop w:val="0"/>
      <w:marBottom w:val="0"/>
      <w:divBdr>
        <w:top w:val="none" w:sz="0" w:space="0" w:color="auto"/>
        <w:left w:val="none" w:sz="0" w:space="0" w:color="auto"/>
        <w:bottom w:val="none" w:sz="0" w:space="0" w:color="auto"/>
        <w:right w:val="none" w:sz="0" w:space="0" w:color="auto"/>
      </w:divBdr>
    </w:div>
    <w:div w:id="513803487">
      <w:bodyDiv w:val="1"/>
      <w:marLeft w:val="0"/>
      <w:marRight w:val="0"/>
      <w:marTop w:val="0"/>
      <w:marBottom w:val="0"/>
      <w:divBdr>
        <w:top w:val="none" w:sz="0" w:space="0" w:color="auto"/>
        <w:left w:val="none" w:sz="0" w:space="0" w:color="auto"/>
        <w:bottom w:val="none" w:sz="0" w:space="0" w:color="auto"/>
        <w:right w:val="none" w:sz="0" w:space="0" w:color="auto"/>
      </w:divBdr>
    </w:div>
    <w:div w:id="559560284">
      <w:bodyDiv w:val="1"/>
      <w:marLeft w:val="0"/>
      <w:marRight w:val="0"/>
      <w:marTop w:val="0"/>
      <w:marBottom w:val="0"/>
      <w:divBdr>
        <w:top w:val="none" w:sz="0" w:space="0" w:color="auto"/>
        <w:left w:val="none" w:sz="0" w:space="0" w:color="auto"/>
        <w:bottom w:val="none" w:sz="0" w:space="0" w:color="auto"/>
        <w:right w:val="none" w:sz="0" w:space="0" w:color="auto"/>
      </w:divBdr>
    </w:div>
    <w:div w:id="565070796">
      <w:bodyDiv w:val="1"/>
      <w:marLeft w:val="0"/>
      <w:marRight w:val="0"/>
      <w:marTop w:val="0"/>
      <w:marBottom w:val="0"/>
      <w:divBdr>
        <w:top w:val="none" w:sz="0" w:space="0" w:color="auto"/>
        <w:left w:val="none" w:sz="0" w:space="0" w:color="auto"/>
        <w:bottom w:val="none" w:sz="0" w:space="0" w:color="auto"/>
        <w:right w:val="none" w:sz="0" w:space="0" w:color="auto"/>
      </w:divBdr>
    </w:div>
    <w:div w:id="567150313">
      <w:bodyDiv w:val="1"/>
      <w:marLeft w:val="0"/>
      <w:marRight w:val="0"/>
      <w:marTop w:val="0"/>
      <w:marBottom w:val="0"/>
      <w:divBdr>
        <w:top w:val="none" w:sz="0" w:space="0" w:color="auto"/>
        <w:left w:val="none" w:sz="0" w:space="0" w:color="auto"/>
        <w:bottom w:val="none" w:sz="0" w:space="0" w:color="auto"/>
        <w:right w:val="none" w:sz="0" w:space="0" w:color="auto"/>
      </w:divBdr>
    </w:div>
    <w:div w:id="577986195">
      <w:bodyDiv w:val="1"/>
      <w:marLeft w:val="0"/>
      <w:marRight w:val="0"/>
      <w:marTop w:val="0"/>
      <w:marBottom w:val="0"/>
      <w:divBdr>
        <w:top w:val="none" w:sz="0" w:space="0" w:color="auto"/>
        <w:left w:val="none" w:sz="0" w:space="0" w:color="auto"/>
        <w:bottom w:val="none" w:sz="0" w:space="0" w:color="auto"/>
        <w:right w:val="none" w:sz="0" w:space="0" w:color="auto"/>
      </w:divBdr>
    </w:div>
    <w:div w:id="596719880">
      <w:bodyDiv w:val="1"/>
      <w:marLeft w:val="0"/>
      <w:marRight w:val="0"/>
      <w:marTop w:val="0"/>
      <w:marBottom w:val="0"/>
      <w:divBdr>
        <w:top w:val="none" w:sz="0" w:space="0" w:color="auto"/>
        <w:left w:val="none" w:sz="0" w:space="0" w:color="auto"/>
        <w:bottom w:val="none" w:sz="0" w:space="0" w:color="auto"/>
        <w:right w:val="none" w:sz="0" w:space="0" w:color="auto"/>
      </w:divBdr>
    </w:div>
    <w:div w:id="656885094">
      <w:bodyDiv w:val="1"/>
      <w:marLeft w:val="0"/>
      <w:marRight w:val="0"/>
      <w:marTop w:val="0"/>
      <w:marBottom w:val="0"/>
      <w:divBdr>
        <w:top w:val="none" w:sz="0" w:space="0" w:color="auto"/>
        <w:left w:val="none" w:sz="0" w:space="0" w:color="auto"/>
        <w:bottom w:val="none" w:sz="0" w:space="0" w:color="auto"/>
        <w:right w:val="none" w:sz="0" w:space="0" w:color="auto"/>
      </w:divBdr>
    </w:div>
    <w:div w:id="664090618">
      <w:bodyDiv w:val="1"/>
      <w:marLeft w:val="0"/>
      <w:marRight w:val="0"/>
      <w:marTop w:val="0"/>
      <w:marBottom w:val="0"/>
      <w:divBdr>
        <w:top w:val="none" w:sz="0" w:space="0" w:color="auto"/>
        <w:left w:val="none" w:sz="0" w:space="0" w:color="auto"/>
        <w:bottom w:val="none" w:sz="0" w:space="0" w:color="auto"/>
        <w:right w:val="none" w:sz="0" w:space="0" w:color="auto"/>
      </w:divBdr>
    </w:div>
    <w:div w:id="686298660">
      <w:bodyDiv w:val="1"/>
      <w:marLeft w:val="0"/>
      <w:marRight w:val="0"/>
      <w:marTop w:val="0"/>
      <w:marBottom w:val="0"/>
      <w:divBdr>
        <w:top w:val="none" w:sz="0" w:space="0" w:color="auto"/>
        <w:left w:val="none" w:sz="0" w:space="0" w:color="auto"/>
        <w:bottom w:val="none" w:sz="0" w:space="0" w:color="auto"/>
        <w:right w:val="none" w:sz="0" w:space="0" w:color="auto"/>
      </w:divBdr>
    </w:div>
    <w:div w:id="687416548">
      <w:bodyDiv w:val="1"/>
      <w:marLeft w:val="0"/>
      <w:marRight w:val="0"/>
      <w:marTop w:val="0"/>
      <w:marBottom w:val="0"/>
      <w:divBdr>
        <w:top w:val="none" w:sz="0" w:space="0" w:color="auto"/>
        <w:left w:val="none" w:sz="0" w:space="0" w:color="auto"/>
        <w:bottom w:val="none" w:sz="0" w:space="0" w:color="auto"/>
        <w:right w:val="none" w:sz="0" w:space="0" w:color="auto"/>
      </w:divBdr>
    </w:div>
    <w:div w:id="691029805">
      <w:bodyDiv w:val="1"/>
      <w:marLeft w:val="0"/>
      <w:marRight w:val="0"/>
      <w:marTop w:val="0"/>
      <w:marBottom w:val="0"/>
      <w:divBdr>
        <w:top w:val="none" w:sz="0" w:space="0" w:color="auto"/>
        <w:left w:val="none" w:sz="0" w:space="0" w:color="auto"/>
        <w:bottom w:val="none" w:sz="0" w:space="0" w:color="auto"/>
        <w:right w:val="none" w:sz="0" w:space="0" w:color="auto"/>
      </w:divBdr>
    </w:div>
    <w:div w:id="699821612">
      <w:bodyDiv w:val="1"/>
      <w:marLeft w:val="0"/>
      <w:marRight w:val="0"/>
      <w:marTop w:val="0"/>
      <w:marBottom w:val="0"/>
      <w:divBdr>
        <w:top w:val="none" w:sz="0" w:space="0" w:color="auto"/>
        <w:left w:val="none" w:sz="0" w:space="0" w:color="auto"/>
        <w:bottom w:val="none" w:sz="0" w:space="0" w:color="auto"/>
        <w:right w:val="none" w:sz="0" w:space="0" w:color="auto"/>
      </w:divBdr>
    </w:div>
    <w:div w:id="832909875">
      <w:bodyDiv w:val="1"/>
      <w:marLeft w:val="0"/>
      <w:marRight w:val="0"/>
      <w:marTop w:val="0"/>
      <w:marBottom w:val="0"/>
      <w:divBdr>
        <w:top w:val="none" w:sz="0" w:space="0" w:color="auto"/>
        <w:left w:val="none" w:sz="0" w:space="0" w:color="auto"/>
        <w:bottom w:val="none" w:sz="0" w:space="0" w:color="auto"/>
        <w:right w:val="none" w:sz="0" w:space="0" w:color="auto"/>
      </w:divBdr>
    </w:div>
    <w:div w:id="834299920">
      <w:bodyDiv w:val="1"/>
      <w:marLeft w:val="0"/>
      <w:marRight w:val="0"/>
      <w:marTop w:val="0"/>
      <w:marBottom w:val="0"/>
      <w:divBdr>
        <w:top w:val="none" w:sz="0" w:space="0" w:color="auto"/>
        <w:left w:val="none" w:sz="0" w:space="0" w:color="auto"/>
        <w:bottom w:val="none" w:sz="0" w:space="0" w:color="auto"/>
        <w:right w:val="none" w:sz="0" w:space="0" w:color="auto"/>
      </w:divBdr>
    </w:div>
    <w:div w:id="852961094">
      <w:bodyDiv w:val="1"/>
      <w:marLeft w:val="0"/>
      <w:marRight w:val="0"/>
      <w:marTop w:val="0"/>
      <w:marBottom w:val="0"/>
      <w:divBdr>
        <w:top w:val="none" w:sz="0" w:space="0" w:color="auto"/>
        <w:left w:val="none" w:sz="0" w:space="0" w:color="auto"/>
        <w:bottom w:val="none" w:sz="0" w:space="0" w:color="auto"/>
        <w:right w:val="none" w:sz="0" w:space="0" w:color="auto"/>
      </w:divBdr>
    </w:div>
    <w:div w:id="926882771">
      <w:bodyDiv w:val="1"/>
      <w:marLeft w:val="0"/>
      <w:marRight w:val="0"/>
      <w:marTop w:val="0"/>
      <w:marBottom w:val="0"/>
      <w:divBdr>
        <w:top w:val="none" w:sz="0" w:space="0" w:color="auto"/>
        <w:left w:val="none" w:sz="0" w:space="0" w:color="auto"/>
        <w:bottom w:val="none" w:sz="0" w:space="0" w:color="auto"/>
        <w:right w:val="none" w:sz="0" w:space="0" w:color="auto"/>
      </w:divBdr>
    </w:div>
    <w:div w:id="934748963">
      <w:bodyDiv w:val="1"/>
      <w:marLeft w:val="0"/>
      <w:marRight w:val="0"/>
      <w:marTop w:val="0"/>
      <w:marBottom w:val="0"/>
      <w:divBdr>
        <w:top w:val="none" w:sz="0" w:space="0" w:color="auto"/>
        <w:left w:val="none" w:sz="0" w:space="0" w:color="auto"/>
        <w:bottom w:val="none" w:sz="0" w:space="0" w:color="auto"/>
        <w:right w:val="none" w:sz="0" w:space="0" w:color="auto"/>
      </w:divBdr>
    </w:div>
    <w:div w:id="969478325">
      <w:bodyDiv w:val="1"/>
      <w:marLeft w:val="0"/>
      <w:marRight w:val="0"/>
      <w:marTop w:val="0"/>
      <w:marBottom w:val="0"/>
      <w:divBdr>
        <w:top w:val="none" w:sz="0" w:space="0" w:color="auto"/>
        <w:left w:val="none" w:sz="0" w:space="0" w:color="auto"/>
        <w:bottom w:val="none" w:sz="0" w:space="0" w:color="auto"/>
        <w:right w:val="none" w:sz="0" w:space="0" w:color="auto"/>
      </w:divBdr>
    </w:div>
    <w:div w:id="981544023">
      <w:bodyDiv w:val="1"/>
      <w:marLeft w:val="0"/>
      <w:marRight w:val="0"/>
      <w:marTop w:val="0"/>
      <w:marBottom w:val="0"/>
      <w:divBdr>
        <w:top w:val="none" w:sz="0" w:space="0" w:color="auto"/>
        <w:left w:val="none" w:sz="0" w:space="0" w:color="auto"/>
        <w:bottom w:val="none" w:sz="0" w:space="0" w:color="auto"/>
        <w:right w:val="none" w:sz="0" w:space="0" w:color="auto"/>
      </w:divBdr>
    </w:div>
    <w:div w:id="984823112">
      <w:bodyDiv w:val="1"/>
      <w:marLeft w:val="0"/>
      <w:marRight w:val="0"/>
      <w:marTop w:val="0"/>
      <w:marBottom w:val="0"/>
      <w:divBdr>
        <w:top w:val="none" w:sz="0" w:space="0" w:color="auto"/>
        <w:left w:val="none" w:sz="0" w:space="0" w:color="auto"/>
        <w:bottom w:val="none" w:sz="0" w:space="0" w:color="auto"/>
        <w:right w:val="none" w:sz="0" w:space="0" w:color="auto"/>
      </w:divBdr>
    </w:div>
    <w:div w:id="1028334923">
      <w:bodyDiv w:val="1"/>
      <w:marLeft w:val="0"/>
      <w:marRight w:val="0"/>
      <w:marTop w:val="0"/>
      <w:marBottom w:val="0"/>
      <w:divBdr>
        <w:top w:val="none" w:sz="0" w:space="0" w:color="auto"/>
        <w:left w:val="none" w:sz="0" w:space="0" w:color="auto"/>
        <w:bottom w:val="none" w:sz="0" w:space="0" w:color="auto"/>
        <w:right w:val="none" w:sz="0" w:space="0" w:color="auto"/>
      </w:divBdr>
    </w:div>
    <w:div w:id="1095783386">
      <w:bodyDiv w:val="1"/>
      <w:marLeft w:val="0"/>
      <w:marRight w:val="0"/>
      <w:marTop w:val="0"/>
      <w:marBottom w:val="0"/>
      <w:divBdr>
        <w:top w:val="none" w:sz="0" w:space="0" w:color="auto"/>
        <w:left w:val="none" w:sz="0" w:space="0" w:color="auto"/>
        <w:bottom w:val="none" w:sz="0" w:space="0" w:color="auto"/>
        <w:right w:val="none" w:sz="0" w:space="0" w:color="auto"/>
      </w:divBdr>
    </w:div>
    <w:div w:id="1118646058">
      <w:bodyDiv w:val="1"/>
      <w:marLeft w:val="0"/>
      <w:marRight w:val="0"/>
      <w:marTop w:val="0"/>
      <w:marBottom w:val="0"/>
      <w:divBdr>
        <w:top w:val="none" w:sz="0" w:space="0" w:color="auto"/>
        <w:left w:val="none" w:sz="0" w:space="0" w:color="auto"/>
        <w:bottom w:val="none" w:sz="0" w:space="0" w:color="auto"/>
        <w:right w:val="none" w:sz="0" w:space="0" w:color="auto"/>
      </w:divBdr>
    </w:div>
    <w:div w:id="1170948556">
      <w:bodyDiv w:val="1"/>
      <w:marLeft w:val="0"/>
      <w:marRight w:val="0"/>
      <w:marTop w:val="0"/>
      <w:marBottom w:val="0"/>
      <w:divBdr>
        <w:top w:val="none" w:sz="0" w:space="0" w:color="auto"/>
        <w:left w:val="none" w:sz="0" w:space="0" w:color="auto"/>
        <w:bottom w:val="none" w:sz="0" w:space="0" w:color="auto"/>
        <w:right w:val="none" w:sz="0" w:space="0" w:color="auto"/>
      </w:divBdr>
    </w:div>
    <w:div w:id="1176724986">
      <w:bodyDiv w:val="1"/>
      <w:marLeft w:val="0"/>
      <w:marRight w:val="0"/>
      <w:marTop w:val="0"/>
      <w:marBottom w:val="0"/>
      <w:divBdr>
        <w:top w:val="none" w:sz="0" w:space="0" w:color="auto"/>
        <w:left w:val="none" w:sz="0" w:space="0" w:color="auto"/>
        <w:bottom w:val="none" w:sz="0" w:space="0" w:color="auto"/>
        <w:right w:val="none" w:sz="0" w:space="0" w:color="auto"/>
      </w:divBdr>
    </w:div>
    <w:div w:id="1191607376">
      <w:bodyDiv w:val="1"/>
      <w:marLeft w:val="0"/>
      <w:marRight w:val="0"/>
      <w:marTop w:val="0"/>
      <w:marBottom w:val="0"/>
      <w:divBdr>
        <w:top w:val="none" w:sz="0" w:space="0" w:color="auto"/>
        <w:left w:val="none" w:sz="0" w:space="0" w:color="auto"/>
        <w:bottom w:val="none" w:sz="0" w:space="0" w:color="auto"/>
        <w:right w:val="none" w:sz="0" w:space="0" w:color="auto"/>
      </w:divBdr>
    </w:div>
    <w:div w:id="1202550658">
      <w:bodyDiv w:val="1"/>
      <w:marLeft w:val="0"/>
      <w:marRight w:val="0"/>
      <w:marTop w:val="0"/>
      <w:marBottom w:val="0"/>
      <w:divBdr>
        <w:top w:val="none" w:sz="0" w:space="0" w:color="auto"/>
        <w:left w:val="none" w:sz="0" w:space="0" w:color="auto"/>
        <w:bottom w:val="none" w:sz="0" w:space="0" w:color="auto"/>
        <w:right w:val="none" w:sz="0" w:space="0" w:color="auto"/>
      </w:divBdr>
    </w:div>
    <w:div w:id="1247029863">
      <w:bodyDiv w:val="1"/>
      <w:marLeft w:val="0"/>
      <w:marRight w:val="0"/>
      <w:marTop w:val="0"/>
      <w:marBottom w:val="0"/>
      <w:divBdr>
        <w:top w:val="none" w:sz="0" w:space="0" w:color="auto"/>
        <w:left w:val="none" w:sz="0" w:space="0" w:color="auto"/>
        <w:bottom w:val="none" w:sz="0" w:space="0" w:color="auto"/>
        <w:right w:val="none" w:sz="0" w:space="0" w:color="auto"/>
      </w:divBdr>
    </w:div>
    <w:div w:id="1285817102">
      <w:bodyDiv w:val="1"/>
      <w:marLeft w:val="0"/>
      <w:marRight w:val="0"/>
      <w:marTop w:val="0"/>
      <w:marBottom w:val="0"/>
      <w:divBdr>
        <w:top w:val="none" w:sz="0" w:space="0" w:color="auto"/>
        <w:left w:val="none" w:sz="0" w:space="0" w:color="auto"/>
        <w:bottom w:val="none" w:sz="0" w:space="0" w:color="auto"/>
        <w:right w:val="none" w:sz="0" w:space="0" w:color="auto"/>
      </w:divBdr>
    </w:div>
    <w:div w:id="1291589727">
      <w:bodyDiv w:val="1"/>
      <w:marLeft w:val="0"/>
      <w:marRight w:val="0"/>
      <w:marTop w:val="0"/>
      <w:marBottom w:val="0"/>
      <w:divBdr>
        <w:top w:val="none" w:sz="0" w:space="0" w:color="auto"/>
        <w:left w:val="none" w:sz="0" w:space="0" w:color="auto"/>
        <w:bottom w:val="none" w:sz="0" w:space="0" w:color="auto"/>
        <w:right w:val="none" w:sz="0" w:space="0" w:color="auto"/>
      </w:divBdr>
    </w:div>
    <w:div w:id="1310860371">
      <w:bodyDiv w:val="1"/>
      <w:marLeft w:val="0"/>
      <w:marRight w:val="0"/>
      <w:marTop w:val="0"/>
      <w:marBottom w:val="0"/>
      <w:divBdr>
        <w:top w:val="none" w:sz="0" w:space="0" w:color="auto"/>
        <w:left w:val="none" w:sz="0" w:space="0" w:color="auto"/>
        <w:bottom w:val="none" w:sz="0" w:space="0" w:color="auto"/>
        <w:right w:val="none" w:sz="0" w:space="0" w:color="auto"/>
      </w:divBdr>
    </w:div>
    <w:div w:id="1327395818">
      <w:bodyDiv w:val="1"/>
      <w:marLeft w:val="0"/>
      <w:marRight w:val="0"/>
      <w:marTop w:val="0"/>
      <w:marBottom w:val="0"/>
      <w:divBdr>
        <w:top w:val="none" w:sz="0" w:space="0" w:color="auto"/>
        <w:left w:val="none" w:sz="0" w:space="0" w:color="auto"/>
        <w:bottom w:val="none" w:sz="0" w:space="0" w:color="auto"/>
        <w:right w:val="none" w:sz="0" w:space="0" w:color="auto"/>
      </w:divBdr>
    </w:div>
    <w:div w:id="1337339022">
      <w:bodyDiv w:val="1"/>
      <w:marLeft w:val="0"/>
      <w:marRight w:val="0"/>
      <w:marTop w:val="0"/>
      <w:marBottom w:val="0"/>
      <w:divBdr>
        <w:top w:val="none" w:sz="0" w:space="0" w:color="auto"/>
        <w:left w:val="none" w:sz="0" w:space="0" w:color="auto"/>
        <w:bottom w:val="none" w:sz="0" w:space="0" w:color="auto"/>
        <w:right w:val="none" w:sz="0" w:space="0" w:color="auto"/>
      </w:divBdr>
    </w:div>
    <w:div w:id="1352537620">
      <w:bodyDiv w:val="1"/>
      <w:marLeft w:val="0"/>
      <w:marRight w:val="0"/>
      <w:marTop w:val="0"/>
      <w:marBottom w:val="0"/>
      <w:divBdr>
        <w:top w:val="none" w:sz="0" w:space="0" w:color="auto"/>
        <w:left w:val="none" w:sz="0" w:space="0" w:color="auto"/>
        <w:bottom w:val="none" w:sz="0" w:space="0" w:color="auto"/>
        <w:right w:val="none" w:sz="0" w:space="0" w:color="auto"/>
      </w:divBdr>
    </w:div>
    <w:div w:id="1364016838">
      <w:bodyDiv w:val="1"/>
      <w:marLeft w:val="0"/>
      <w:marRight w:val="0"/>
      <w:marTop w:val="0"/>
      <w:marBottom w:val="0"/>
      <w:divBdr>
        <w:top w:val="none" w:sz="0" w:space="0" w:color="auto"/>
        <w:left w:val="none" w:sz="0" w:space="0" w:color="auto"/>
        <w:bottom w:val="none" w:sz="0" w:space="0" w:color="auto"/>
        <w:right w:val="none" w:sz="0" w:space="0" w:color="auto"/>
      </w:divBdr>
    </w:div>
    <w:div w:id="1366174668">
      <w:bodyDiv w:val="1"/>
      <w:marLeft w:val="0"/>
      <w:marRight w:val="0"/>
      <w:marTop w:val="0"/>
      <w:marBottom w:val="0"/>
      <w:divBdr>
        <w:top w:val="none" w:sz="0" w:space="0" w:color="auto"/>
        <w:left w:val="none" w:sz="0" w:space="0" w:color="auto"/>
        <w:bottom w:val="none" w:sz="0" w:space="0" w:color="auto"/>
        <w:right w:val="none" w:sz="0" w:space="0" w:color="auto"/>
      </w:divBdr>
    </w:div>
    <w:div w:id="1392534943">
      <w:bodyDiv w:val="1"/>
      <w:marLeft w:val="0"/>
      <w:marRight w:val="0"/>
      <w:marTop w:val="0"/>
      <w:marBottom w:val="0"/>
      <w:divBdr>
        <w:top w:val="none" w:sz="0" w:space="0" w:color="auto"/>
        <w:left w:val="none" w:sz="0" w:space="0" w:color="auto"/>
        <w:bottom w:val="none" w:sz="0" w:space="0" w:color="auto"/>
        <w:right w:val="none" w:sz="0" w:space="0" w:color="auto"/>
      </w:divBdr>
    </w:div>
    <w:div w:id="1399399803">
      <w:bodyDiv w:val="1"/>
      <w:marLeft w:val="0"/>
      <w:marRight w:val="0"/>
      <w:marTop w:val="0"/>
      <w:marBottom w:val="0"/>
      <w:divBdr>
        <w:top w:val="none" w:sz="0" w:space="0" w:color="auto"/>
        <w:left w:val="none" w:sz="0" w:space="0" w:color="auto"/>
        <w:bottom w:val="none" w:sz="0" w:space="0" w:color="auto"/>
        <w:right w:val="none" w:sz="0" w:space="0" w:color="auto"/>
      </w:divBdr>
    </w:div>
    <w:div w:id="1452047889">
      <w:bodyDiv w:val="1"/>
      <w:marLeft w:val="0"/>
      <w:marRight w:val="0"/>
      <w:marTop w:val="0"/>
      <w:marBottom w:val="0"/>
      <w:divBdr>
        <w:top w:val="none" w:sz="0" w:space="0" w:color="auto"/>
        <w:left w:val="none" w:sz="0" w:space="0" w:color="auto"/>
        <w:bottom w:val="none" w:sz="0" w:space="0" w:color="auto"/>
        <w:right w:val="none" w:sz="0" w:space="0" w:color="auto"/>
      </w:divBdr>
    </w:div>
    <w:div w:id="1463384705">
      <w:bodyDiv w:val="1"/>
      <w:marLeft w:val="0"/>
      <w:marRight w:val="0"/>
      <w:marTop w:val="0"/>
      <w:marBottom w:val="0"/>
      <w:divBdr>
        <w:top w:val="none" w:sz="0" w:space="0" w:color="auto"/>
        <w:left w:val="none" w:sz="0" w:space="0" w:color="auto"/>
        <w:bottom w:val="none" w:sz="0" w:space="0" w:color="auto"/>
        <w:right w:val="none" w:sz="0" w:space="0" w:color="auto"/>
      </w:divBdr>
    </w:div>
    <w:div w:id="1487864259">
      <w:bodyDiv w:val="1"/>
      <w:marLeft w:val="0"/>
      <w:marRight w:val="0"/>
      <w:marTop w:val="0"/>
      <w:marBottom w:val="0"/>
      <w:divBdr>
        <w:top w:val="none" w:sz="0" w:space="0" w:color="auto"/>
        <w:left w:val="none" w:sz="0" w:space="0" w:color="auto"/>
        <w:bottom w:val="none" w:sz="0" w:space="0" w:color="auto"/>
        <w:right w:val="none" w:sz="0" w:space="0" w:color="auto"/>
      </w:divBdr>
    </w:div>
    <w:div w:id="1529370528">
      <w:bodyDiv w:val="1"/>
      <w:marLeft w:val="0"/>
      <w:marRight w:val="0"/>
      <w:marTop w:val="0"/>
      <w:marBottom w:val="0"/>
      <w:divBdr>
        <w:top w:val="none" w:sz="0" w:space="0" w:color="auto"/>
        <w:left w:val="none" w:sz="0" w:space="0" w:color="auto"/>
        <w:bottom w:val="none" w:sz="0" w:space="0" w:color="auto"/>
        <w:right w:val="none" w:sz="0" w:space="0" w:color="auto"/>
      </w:divBdr>
    </w:div>
    <w:div w:id="1594704826">
      <w:bodyDiv w:val="1"/>
      <w:marLeft w:val="0"/>
      <w:marRight w:val="0"/>
      <w:marTop w:val="0"/>
      <w:marBottom w:val="0"/>
      <w:divBdr>
        <w:top w:val="none" w:sz="0" w:space="0" w:color="auto"/>
        <w:left w:val="none" w:sz="0" w:space="0" w:color="auto"/>
        <w:bottom w:val="none" w:sz="0" w:space="0" w:color="auto"/>
        <w:right w:val="none" w:sz="0" w:space="0" w:color="auto"/>
      </w:divBdr>
    </w:div>
    <w:div w:id="1608538042">
      <w:bodyDiv w:val="1"/>
      <w:marLeft w:val="0"/>
      <w:marRight w:val="0"/>
      <w:marTop w:val="0"/>
      <w:marBottom w:val="0"/>
      <w:divBdr>
        <w:top w:val="none" w:sz="0" w:space="0" w:color="auto"/>
        <w:left w:val="none" w:sz="0" w:space="0" w:color="auto"/>
        <w:bottom w:val="none" w:sz="0" w:space="0" w:color="auto"/>
        <w:right w:val="none" w:sz="0" w:space="0" w:color="auto"/>
      </w:divBdr>
    </w:div>
    <w:div w:id="1647197205">
      <w:bodyDiv w:val="1"/>
      <w:marLeft w:val="0"/>
      <w:marRight w:val="0"/>
      <w:marTop w:val="0"/>
      <w:marBottom w:val="0"/>
      <w:divBdr>
        <w:top w:val="none" w:sz="0" w:space="0" w:color="auto"/>
        <w:left w:val="none" w:sz="0" w:space="0" w:color="auto"/>
        <w:bottom w:val="none" w:sz="0" w:space="0" w:color="auto"/>
        <w:right w:val="none" w:sz="0" w:space="0" w:color="auto"/>
      </w:divBdr>
    </w:div>
    <w:div w:id="1648852232">
      <w:bodyDiv w:val="1"/>
      <w:marLeft w:val="0"/>
      <w:marRight w:val="0"/>
      <w:marTop w:val="0"/>
      <w:marBottom w:val="0"/>
      <w:divBdr>
        <w:top w:val="none" w:sz="0" w:space="0" w:color="auto"/>
        <w:left w:val="none" w:sz="0" w:space="0" w:color="auto"/>
        <w:bottom w:val="none" w:sz="0" w:space="0" w:color="auto"/>
        <w:right w:val="none" w:sz="0" w:space="0" w:color="auto"/>
      </w:divBdr>
    </w:div>
    <w:div w:id="1658147424">
      <w:bodyDiv w:val="1"/>
      <w:marLeft w:val="0"/>
      <w:marRight w:val="0"/>
      <w:marTop w:val="0"/>
      <w:marBottom w:val="0"/>
      <w:divBdr>
        <w:top w:val="none" w:sz="0" w:space="0" w:color="auto"/>
        <w:left w:val="none" w:sz="0" w:space="0" w:color="auto"/>
        <w:bottom w:val="none" w:sz="0" w:space="0" w:color="auto"/>
        <w:right w:val="none" w:sz="0" w:space="0" w:color="auto"/>
      </w:divBdr>
    </w:div>
    <w:div w:id="1778023189">
      <w:bodyDiv w:val="1"/>
      <w:marLeft w:val="0"/>
      <w:marRight w:val="0"/>
      <w:marTop w:val="0"/>
      <w:marBottom w:val="0"/>
      <w:divBdr>
        <w:top w:val="none" w:sz="0" w:space="0" w:color="auto"/>
        <w:left w:val="none" w:sz="0" w:space="0" w:color="auto"/>
        <w:bottom w:val="none" w:sz="0" w:space="0" w:color="auto"/>
        <w:right w:val="none" w:sz="0" w:space="0" w:color="auto"/>
      </w:divBdr>
    </w:div>
    <w:div w:id="1784373798">
      <w:bodyDiv w:val="1"/>
      <w:marLeft w:val="0"/>
      <w:marRight w:val="0"/>
      <w:marTop w:val="0"/>
      <w:marBottom w:val="0"/>
      <w:divBdr>
        <w:top w:val="none" w:sz="0" w:space="0" w:color="auto"/>
        <w:left w:val="none" w:sz="0" w:space="0" w:color="auto"/>
        <w:bottom w:val="none" w:sz="0" w:space="0" w:color="auto"/>
        <w:right w:val="none" w:sz="0" w:space="0" w:color="auto"/>
      </w:divBdr>
    </w:div>
    <w:div w:id="1803570081">
      <w:bodyDiv w:val="1"/>
      <w:marLeft w:val="0"/>
      <w:marRight w:val="0"/>
      <w:marTop w:val="0"/>
      <w:marBottom w:val="0"/>
      <w:divBdr>
        <w:top w:val="none" w:sz="0" w:space="0" w:color="auto"/>
        <w:left w:val="none" w:sz="0" w:space="0" w:color="auto"/>
        <w:bottom w:val="none" w:sz="0" w:space="0" w:color="auto"/>
        <w:right w:val="none" w:sz="0" w:space="0" w:color="auto"/>
      </w:divBdr>
    </w:div>
    <w:div w:id="1819493914">
      <w:bodyDiv w:val="1"/>
      <w:marLeft w:val="0"/>
      <w:marRight w:val="0"/>
      <w:marTop w:val="0"/>
      <w:marBottom w:val="0"/>
      <w:divBdr>
        <w:top w:val="none" w:sz="0" w:space="0" w:color="auto"/>
        <w:left w:val="none" w:sz="0" w:space="0" w:color="auto"/>
        <w:bottom w:val="none" w:sz="0" w:space="0" w:color="auto"/>
        <w:right w:val="none" w:sz="0" w:space="0" w:color="auto"/>
      </w:divBdr>
    </w:div>
    <w:div w:id="1823043664">
      <w:bodyDiv w:val="1"/>
      <w:marLeft w:val="0"/>
      <w:marRight w:val="0"/>
      <w:marTop w:val="0"/>
      <w:marBottom w:val="0"/>
      <w:divBdr>
        <w:top w:val="none" w:sz="0" w:space="0" w:color="auto"/>
        <w:left w:val="none" w:sz="0" w:space="0" w:color="auto"/>
        <w:bottom w:val="none" w:sz="0" w:space="0" w:color="auto"/>
        <w:right w:val="none" w:sz="0" w:space="0" w:color="auto"/>
      </w:divBdr>
    </w:div>
    <w:div w:id="1855878780">
      <w:bodyDiv w:val="1"/>
      <w:marLeft w:val="0"/>
      <w:marRight w:val="0"/>
      <w:marTop w:val="0"/>
      <w:marBottom w:val="0"/>
      <w:divBdr>
        <w:top w:val="none" w:sz="0" w:space="0" w:color="auto"/>
        <w:left w:val="none" w:sz="0" w:space="0" w:color="auto"/>
        <w:bottom w:val="none" w:sz="0" w:space="0" w:color="auto"/>
        <w:right w:val="none" w:sz="0" w:space="0" w:color="auto"/>
      </w:divBdr>
    </w:div>
    <w:div w:id="1881475683">
      <w:bodyDiv w:val="1"/>
      <w:marLeft w:val="0"/>
      <w:marRight w:val="0"/>
      <w:marTop w:val="0"/>
      <w:marBottom w:val="0"/>
      <w:divBdr>
        <w:top w:val="none" w:sz="0" w:space="0" w:color="auto"/>
        <w:left w:val="none" w:sz="0" w:space="0" w:color="auto"/>
        <w:bottom w:val="none" w:sz="0" w:space="0" w:color="auto"/>
        <w:right w:val="none" w:sz="0" w:space="0" w:color="auto"/>
      </w:divBdr>
    </w:div>
    <w:div w:id="1890533293">
      <w:bodyDiv w:val="1"/>
      <w:marLeft w:val="0"/>
      <w:marRight w:val="0"/>
      <w:marTop w:val="0"/>
      <w:marBottom w:val="0"/>
      <w:divBdr>
        <w:top w:val="none" w:sz="0" w:space="0" w:color="auto"/>
        <w:left w:val="none" w:sz="0" w:space="0" w:color="auto"/>
        <w:bottom w:val="none" w:sz="0" w:space="0" w:color="auto"/>
        <w:right w:val="none" w:sz="0" w:space="0" w:color="auto"/>
      </w:divBdr>
    </w:div>
    <w:div w:id="1947731504">
      <w:bodyDiv w:val="1"/>
      <w:marLeft w:val="0"/>
      <w:marRight w:val="0"/>
      <w:marTop w:val="0"/>
      <w:marBottom w:val="0"/>
      <w:divBdr>
        <w:top w:val="none" w:sz="0" w:space="0" w:color="auto"/>
        <w:left w:val="none" w:sz="0" w:space="0" w:color="auto"/>
        <w:bottom w:val="none" w:sz="0" w:space="0" w:color="auto"/>
        <w:right w:val="none" w:sz="0" w:space="0" w:color="auto"/>
      </w:divBdr>
    </w:div>
    <w:div w:id="1951663654">
      <w:bodyDiv w:val="1"/>
      <w:marLeft w:val="0"/>
      <w:marRight w:val="0"/>
      <w:marTop w:val="0"/>
      <w:marBottom w:val="0"/>
      <w:divBdr>
        <w:top w:val="none" w:sz="0" w:space="0" w:color="auto"/>
        <w:left w:val="none" w:sz="0" w:space="0" w:color="auto"/>
        <w:bottom w:val="none" w:sz="0" w:space="0" w:color="auto"/>
        <w:right w:val="none" w:sz="0" w:space="0" w:color="auto"/>
      </w:divBdr>
    </w:div>
    <w:div w:id="1956515859">
      <w:bodyDiv w:val="1"/>
      <w:marLeft w:val="0"/>
      <w:marRight w:val="0"/>
      <w:marTop w:val="0"/>
      <w:marBottom w:val="0"/>
      <w:divBdr>
        <w:top w:val="none" w:sz="0" w:space="0" w:color="auto"/>
        <w:left w:val="none" w:sz="0" w:space="0" w:color="auto"/>
        <w:bottom w:val="none" w:sz="0" w:space="0" w:color="auto"/>
        <w:right w:val="none" w:sz="0" w:space="0" w:color="auto"/>
      </w:divBdr>
    </w:div>
    <w:div w:id="1977907465">
      <w:bodyDiv w:val="1"/>
      <w:marLeft w:val="0"/>
      <w:marRight w:val="0"/>
      <w:marTop w:val="0"/>
      <w:marBottom w:val="0"/>
      <w:divBdr>
        <w:top w:val="none" w:sz="0" w:space="0" w:color="auto"/>
        <w:left w:val="none" w:sz="0" w:space="0" w:color="auto"/>
        <w:bottom w:val="none" w:sz="0" w:space="0" w:color="auto"/>
        <w:right w:val="none" w:sz="0" w:space="0" w:color="auto"/>
      </w:divBdr>
    </w:div>
    <w:div w:id="2036224722">
      <w:bodyDiv w:val="1"/>
      <w:marLeft w:val="0"/>
      <w:marRight w:val="0"/>
      <w:marTop w:val="0"/>
      <w:marBottom w:val="0"/>
      <w:divBdr>
        <w:top w:val="none" w:sz="0" w:space="0" w:color="auto"/>
        <w:left w:val="none" w:sz="0" w:space="0" w:color="auto"/>
        <w:bottom w:val="none" w:sz="0" w:space="0" w:color="auto"/>
        <w:right w:val="none" w:sz="0" w:space="0" w:color="auto"/>
      </w:divBdr>
    </w:div>
    <w:div w:id="2036618720">
      <w:bodyDiv w:val="1"/>
      <w:marLeft w:val="0"/>
      <w:marRight w:val="0"/>
      <w:marTop w:val="0"/>
      <w:marBottom w:val="0"/>
      <w:divBdr>
        <w:top w:val="none" w:sz="0" w:space="0" w:color="auto"/>
        <w:left w:val="none" w:sz="0" w:space="0" w:color="auto"/>
        <w:bottom w:val="none" w:sz="0" w:space="0" w:color="auto"/>
        <w:right w:val="none" w:sz="0" w:space="0" w:color="auto"/>
      </w:divBdr>
    </w:div>
    <w:div w:id="2044137828">
      <w:bodyDiv w:val="1"/>
      <w:marLeft w:val="0"/>
      <w:marRight w:val="0"/>
      <w:marTop w:val="0"/>
      <w:marBottom w:val="0"/>
      <w:divBdr>
        <w:top w:val="none" w:sz="0" w:space="0" w:color="auto"/>
        <w:left w:val="none" w:sz="0" w:space="0" w:color="auto"/>
        <w:bottom w:val="none" w:sz="0" w:space="0" w:color="auto"/>
        <w:right w:val="none" w:sz="0" w:space="0" w:color="auto"/>
      </w:divBdr>
    </w:div>
    <w:div w:id="210306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doi.org/10.1093/cjres/rsab029" TargetMode="External"/><Relationship Id="rId47" Type="http://schemas.openxmlformats.org/officeDocument/2006/relationships/hyperlink" Target="https://www.cengage.com/strategic-management-hitt-14e" TargetMode="External"/><Relationship Id="rId63" Type="http://schemas.openxmlformats.org/officeDocument/2006/relationships/hyperlink" Target="https://www.theculturefactor.com/country-comparison-tool?countries=morocco%2Cunited+kingdom" TargetMode="External"/><Relationship Id="rId68" Type="http://schemas.openxmlformats.org/officeDocument/2006/relationships/hyperlink" Target="https://www.researchgate.net/publication/282849367_Production_Development_within_China_Cultural_Difference_within_International_Joint_Ventures" TargetMode="External"/><Relationship Id="rId2" Type="http://schemas.openxmlformats.org/officeDocument/2006/relationships/numbering" Target="numbering.xml"/><Relationship Id="rId16" Type="http://schemas.openxmlformats.org/officeDocument/2006/relationships/image" Target="media/image8.gif"/><Relationship Id="rId29" Type="http://schemas.openxmlformats.org/officeDocument/2006/relationships/hyperlink" Target="https://www.afdb.org/en/documents/north-africa-economic-outlook-2023" TargetMode="External"/><Relationship Id="rId11" Type="http://schemas.openxmlformats.org/officeDocument/2006/relationships/chart" Target="charts/chart1.xml"/><Relationship Id="rId24" Type="http://schemas.openxmlformats.org/officeDocument/2006/relationships/image" Target="media/image16.png"/><Relationship Id="rId32" Type="http://schemas.openxmlformats.org/officeDocument/2006/relationships/hyperlink" Target="https://doi.org/10.1016/j.jbusres.2023.114188" TargetMode="External"/><Relationship Id="rId37" Type="http://schemas.openxmlformats.org/officeDocument/2006/relationships/hyperlink" Target="https://find-and-update.company-information.service.gov.uk/company/02826734" TargetMode="External"/><Relationship Id="rId40" Type="http://schemas.openxmlformats.org/officeDocument/2006/relationships/hyperlink" Target="https://www.eltaautomotive.com/" TargetMode="External"/><Relationship Id="rId45" Type="http://schemas.openxmlformats.org/officeDocument/2006/relationships/hyperlink" Target="https://papers.ssrn.com/sol3/papers.cfm?abstract_id=3765758" TargetMode="External"/><Relationship Id="rId53" Type="http://schemas.openxmlformats.org/officeDocument/2006/relationships/hyperlink" Target="https://globalization.stern.nyu.edu/cage?country=MAR&amp;indicator=HS8708" TargetMode="External"/><Relationship Id="rId58" Type="http://schemas.openxmlformats.org/officeDocument/2006/relationships/hyperlink" Target="https://www.researchgate.net/figure/Porters-generic-strategies_fig1_333118406" TargetMode="External"/><Relationship Id="rId66" Type="http://schemas.openxmlformats.org/officeDocument/2006/relationships/hyperlink" Target="https://www.gov.uk/government/publications/overseas-business-risk-morocco/overseas-business-risk-morocco" TargetMode="External"/><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industrial-estate.gov.ma/fiche-zone.php?id=305&amp;lang=en"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doi.org/10.1108/IJPDLM-02-2019-0038" TargetMode="External"/><Relationship Id="rId35" Type="http://schemas.openxmlformats.org/officeDocument/2006/relationships/hyperlink" Target="https://doi.org/10.1016/j.jclepro.2023.136930" TargetMode="External"/><Relationship Id="rId43" Type="http://schemas.openxmlformats.org/officeDocument/2006/relationships/hyperlink" Target="https://hbr.org/2001/09/distance-still-matters" TargetMode="External"/><Relationship Id="rId48" Type="http://schemas.openxmlformats.org/officeDocument/2006/relationships/hyperlink" Target="https://www.imf.org/en/Publications/CR/Issues/2024/05/01/Morocco-2024-Article-IV-Consultation-Review-Under-the-Flexible-Credit-Line-Arrangement-548442" TargetMode="External"/><Relationship Id="rId56" Type="http://schemas.openxmlformats.org/officeDocument/2006/relationships/hyperlink" Target="https://onlinelibrary.wiley.com/doi/full/10.1002/joe.22250" TargetMode="External"/><Relationship Id="rId64" Type="http://schemas.openxmlformats.org/officeDocument/2006/relationships/hyperlink" Target="https://www.thestrategyinstitute.org/insights/the-ansoff-matrix-a-powerful-tool-for-business-strategy-and-growth" TargetMode="External"/><Relationship Id="rId69" Type="http://schemas.openxmlformats.org/officeDocument/2006/relationships/hyperlink" Target="https://lpi.worldbank.org/" TargetMode="External"/><Relationship Id="rId8" Type="http://schemas.openxmlformats.org/officeDocument/2006/relationships/image" Target="media/image1.png"/><Relationship Id="rId51" Type="http://schemas.openxmlformats.org/officeDocument/2006/relationships/hyperlink" Target="https://doi.org/10.1016/j.jbusres.2024.11461" TargetMode="External"/><Relationship Id="rId72" Type="http://schemas.openxmlformats.org/officeDocument/2006/relationships/hyperlink" Target="https://comtradeplus.un.org/"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oi.org/10.1177/014920639101700108" TargetMode="External"/><Relationship Id="rId38" Type="http://schemas.openxmlformats.org/officeDocument/2006/relationships/hyperlink" Target="https://www.e3s-conferences.org/articles/e3sconf/pdf/2024/57/e3sconf_joe4_01001.pdf" TargetMode="External"/><Relationship Id="rId46" Type="http://schemas.openxmlformats.org/officeDocument/2006/relationships/hyperlink" Target="https://doi.org/10.1016/j.jbusres.2023.114252" TargetMode="External"/><Relationship Id="rId59" Type="http://schemas.openxmlformats.org/officeDocument/2006/relationships/hyperlink" Target="https://hbr.org/1990/03/the-competitive-advantage-of-nations" TargetMode="External"/><Relationship Id="rId67" Type="http://schemas.openxmlformats.org/officeDocument/2006/relationships/hyperlink" Target="https://www.gov.uk/government/publications/overseas-business-risk-morocco/overseas-business-risk-morocco" TargetMode="External"/><Relationship Id="rId20" Type="http://schemas.openxmlformats.org/officeDocument/2006/relationships/image" Target="media/image12.png"/><Relationship Id="rId41" Type="http://schemas.openxmlformats.org/officeDocument/2006/relationships/hyperlink" Target="https://app.powerbi.com" TargetMode="External"/><Relationship Id="rId54" Type="http://schemas.openxmlformats.org/officeDocument/2006/relationships/hyperlink" Target="https://oica.net/2024-production-statistics/" TargetMode="External"/><Relationship Id="rId62" Type="http://schemas.openxmlformats.org/officeDocument/2006/relationships/hyperlink" Target="https://doi.org/10.1016/j.heliyon.2023.e14560" TargetMode="External"/><Relationship Id="rId70" Type="http://schemas.openxmlformats.org/officeDocument/2006/relationships/hyperlink" Target="https://documents1.worldbank.org/curated/en/099942003212584239/pdf/IDU-f31b9294-4e94-460c-904e-326e75368a2a.pdf"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hyperlink" Target="https://www.coface.com/news-economy-and-insights/business-risk-dashboard/country-risk-files/morocco" TargetMode="External"/><Relationship Id="rId49" Type="http://schemas.openxmlformats.org/officeDocument/2006/relationships/hyperlink" Target="https://doi.org/10.1108/MD-08-2020-1086" TargetMode="External"/><Relationship Id="rId57" Type="http://schemas.openxmlformats.org/officeDocument/2006/relationships/hyperlink" Target="https://www.policycenter.ma/sites/default/files/2024-01/RP_03-24%20%28Najib%20Ilham%20%26%20Eduardo%20Haddad%29.pdf" TargetMode="External"/><Relationship Id="rId10" Type="http://schemas.openxmlformats.org/officeDocument/2006/relationships/image" Target="media/image3.png"/><Relationship Id="rId31" Type="http://schemas.openxmlformats.org/officeDocument/2006/relationships/hyperlink" Target="https://www.policycenter.ma/sites/default/files/2023-05/PP_09-23_AMACHRAA.pdf" TargetMode="External"/><Relationship Id="rId44" Type="http://schemas.openxmlformats.org/officeDocument/2006/relationships/hyperlink" Target="https://hbr.org" TargetMode="External"/><Relationship Id="rId52" Type="http://schemas.openxmlformats.org/officeDocument/2006/relationships/hyperlink" Target="https://www.hcp.ma/" TargetMode="External"/><Relationship Id="rId60" Type="http://schemas.openxmlformats.org/officeDocument/2006/relationships/hyperlink" Target="https://www.smmt.co.uk/smmt-motor-industry-facts-2025/" TargetMode="External"/><Relationship Id="rId65" Type="http://schemas.openxmlformats.org/officeDocument/2006/relationships/hyperlink" Target="https://transparency.org" TargetMode="External"/><Relationship Id="rId73" Type="http://schemas.openxmlformats.org/officeDocument/2006/relationships/hyperlink" Target="https://comtradeplus.un.org/TradeFlow?AggregateBy=none&amp;BreakdownMode=plus&amp;CommodityCodes=8708&amp;Flows=M&amp;Frequency=A&amp;Partners=710&amp;Reporters=97&amp;period=202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iiste.org/Journals/index.php/EJBM/article/download/6185/6338" TargetMode="External"/><Relationship Id="rId34" Type="http://schemas.openxmlformats.org/officeDocument/2006/relationships/hyperlink" Target="https://reviews.birdeye.com/elta-automotive-ltd-170944741302317" TargetMode="External"/><Relationship Id="rId50" Type="http://schemas.openxmlformats.org/officeDocument/2006/relationships/hyperlink" Target="https://www.sciencedirect.com/science/article/abs/pii/S0148296323003685" TargetMode="External"/><Relationship Id="rId55" Type="http://schemas.openxmlformats.org/officeDocument/2006/relationships/hyperlink" Target="https://www.ijsshr.in"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its.worldbank.org/"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Import </a:t>
            </a:r>
            <a:r>
              <a:rPr lang="en-GB" sz="1400" b="0" i="0" u="none" strike="noStrike" baseline="0"/>
              <a:t>HS 8708 </a:t>
            </a:r>
            <a:r>
              <a:rPr lang="en-US"/>
              <a:t>Trade Value (US$)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Morocco!$H$7</c:f>
              <c:strCache>
                <c:ptCount val="1"/>
                <c:pt idx="0">
                  <c:v> Trade Value (US$)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Morocco!$G$8:$G$13</c:f>
              <c:numCache>
                <c:formatCode>General</c:formatCode>
                <c:ptCount val="6"/>
                <c:pt idx="0">
                  <c:v>2020</c:v>
                </c:pt>
                <c:pt idx="1">
                  <c:v>2021</c:v>
                </c:pt>
                <c:pt idx="2">
                  <c:v>2022</c:v>
                </c:pt>
                <c:pt idx="3">
                  <c:v>2023</c:v>
                </c:pt>
                <c:pt idx="4">
                  <c:v>2024</c:v>
                </c:pt>
              </c:numCache>
            </c:numRef>
          </c:xVal>
          <c:yVal>
            <c:numRef>
              <c:f>Morocco!$H$8:$H$13</c:f>
              <c:numCache>
                <c:formatCode>_-* #,##0_-;\-* #,##0_-;_-* "-"??_-;_-@_-</c:formatCode>
                <c:ptCount val="6"/>
                <c:pt idx="0">
                  <c:v>406502806</c:v>
                </c:pt>
                <c:pt idx="1">
                  <c:v>594347642</c:v>
                </c:pt>
                <c:pt idx="2">
                  <c:v>751856425</c:v>
                </c:pt>
                <c:pt idx="3">
                  <c:v>1076358319</c:v>
                </c:pt>
                <c:pt idx="4">
                  <c:v>1209643154</c:v>
                </c:pt>
              </c:numCache>
            </c:numRef>
          </c:yVal>
          <c:smooth val="0"/>
          <c:extLst>
            <c:ext xmlns:c16="http://schemas.microsoft.com/office/drawing/2014/chart" uri="{C3380CC4-5D6E-409C-BE32-E72D297353CC}">
              <c16:uniqueId val="{00000000-9FA5-40CC-9331-102C2E78C506}"/>
            </c:ext>
          </c:extLst>
        </c:ser>
        <c:dLbls>
          <c:dLblPos val="t"/>
          <c:showLegendKey val="0"/>
          <c:showVal val="1"/>
          <c:showCatName val="0"/>
          <c:showSerName val="0"/>
          <c:showPercent val="0"/>
          <c:showBubbleSize val="0"/>
        </c:dLbls>
        <c:axId val="433773456"/>
        <c:axId val="433773936"/>
      </c:scatterChart>
      <c:valAx>
        <c:axId val="433773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773936"/>
        <c:crosses val="autoZero"/>
        <c:crossBetween val="midCat"/>
      </c:valAx>
      <c:valAx>
        <c:axId val="433773936"/>
        <c:scaling>
          <c:orientation val="minMax"/>
        </c:scaling>
        <c:delete val="0"/>
        <c:axPos val="l"/>
        <c:majorGridlines>
          <c:spPr>
            <a:ln w="9525" cap="flat" cmpd="sng" algn="ctr">
              <a:solidFill>
                <a:schemeClr val="tx1">
                  <a:lumMod val="15000"/>
                  <a:lumOff val="85000"/>
                </a:schemeClr>
              </a:solidFill>
              <a:round/>
            </a:ln>
            <a:effectLst/>
          </c:spPr>
        </c:majorGridlines>
        <c:numFmt formatCode="_-* #,##0_-;\-* #,##0_-;_-* &quot;-&quot;??_-;_-@_-"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7734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6600E-6972-46AF-B092-7EC504943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TotalTime>
  <Pages>31</Pages>
  <Words>7520</Words>
  <Characters>49786</Characters>
  <Application>Microsoft Office Word</Application>
  <DocSecurity>0</DocSecurity>
  <Lines>1016</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Ivilina.Atanasova@elta.co.uk</dc:creator>
  <cp:keywords/>
  <dc:description/>
  <cp:lastModifiedBy>Ivilina Atanasova</cp:lastModifiedBy>
  <cp:revision>409</cp:revision>
  <dcterms:created xsi:type="dcterms:W3CDTF">2025-10-11T13:51:00Z</dcterms:created>
  <dcterms:modified xsi:type="dcterms:W3CDTF">2025-11-13T11:37:00Z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a2e18045-936c-4ab7-bfd2-7f6d7f76615a</vt:lpwstr>
  </property>
</Properties>
</file>