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82CCD" w14:textId="77777777" w:rsidR="008C6023" w:rsidRDefault="008C6023">
      <w:pPr>
        <w:spacing w:line="360" w:lineRule="auto"/>
        <w:jc w:val="both"/>
        <w:rPr>
          <w:rFonts w:ascii="Times New Roman" w:eastAsia="Times New Roman" w:hAnsi="Times New Roman" w:cs="Times New Roman"/>
          <w:b/>
          <w:bCs/>
          <w:sz w:val="24"/>
          <w:szCs w:val="24"/>
        </w:rPr>
      </w:pPr>
    </w:p>
    <w:p w14:paraId="1ABB93DC" w14:textId="77777777" w:rsidR="008C6023" w:rsidRDefault="008C6023">
      <w:pPr>
        <w:spacing w:line="360" w:lineRule="auto"/>
        <w:jc w:val="both"/>
        <w:rPr>
          <w:rFonts w:ascii="Times New Roman" w:eastAsia="Times New Roman" w:hAnsi="Times New Roman" w:cs="Times New Roman"/>
          <w:b/>
          <w:bCs/>
          <w:sz w:val="24"/>
          <w:szCs w:val="24"/>
        </w:rPr>
      </w:pPr>
    </w:p>
    <w:p w14:paraId="29241B2A" w14:textId="77777777" w:rsidR="008C6023" w:rsidRDefault="008C6023">
      <w:pPr>
        <w:spacing w:line="360" w:lineRule="auto"/>
        <w:jc w:val="both"/>
        <w:rPr>
          <w:rFonts w:ascii="Times New Roman" w:eastAsia="Times New Roman" w:hAnsi="Times New Roman" w:cs="Times New Roman"/>
          <w:b/>
          <w:bCs/>
          <w:sz w:val="24"/>
          <w:szCs w:val="24"/>
        </w:rPr>
      </w:pPr>
    </w:p>
    <w:p w14:paraId="6932F598" w14:textId="77777777" w:rsidR="008C6023" w:rsidRDefault="008C6023">
      <w:pPr>
        <w:spacing w:line="360" w:lineRule="auto"/>
        <w:jc w:val="both"/>
        <w:rPr>
          <w:rFonts w:ascii="Times New Roman" w:eastAsia="Times New Roman" w:hAnsi="Times New Roman" w:cs="Times New Roman"/>
          <w:b/>
          <w:bCs/>
          <w:sz w:val="24"/>
          <w:szCs w:val="24"/>
        </w:rPr>
      </w:pPr>
    </w:p>
    <w:p w14:paraId="6304B22A" w14:textId="77777777" w:rsidR="008C6023" w:rsidRDefault="008C6023">
      <w:pPr>
        <w:spacing w:line="360" w:lineRule="auto"/>
        <w:jc w:val="both"/>
        <w:rPr>
          <w:rFonts w:ascii="Times New Roman" w:eastAsia="Times New Roman" w:hAnsi="Times New Roman" w:cs="Times New Roman"/>
          <w:b/>
          <w:bCs/>
          <w:sz w:val="24"/>
          <w:szCs w:val="24"/>
        </w:rPr>
      </w:pPr>
    </w:p>
    <w:p w14:paraId="4633EF51" w14:textId="77777777" w:rsidR="008C6023" w:rsidRDefault="008C6023">
      <w:pPr>
        <w:spacing w:line="360" w:lineRule="auto"/>
        <w:jc w:val="both"/>
        <w:rPr>
          <w:rFonts w:ascii="Times New Roman" w:eastAsia="Times New Roman" w:hAnsi="Times New Roman" w:cs="Times New Roman"/>
          <w:b/>
          <w:bCs/>
          <w:sz w:val="24"/>
          <w:szCs w:val="24"/>
        </w:rPr>
      </w:pPr>
    </w:p>
    <w:p w14:paraId="5170CC25" w14:textId="77777777" w:rsidR="008C6023" w:rsidRDefault="008C6023">
      <w:pPr>
        <w:spacing w:line="360" w:lineRule="auto"/>
        <w:jc w:val="both"/>
        <w:rPr>
          <w:rFonts w:ascii="Times New Roman" w:eastAsia="Times New Roman" w:hAnsi="Times New Roman" w:cs="Times New Roman"/>
          <w:b/>
          <w:bCs/>
          <w:sz w:val="24"/>
          <w:szCs w:val="24"/>
        </w:rPr>
      </w:pPr>
    </w:p>
    <w:p w14:paraId="6F54797C" w14:textId="77777777" w:rsidR="008C6023" w:rsidRDefault="008C6023">
      <w:pPr>
        <w:spacing w:line="360" w:lineRule="auto"/>
        <w:jc w:val="both"/>
        <w:rPr>
          <w:rFonts w:ascii="Times New Roman" w:eastAsia="Times New Roman" w:hAnsi="Times New Roman" w:cs="Times New Roman"/>
          <w:b/>
          <w:bCs/>
          <w:sz w:val="24"/>
          <w:szCs w:val="24"/>
        </w:rPr>
      </w:pPr>
    </w:p>
    <w:p w14:paraId="16C58648" w14:textId="77777777" w:rsidR="008C6023" w:rsidRDefault="008C6023">
      <w:pPr>
        <w:spacing w:line="360" w:lineRule="auto"/>
        <w:jc w:val="both"/>
        <w:rPr>
          <w:rFonts w:ascii="Times New Roman" w:eastAsia="Times New Roman" w:hAnsi="Times New Roman" w:cs="Times New Roman"/>
          <w:b/>
          <w:bCs/>
          <w:sz w:val="24"/>
          <w:szCs w:val="24"/>
        </w:rPr>
      </w:pPr>
    </w:p>
    <w:p w14:paraId="32BD31ED" w14:textId="77777777" w:rsidR="008C6023" w:rsidRDefault="008C6023">
      <w:pPr>
        <w:spacing w:line="360" w:lineRule="auto"/>
        <w:jc w:val="both"/>
        <w:rPr>
          <w:rFonts w:ascii="Times New Roman" w:eastAsia="Times New Roman" w:hAnsi="Times New Roman" w:cs="Times New Roman"/>
          <w:b/>
          <w:bCs/>
          <w:sz w:val="24"/>
          <w:szCs w:val="24"/>
        </w:rPr>
      </w:pPr>
    </w:p>
    <w:p w14:paraId="1F312CAA" w14:textId="77777777" w:rsidR="008C6023" w:rsidRDefault="008C6023">
      <w:pPr>
        <w:spacing w:line="360" w:lineRule="auto"/>
        <w:jc w:val="both"/>
        <w:rPr>
          <w:rFonts w:ascii="Times New Roman" w:eastAsia="Times New Roman" w:hAnsi="Times New Roman" w:cs="Times New Roman"/>
          <w:b/>
          <w:bCs/>
          <w:sz w:val="24"/>
          <w:szCs w:val="24"/>
        </w:rPr>
      </w:pPr>
    </w:p>
    <w:p w14:paraId="3C8B27E3" w14:textId="77777777" w:rsidR="008C6023" w:rsidRDefault="008C6023">
      <w:pPr>
        <w:spacing w:line="360" w:lineRule="auto"/>
        <w:jc w:val="both"/>
        <w:rPr>
          <w:rFonts w:ascii="Times New Roman" w:eastAsia="Times New Roman" w:hAnsi="Times New Roman" w:cs="Times New Roman"/>
          <w:b/>
          <w:bCs/>
          <w:sz w:val="24"/>
          <w:szCs w:val="24"/>
        </w:rPr>
      </w:pPr>
    </w:p>
    <w:p w14:paraId="4185F6CC" w14:textId="77777777" w:rsidR="008C6023" w:rsidRDefault="008C6023">
      <w:pPr>
        <w:spacing w:line="360" w:lineRule="auto"/>
        <w:jc w:val="both"/>
        <w:rPr>
          <w:rFonts w:ascii="Times New Roman" w:eastAsia="Times New Roman" w:hAnsi="Times New Roman" w:cs="Times New Roman"/>
          <w:b/>
          <w:bCs/>
          <w:sz w:val="24"/>
          <w:szCs w:val="24"/>
        </w:rPr>
      </w:pPr>
    </w:p>
    <w:p w14:paraId="4B59C6F3" w14:textId="77777777" w:rsidR="008C6023" w:rsidRDefault="008C6023">
      <w:pPr>
        <w:spacing w:line="360" w:lineRule="auto"/>
        <w:jc w:val="both"/>
        <w:rPr>
          <w:rFonts w:ascii="Times New Roman" w:eastAsia="Times New Roman" w:hAnsi="Times New Roman" w:cs="Times New Roman"/>
          <w:b/>
          <w:bCs/>
          <w:sz w:val="24"/>
          <w:szCs w:val="24"/>
        </w:rPr>
      </w:pPr>
    </w:p>
    <w:p w14:paraId="4E32461F" w14:textId="77777777" w:rsidR="008C6023" w:rsidRDefault="008C6023">
      <w:pPr>
        <w:spacing w:line="360" w:lineRule="auto"/>
        <w:jc w:val="both"/>
        <w:rPr>
          <w:rFonts w:ascii="Times New Roman" w:eastAsia="Times New Roman" w:hAnsi="Times New Roman" w:cs="Times New Roman"/>
          <w:b/>
          <w:bCs/>
          <w:sz w:val="24"/>
          <w:szCs w:val="24"/>
        </w:rPr>
      </w:pPr>
    </w:p>
    <w:p w14:paraId="79B8F809" w14:textId="77777777" w:rsidR="008C6023" w:rsidRPr="001A4330" w:rsidRDefault="008C6023" w:rsidP="001A4330">
      <w:pPr>
        <w:spacing w:line="360" w:lineRule="auto"/>
        <w:jc w:val="center"/>
        <w:rPr>
          <w:rFonts w:ascii="Times New Roman" w:eastAsia="Times New Roman" w:hAnsi="Times New Roman" w:cs="Times New Roman"/>
          <w:b/>
          <w:bCs/>
          <w:sz w:val="32"/>
          <w:szCs w:val="32"/>
        </w:rPr>
      </w:pPr>
    </w:p>
    <w:p w14:paraId="48107D3C" w14:textId="43873421" w:rsidR="008C6023" w:rsidRDefault="001A4330" w:rsidP="001A4330">
      <w:pPr>
        <w:spacing w:line="360" w:lineRule="auto"/>
        <w:jc w:val="center"/>
        <w:rPr>
          <w:rFonts w:ascii="Times New Roman" w:eastAsia="Times New Roman" w:hAnsi="Times New Roman" w:cs="Times New Roman"/>
          <w:b/>
          <w:bCs/>
          <w:sz w:val="24"/>
          <w:szCs w:val="24"/>
        </w:rPr>
      </w:pPr>
      <w:r w:rsidRPr="001A4330">
        <w:rPr>
          <w:rFonts w:ascii="Times New Roman" w:eastAsia="Times New Roman" w:hAnsi="Times New Roman" w:cs="Times New Roman"/>
          <w:b/>
          <w:bCs/>
          <w:sz w:val="32"/>
          <w:szCs w:val="32"/>
        </w:rPr>
        <w:t>LCHS4009 PROFESSIONAL DEVELOPMENT WITHIN HEALTH AND SOCIAL CARE COMPONENT 2</w:t>
      </w:r>
      <w:r w:rsidR="00000000">
        <w:br w:type="page"/>
      </w:r>
    </w:p>
    <w:sdt>
      <w:sdtPr>
        <w:id w:val="-1812015971"/>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4B6334E7" w14:textId="1BDCAF69" w:rsidR="00537BE9" w:rsidRPr="00537BE9" w:rsidRDefault="00537BE9" w:rsidP="00537BE9">
          <w:pPr>
            <w:pStyle w:val="TOCHeading"/>
            <w:jc w:val="center"/>
            <w:rPr>
              <w:rFonts w:ascii="Times New Roman" w:hAnsi="Times New Roman" w:cs="Times New Roman"/>
              <w:b/>
              <w:bCs/>
              <w:color w:val="000000" w:themeColor="text1"/>
              <w:sz w:val="28"/>
              <w:szCs w:val="28"/>
            </w:rPr>
          </w:pPr>
          <w:r w:rsidRPr="00537BE9">
            <w:rPr>
              <w:rFonts w:ascii="Times New Roman" w:hAnsi="Times New Roman" w:cs="Times New Roman"/>
              <w:b/>
              <w:bCs/>
              <w:color w:val="000000" w:themeColor="text1"/>
              <w:sz w:val="28"/>
              <w:szCs w:val="28"/>
            </w:rPr>
            <w:t>Table of Contents</w:t>
          </w:r>
        </w:p>
        <w:p w14:paraId="7D7AB684" w14:textId="21B28ADD" w:rsidR="00537BE9" w:rsidRPr="00537BE9" w:rsidRDefault="00537BE9" w:rsidP="00537BE9">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32888764" w:history="1">
            <w:r w:rsidRPr="00537BE9">
              <w:rPr>
                <w:rStyle w:val="Hyperlink"/>
                <w:rFonts w:ascii="Times New Roman" w:hAnsi="Times New Roman" w:cs="Times New Roman"/>
                <w:noProof/>
                <w:sz w:val="24"/>
                <w:szCs w:val="24"/>
              </w:rPr>
              <w:t>1.Introduction</w:t>
            </w:r>
            <w:r w:rsidRPr="00537BE9">
              <w:rPr>
                <w:rFonts w:ascii="Times New Roman" w:hAnsi="Times New Roman" w:cs="Times New Roman"/>
                <w:noProof/>
                <w:webHidden/>
                <w:sz w:val="24"/>
                <w:szCs w:val="24"/>
              </w:rPr>
              <w:tab/>
            </w:r>
            <w:r w:rsidRPr="00537BE9">
              <w:rPr>
                <w:rFonts w:ascii="Times New Roman" w:hAnsi="Times New Roman" w:cs="Times New Roman"/>
                <w:noProof/>
                <w:webHidden/>
                <w:sz w:val="24"/>
                <w:szCs w:val="24"/>
              </w:rPr>
              <w:fldChar w:fldCharType="begin"/>
            </w:r>
            <w:r w:rsidRPr="00537BE9">
              <w:rPr>
                <w:rFonts w:ascii="Times New Roman" w:hAnsi="Times New Roman" w:cs="Times New Roman"/>
                <w:noProof/>
                <w:webHidden/>
                <w:sz w:val="24"/>
                <w:szCs w:val="24"/>
              </w:rPr>
              <w:instrText xml:space="preserve"> PAGEREF _Toc232888764 \h </w:instrText>
            </w:r>
            <w:r w:rsidRPr="00537BE9">
              <w:rPr>
                <w:rFonts w:ascii="Times New Roman" w:hAnsi="Times New Roman" w:cs="Times New Roman"/>
                <w:noProof/>
                <w:webHidden/>
                <w:sz w:val="24"/>
                <w:szCs w:val="24"/>
              </w:rPr>
            </w:r>
            <w:r w:rsidRPr="00537BE9">
              <w:rPr>
                <w:rFonts w:ascii="Times New Roman" w:hAnsi="Times New Roman" w:cs="Times New Roman"/>
                <w:noProof/>
                <w:webHidden/>
                <w:sz w:val="24"/>
                <w:szCs w:val="24"/>
              </w:rPr>
              <w:fldChar w:fldCharType="separate"/>
            </w:r>
            <w:r w:rsidRPr="00537BE9">
              <w:rPr>
                <w:rFonts w:ascii="Times New Roman" w:hAnsi="Times New Roman" w:cs="Times New Roman"/>
                <w:noProof/>
                <w:webHidden/>
                <w:sz w:val="24"/>
                <w:szCs w:val="24"/>
              </w:rPr>
              <w:t>3</w:t>
            </w:r>
            <w:r w:rsidRPr="00537BE9">
              <w:rPr>
                <w:rFonts w:ascii="Times New Roman" w:hAnsi="Times New Roman" w:cs="Times New Roman"/>
                <w:noProof/>
                <w:webHidden/>
                <w:sz w:val="24"/>
                <w:szCs w:val="24"/>
              </w:rPr>
              <w:fldChar w:fldCharType="end"/>
            </w:r>
          </w:hyperlink>
        </w:p>
        <w:p w14:paraId="67B8D72B" w14:textId="045540F6" w:rsidR="00537BE9" w:rsidRPr="00537BE9" w:rsidRDefault="00537BE9" w:rsidP="00537BE9">
          <w:pPr>
            <w:pStyle w:val="TOC1"/>
            <w:tabs>
              <w:tab w:val="right" w:leader="dot" w:pos="9019"/>
            </w:tabs>
            <w:spacing w:line="360" w:lineRule="auto"/>
            <w:jc w:val="both"/>
            <w:rPr>
              <w:rFonts w:ascii="Times New Roman" w:hAnsi="Times New Roman" w:cs="Times New Roman"/>
              <w:noProof/>
              <w:sz w:val="24"/>
              <w:szCs w:val="24"/>
            </w:rPr>
          </w:pPr>
          <w:hyperlink w:anchor="_Toc232888765" w:history="1">
            <w:r w:rsidRPr="00537BE9">
              <w:rPr>
                <w:rStyle w:val="Hyperlink"/>
                <w:rFonts w:ascii="Times New Roman" w:hAnsi="Times New Roman" w:cs="Times New Roman"/>
                <w:noProof/>
                <w:sz w:val="24"/>
                <w:szCs w:val="24"/>
              </w:rPr>
              <w:t>Task 3b SWOT</w:t>
            </w:r>
            <w:r w:rsidRPr="00537BE9">
              <w:rPr>
                <w:rFonts w:ascii="Times New Roman" w:hAnsi="Times New Roman" w:cs="Times New Roman"/>
                <w:noProof/>
                <w:webHidden/>
                <w:sz w:val="24"/>
                <w:szCs w:val="24"/>
              </w:rPr>
              <w:tab/>
            </w:r>
            <w:r w:rsidRPr="00537BE9">
              <w:rPr>
                <w:rFonts w:ascii="Times New Roman" w:hAnsi="Times New Roman" w:cs="Times New Roman"/>
                <w:noProof/>
                <w:webHidden/>
                <w:sz w:val="24"/>
                <w:szCs w:val="24"/>
              </w:rPr>
              <w:fldChar w:fldCharType="begin"/>
            </w:r>
            <w:r w:rsidRPr="00537BE9">
              <w:rPr>
                <w:rFonts w:ascii="Times New Roman" w:hAnsi="Times New Roman" w:cs="Times New Roman"/>
                <w:noProof/>
                <w:webHidden/>
                <w:sz w:val="24"/>
                <w:szCs w:val="24"/>
              </w:rPr>
              <w:instrText xml:space="preserve"> PAGEREF _Toc232888765 \h </w:instrText>
            </w:r>
            <w:r w:rsidRPr="00537BE9">
              <w:rPr>
                <w:rFonts w:ascii="Times New Roman" w:hAnsi="Times New Roman" w:cs="Times New Roman"/>
                <w:noProof/>
                <w:webHidden/>
                <w:sz w:val="24"/>
                <w:szCs w:val="24"/>
              </w:rPr>
            </w:r>
            <w:r w:rsidRPr="00537BE9">
              <w:rPr>
                <w:rFonts w:ascii="Times New Roman" w:hAnsi="Times New Roman" w:cs="Times New Roman"/>
                <w:noProof/>
                <w:webHidden/>
                <w:sz w:val="24"/>
                <w:szCs w:val="24"/>
              </w:rPr>
              <w:fldChar w:fldCharType="separate"/>
            </w:r>
            <w:r w:rsidRPr="00537BE9">
              <w:rPr>
                <w:rFonts w:ascii="Times New Roman" w:hAnsi="Times New Roman" w:cs="Times New Roman"/>
                <w:noProof/>
                <w:webHidden/>
                <w:sz w:val="24"/>
                <w:szCs w:val="24"/>
              </w:rPr>
              <w:t>5</w:t>
            </w:r>
            <w:r w:rsidRPr="00537BE9">
              <w:rPr>
                <w:rFonts w:ascii="Times New Roman" w:hAnsi="Times New Roman" w:cs="Times New Roman"/>
                <w:noProof/>
                <w:webHidden/>
                <w:sz w:val="24"/>
                <w:szCs w:val="24"/>
              </w:rPr>
              <w:fldChar w:fldCharType="end"/>
            </w:r>
          </w:hyperlink>
        </w:p>
        <w:p w14:paraId="39237825" w14:textId="701C705C" w:rsidR="00537BE9" w:rsidRPr="00537BE9" w:rsidRDefault="00537BE9" w:rsidP="00537BE9">
          <w:pPr>
            <w:pStyle w:val="TOC1"/>
            <w:tabs>
              <w:tab w:val="right" w:leader="dot" w:pos="9019"/>
            </w:tabs>
            <w:spacing w:line="360" w:lineRule="auto"/>
            <w:jc w:val="both"/>
            <w:rPr>
              <w:rFonts w:ascii="Times New Roman" w:hAnsi="Times New Roman" w:cs="Times New Roman"/>
              <w:noProof/>
              <w:sz w:val="24"/>
              <w:szCs w:val="24"/>
            </w:rPr>
          </w:pPr>
          <w:hyperlink w:anchor="_Toc232888766" w:history="1">
            <w:r w:rsidRPr="00537BE9">
              <w:rPr>
                <w:rStyle w:val="Hyperlink"/>
                <w:rFonts w:ascii="Times New Roman" w:hAnsi="Times New Roman" w:cs="Times New Roman"/>
                <w:noProof/>
                <w:sz w:val="24"/>
                <w:szCs w:val="24"/>
              </w:rPr>
              <w:t>Task 3b – Personal Development Plan (PDP)</w:t>
            </w:r>
            <w:r w:rsidRPr="00537BE9">
              <w:rPr>
                <w:rFonts w:ascii="Times New Roman" w:hAnsi="Times New Roman" w:cs="Times New Roman"/>
                <w:noProof/>
                <w:webHidden/>
                <w:sz w:val="24"/>
                <w:szCs w:val="24"/>
              </w:rPr>
              <w:tab/>
            </w:r>
            <w:r w:rsidRPr="00537BE9">
              <w:rPr>
                <w:rFonts w:ascii="Times New Roman" w:hAnsi="Times New Roman" w:cs="Times New Roman"/>
                <w:noProof/>
                <w:webHidden/>
                <w:sz w:val="24"/>
                <w:szCs w:val="24"/>
              </w:rPr>
              <w:fldChar w:fldCharType="begin"/>
            </w:r>
            <w:r w:rsidRPr="00537BE9">
              <w:rPr>
                <w:rFonts w:ascii="Times New Roman" w:hAnsi="Times New Roman" w:cs="Times New Roman"/>
                <w:noProof/>
                <w:webHidden/>
                <w:sz w:val="24"/>
                <w:szCs w:val="24"/>
              </w:rPr>
              <w:instrText xml:space="preserve"> PAGEREF _Toc232888766 \h </w:instrText>
            </w:r>
            <w:r w:rsidRPr="00537BE9">
              <w:rPr>
                <w:rFonts w:ascii="Times New Roman" w:hAnsi="Times New Roman" w:cs="Times New Roman"/>
                <w:noProof/>
                <w:webHidden/>
                <w:sz w:val="24"/>
                <w:szCs w:val="24"/>
              </w:rPr>
            </w:r>
            <w:r w:rsidRPr="00537BE9">
              <w:rPr>
                <w:rFonts w:ascii="Times New Roman" w:hAnsi="Times New Roman" w:cs="Times New Roman"/>
                <w:noProof/>
                <w:webHidden/>
                <w:sz w:val="24"/>
                <w:szCs w:val="24"/>
              </w:rPr>
              <w:fldChar w:fldCharType="separate"/>
            </w:r>
            <w:r w:rsidRPr="00537BE9">
              <w:rPr>
                <w:rFonts w:ascii="Times New Roman" w:hAnsi="Times New Roman" w:cs="Times New Roman"/>
                <w:noProof/>
                <w:webHidden/>
                <w:sz w:val="24"/>
                <w:szCs w:val="24"/>
              </w:rPr>
              <w:t>7</w:t>
            </w:r>
            <w:r w:rsidRPr="00537BE9">
              <w:rPr>
                <w:rFonts w:ascii="Times New Roman" w:hAnsi="Times New Roman" w:cs="Times New Roman"/>
                <w:noProof/>
                <w:webHidden/>
                <w:sz w:val="24"/>
                <w:szCs w:val="24"/>
              </w:rPr>
              <w:fldChar w:fldCharType="end"/>
            </w:r>
          </w:hyperlink>
        </w:p>
        <w:p w14:paraId="20C4F005" w14:textId="020D48A3" w:rsidR="00537BE9" w:rsidRPr="00537BE9" w:rsidRDefault="00537BE9" w:rsidP="00537BE9">
          <w:pPr>
            <w:pStyle w:val="TOC1"/>
            <w:tabs>
              <w:tab w:val="right" w:leader="dot" w:pos="9019"/>
            </w:tabs>
            <w:spacing w:line="360" w:lineRule="auto"/>
            <w:jc w:val="both"/>
            <w:rPr>
              <w:rFonts w:ascii="Times New Roman" w:hAnsi="Times New Roman" w:cs="Times New Roman"/>
              <w:noProof/>
              <w:sz w:val="24"/>
              <w:szCs w:val="24"/>
            </w:rPr>
          </w:pPr>
          <w:hyperlink w:anchor="_Toc232888767" w:history="1">
            <w:r w:rsidRPr="00537BE9">
              <w:rPr>
                <w:rStyle w:val="Hyperlink"/>
                <w:rFonts w:ascii="Times New Roman" w:hAnsi="Times New Roman" w:cs="Times New Roman"/>
                <w:noProof/>
                <w:sz w:val="24"/>
                <w:szCs w:val="24"/>
              </w:rPr>
              <w:t>Task 4 – Critical Reflection</w:t>
            </w:r>
            <w:r w:rsidRPr="00537BE9">
              <w:rPr>
                <w:rFonts w:ascii="Times New Roman" w:hAnsi="Times New Roman" w:cs="Times New Roman"/>
                <w:noProof/>
                <w:webHidden/>
                <w:sz w:val="24"/>
                <w:szCs w:val="24"/>
              </w:rPr>
              <w:tab/>
            </w:r>
            <w:r w:rsidRPr="00537BE9">
              <w:rPr>
                <w:rFonts w:ascii="Times New Roman" w:hAnsi="Times New Roman" w:cs="Times New Roman"/>
                <w:noProof/>
                <w:webHidden/>
                <w:sz w:val="24"/>
                <w:szCs w:val="24"/>
              </w:rPr>
              <w:fldChar w:fldCharType="begin"/>
            </w:r>
            <w:r w:rsidRPr="00537BE9">
              <w:rPr>
                <w:rFonts w:ascii="Times New Roman" w:hAnsi="Times New Roman" w:cs="Times New Roman"/>
                <w:noProof/>
                <w:webHidden/>
                <w:sz w:val="24"/>
                <w:szCs w:val="24"/>
              </w:rPr>
              <w:instrText xml:space="preserve"> PAGEREF _Toc232888767 \h </w:instrText>
            </w:r>
            <w:r w:rsidRPr="00537BE9">
              <w:rPr>
                <w:rFonts w:ascii="Times New Roman" w:hAnsi="Times New Roman" w:cs="Times New Roman"/>
                <w:noProof/>
                <w:webHidden/>
                <w:sz w:val="24"/>
                <w:szCs w:val="24"/>
              </w:rPr>
            </w:r>
            <w:r w:rsidRPr="00537BE9">
              <w:rPr>
                <w:rFonts w:ascii="Times New Roman" w:hAnsi="Times New Roman" w:cs="Times New Roman"/>
                <w:noProof/>
                <w:webHidden/>
                <w:sz w:val="24"/>
                <w:szCs w:val="24"/>
              </w:rPr>
              <w:fldChar w:fldCharType="separate"/>
            </w:r>
            <w:r w:rsidRPr="00537BE9">
              <w:rPr>
                <w:rFonts w:ascii="Times New Roman" w:hAnsi="Times New Roman" w:cs="Times New Roman"/>
                <w:noProof/>
                <w:webHidden/>
                <w:sz w:val="24"/>
                <w:szCs w:val="24"/>
              </w:rPr>
              <w:t>8</w:t>
            </w:r>
            <w:r w:rsidRPr="00537BE9">
              <w:rPr>
                <w:rFonts w:ascii="Times New Roman" w:hAnsi="Times New Roman" w:cs="Times New Roman"/>
                <w:noProof/>
                <w:webHidden/>
                <w:sz w:val="24"/>
                <w:szCs w:val="24"/>
              </w:rPr>
              <w:fldChar w:fldCharType="end"/>
            </w:r>
          </w:hyperlink>
        </w:p>
        <w:p w14:paraId="3E38BBB8" w14:textId="1AC33974" w:rsidR="00537BE9" w:rsidRPr="00537BE9" w:rsidRDefault="00537BE9" w:rsidP="00537BE9">
          <w:pPr>
            <w:pStyle w:val="TOC1"/>
            <w:tabs>
              <w:tab w:val="right" w:leader="dot" w:pos="9019"/>
            </w:tabs>
            <w:spacing w:line="360" w:lineRule="auto"/>
            <w:jc w:val="both"/>
            <w:rPr>
              <w:rFonts w:ascii="Times New Roman" w:hAnsi="Times New Roman" w:cs="Times New Roman"/>
              <w:noProof/>
              <w:sz w:val="24"/>
              <w:szCs w:val="24"/>
            </w:rPr>
          </w:pPr>
          <w:hyperlink w:anchor="_Toc232888768" w:history="1">
            <w:r w:rsidRPr="00537BE9">
              <w:rPr>
                <w:rStyle w:val="Hyperlink"/>
                <w:rFonts w:ascii="Times New Roman" w:hAnsi="Times New Roman" w:cs="Times New Roman"/>
                <w:noProof/>
                <w:sz w:val="24"/>
                <w:szCs w:val="24"/>
              </w:rPr>
              <w:t>References</w:t>
            </w:r>
            <w:r w:rsidRPr="00537BE9">
              <w:rPr>
                <w:rFonts w:ascii="Times New Roman" w:hAnsi="Times New Roman" w:cs="Times New Roman"/>
                <w:noProof/>
                <w:webHidden/>
                <w:sz w:val="24"/>
                <w:szCs w:val="24"/>
              </w:rPr>
              <w:tab/>
            </w:r>
            <w:r w:rsidRPr="00537BE9">
              <w:rPr>
                <w:rFonts w:ascii="Times New Roman" w:hAnsi="Times New Roman" w:cs="Times New Roman"/>
                <w:noProof/>
                <w:webHidden/>
                <w:sz w:val="24"/>
                <w:szCs w:val="24"/>
              </w:rPr>
              <w:fldChar w:fldCharType="begin"/>
            </w:r>
            <w:r w:rsidRPr="00537BE9">
              <w:rPr>
                <w:rFonts w:ascii="Times New Roman" w:hAnsi="Times New Roman" w:cs="Times New Roman"/>
                <w:noProof/>
                <w:webHidden/>
                <w:sz w:val="24"/>
                <w:szCs w:val="24"/>
              </w:rPr>
              <w:instrText xml:space="preserve"> PAGEREF _Toc232888768 \h </w:instrText>
            </w:r>
            <w:r w:rsidRPr="00537BE9">
              <w:rPr>
                <w:rFonts w:ascii="Times New Roman" w:hAnsi="Times New Roman" w:cs="Times New Roman"/>
                <w:noProof/>
                <w:webHidden/>
                <w:sz w:val="24"/>
                <w:szCs w:val="24"/>
              </w:rPr>
            </w:r>
            <w:r w:rsidRPr="00537BE9">
              <w:rPr>
                <w:rFonts w:ascii="Times New Roman" w:hAnsi="Times New Roman" w:cs="Times New Roman"/>
                <w:noProof/>
                <w:webHidden/>
                <w:sz w:val="24"/>
                <w:szCs w:val="24"/>
              </w:rPr>
              <w:fldChar w:fldCharType="separate"/>
            </w:r>
            <w:r w:rsidRPr="00537BE9">
              <w:rPr>
                <w:rFonts w:ascii="Times New Roman" w:hAnsi="Times New Roman" w:cs="Times New Roman"/>
                <w:noProof/>
                <w:webHidden/>
                <w:sz w:val="24"/>
                <w:szCs w:val="24"/>
              </w:rPr>
              <w:t>11</w:t>
            </w:r>
            <w:r w:rsidRPr="00537BE9">
              <w:rPr>
                <w:rFonts w:ascii="Times New Roman" w:hAnsi="Times New Roman" w:cs="Times New Roman"/>
                <w:noProof/>
                <w:webHidden/>
                <w:sz w:val="24"/>
                <w:szCs w:val="24"/>
              </w:rPr>
              <w:fldChar w:fldCharType="end"/>
            </w:r>
          </w:hyperlink>
        </w:p>
        <w:p w14:paraId="37F166B3" w14:textId="4E7FE763" w:rsidR="00537BE9" w:rsidRDefault="00537BE9">
          <w:r>
            <w:rPr>
              <w:b/>
              <w:bCs/>
              <w:noProof/>
            </w:rPr>
            <w:fldChar w:fldCharType="end"/>
          </w:r>
        </w:p>
      </w:sdtContent>
    </w:sdt>
    <w:p w14:paraId="3F264AC6" w14:textId="77777777" w:rsidR="00537BE9" w:rsidRDefault="00537BE9">
      <w:pPr>
        <w:rPr>
          <w:rFonts w:ascii="Times New Roman" w:hAnsi="Times New Roman"/>
          <w:b/>
          <w:sz w:val="28"/>
          <w:szCs w:val="40"/>
        </w:rPr>
      </w:pPr>
      <w:r>
        <w:br w:type="page"/>
      </w:r>
    </w:p>
    <w:p w14:paraId="6A75E84B" w14:textId="7B7B2ACF" w:rsidR="008C6023" w:rsidRDefault="00000000" w:rsidP="00537BE9">
      <w:pPr>
        <w:pStyle w:val="Heading1"/>
      </w:pPr>
      <w:bookmarkStart w:id="0" w:name="_Toc232888764"/>
      <w:r>
        <w:lastRenderedPageBreak/>
        <w:t>1.Introduction</w:t>
      </w:r>
      <w:bookmarkEnd w:id="0"/>
    </w:p>
    <w:p w14:paraId="485D7BA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an integral part of a career in health and social care to undertake professional development. It allows people to recognise their strengths, areas for development and to build the skills needed to achieve professional standards and employer expectations. This portfolio is a preparation for the position of Healthcare Assistant and has been prepared to show my readiness to work in the health and social care sector. The portfolio consists of a CV specifically for myself, a personal statement, a personal SWOT analysis, a PDP and an analysis of my Component 1 presentation using Gibbs' reflective cycle.</w:t>
      </w:r>
    </w:p>
    <w:p w14:paraId="455CCF64"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Job Advertisement</w:t>
      </w:r>
    </w:p>
    <w:p w14:paraId="148D0B7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D2E6A32" wp14:editId="68ACC6AB">
            <wp:extent cx="5731200" cy="5321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5321300"/>
                    </a:xfrm>
                    <a:prstGeom prst="rect">
                      <a:avLst/>
                    </a:prstGeom>
                    <a:ln w="25400">
                      <a:solidFill>
                        <a:srgbClr val="000000"/>
                      </a:solidFill>
                      <a:prstDash val="solid"/>
                    </a:ln>
                  </pic:spPr>
                </pic:pic>
              </a:graphicData>
            </a:graphic>
          </wp:inline>
        </w:drawing>
      </w:r>
    </w:p>
    <w:p w14:paraId="01FEA44A" w14:textId="77777777" w:rsidR="008C6023" w:rsidRDefault="00000000">
      <w:pPr>
        <w:spacing w:line="360" w:lineRule="auto"/>
        <w:jc w:val="both"/>
        <w:rPr>
          <w:rFonts w:ascii="Times New Roman" w:eastAsia="Times New Roman" w:hAnsi="Times New Roman" w:cs="Times New Roman"/>
          <w:b/>
          <w:bCs/>
          <w:sz w:val="24"/>
          <w:szCs w:val="24"/>
        </w:rPr>
      </w:pPr>
      <w:r>
        <w:br w:type="page"/>
      </w:r>
    </w:p>
    <w:p w14:paraId="20F15140"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Task 1 – Curriculum Vitae (CV)</w:t>
      </w:r>
    </w:p>
    <w:p w14:paraId="64C6B7BA" w14:textId="77777777" w:rsidR="008C6023"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74E8B67" wp14:editId="2B46BCDF">
            <wp:extent cx="5731200" cy="8102600"/>
            <wp:effectExtent l="25400" t="25400" r="25400" b="2540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731200" cy="8102600"/>
                    </a:xfrm>
                    <a:prstGeom prst="rect">
                      <a:avLst/>
                    </a:prstGeom>
                    <a:ln w="25400">
                      <a:solidFill>
                        <a:srgbClr val="000000"/>
                      </a:solidFill>
                      <a:prstDash val="solid"/>
                    </a:ln>
                  </pic:spPr>
                </pic:pic>
              </a:graphicData>
            </a:graphic>
          </wp:inline>
        </w:drawing>
      </w:r>
    </w:p>
    <w:p w14:paraId="3683433F"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 Professional CV</w:t>
      </w:r>
    </w:p>
    <w:p w14:paraId="64B79835"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am applying for the position of Healthcare Assistant at George Eliot Hospital NHS Trust because I am passionate about supporting individuals and contributing to the delivery of high-quality health and social care services. This job offers me the chance to build my skills and make a difference in the lives of patients and maintain their wellbeing, dignity and independence.</w:t>
      </w:r>
    </w:p>
    <w:p w14:paraId="72571EA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about Health and Social Care has given me a good foundation in person centred care, safeguarding, communication, equality and diversity and professional responsibilities in a health care environment (Allen, 2023). Through my studies, I have built up knowledge of the physical, emotional and social factors that affect the wellbeing and health of an individual. I have also developed an awareness of the need to keep information confidential, to respect dignity and act in a professional manner.</w:t>
      </w:r>
    </w:p>
    <w:p w14:paraId="134051CD"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great communication skills. Clearly communicating in the healthcare environment is crucial as it promotes trust, understanding of patient needs, and collaboration with colleagues (</w:t>
      </w:r>
      <w:proofErr w:type="spellStart"/>
      <w:r>
        <w:rPr>
          <w:rFonts w:ascii="Times New Roman" w:eastAsia="Times New Roman" w:hAnsi="Times New Roman" w:cs="Times New Roman"/>
          <w:sz w:val="24"/>
          <w:szCs w:val="24"/>
        </w:rPr>
        <w:t>Jenstad</w:t>
      </w:r>
      <w:proofErr w:type="spellEnd"/>
      <w:r>
        <w:rPr>
          <w:rFonts w:ascii="Times New Roman" w:eastAsia="Times New Roman" w:hAnsi="Times New Roman" w:cs="Times New Roman"/>
          <w:sz w:val="24"/>
          <w:szCs w:val="24"/>
        </w:rPr>
        <w:t xml:space="preserve"> et al., 2024). I know how to talk to people who are different to me and I can listen and respond to them with respect. I can also collaborate effectively as a team member and be a positive, professional team player.</w:t>
      </w:r>
    </w:p>
    <w:p w14:paraId="258EEAA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I am well versed in organizational and time management abilities. Can prioritise tasks, follow instructions accurately and keep calm under pressure. These attributes are especially significant in a healthcare environment where patient safety and quality medical care should be ensured at all times. I am also trustworthy, caring and learning continually and professionally.</w:t>
      </w:r>
    </w:p>
    <w:p w14:paraId="76CC156D"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my opinion my own personal strengths and education will help me make a contribution to George Eliot Hospital NHS Trust (NHS England, 2025). I am enthusiastic to gain hands-on experience in healthcare, to learn from professionals with experience, and to offer patients and their families compassionate care. My career aim in the health and social care field is to become a carer and this role would enable me to advance my knowledge, skills and confidence as a health care worker.</w:t>
      </w:r>
    </w:p>
    <w:p w14:paraId="6A184046" w14:textId="00D84521" w:rsidR="008C6023" w:rsidRPr="00537BE9" w:rsidRDefault="00000000" w:rsidP="00537BE9">
      <w:pPr>
        <w:pStyle w:val="Heading1"/>
      </w:pPr>
      <w:bookmarkStart w:id="1" w:name="_Toc232888765"/>
      <w:r>
        <w:t>Task 3b SWOT</w:t>
      </w:r>
      <w:bookmarkEnd w:id="1"/>
    </w:p>
    <w:tbl>
      <w:tblPr>
        <w:tblStyle w:val="GridTable5Dark-Accent5"/>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197"/>
        <w:gridCol w:w="4828"/>
      </w:tblGrid>
      <w:tr w:rsidR="008C6023" w14:paraId="3BB81CA2" w14:textId="77777777" w:rsidTr="00537BE9">
        <w:trPr>
          <w:trHeight w:val="500"/>
        </w:trPr>
        <w:tc>
          <w:tcPr>
            <w:tcW w:w="4197" w:type="dxa"/>
          </w:tcPr>
          <w:p w14:paraId="3F669D0A"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p>
        </w:tc>
        <w:tc>
          <w:tcPr>
            <w:tcW w:w="4827" w:type="dxa"/>
          </w:tcPr>
          <w:p w14:paraId="5EA359C7"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Weaknesses</w:t>
            </w:r>
          </w:p>
        </w:tc>
      </w:tr>
      <w:tr w:rsidR="008C6023" w14:paraId="0314CBAF" w14:textId="77777777" w:rsidTr="00537BE9">
        <w:trPr>
          <w:trHeight w:val="500"/>
        </w:trPr>
        <w:tc>
          <w:tcPr>
            <w:tcW w:w="4197" w:type="dxa"/>
          </w:tcPr>
          <w:p w14:paraId="212F3790"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Motivated to improve professional skills.</w:t>
            </w:r>
          </w:p>
        </w:tc>
        <w:tc>
          <w:tcPr>
            <w:tcW w:w="4827" w:type="dxa"/>
          </w:tcPr>
          <w:p w14:paraId="2B73587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practical healthcare experience.</w:t>
            </w:r>
          </w:p>
        </w:tc>
      </w:tr>
      <w:tr w:rsidR="008C6023" w14:paraId="23205442" w14:textId="77777777" w:rsidTr="00537BE9">
        <w:trPr>
          <w:trHeight w:val="785"/>
        </w:trPr>
        <w:tc>
          <w:tcPr>
            <w:tcW w:w="4197" w:type="dxa"/>
          </w:tcPr>
          <w:p w14:paraId="4FD6A9E0"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Willing to attend training and workshops.</w:t>
            </w:r>
          </w:p>
        </w:tc>
        <w:tc>
          <w:tcPr>
            <w:tcW w:w="4827" w:type="dxa"/>
          </w:tcPr>
          <w:p w14:paraId="793FE425"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confidence may need further development.</w:t>
            </w:r>
          </w:p>
        </w:tc>
      </w:tr>
      <w:tr w:rsidR="008C6023" w14:paraId="5A7DCCE4" w14:textId="77777777" w:rsidTr="00537BE9">
        <w:trPr>
          <w:trHeight w:val="500"/>
        </w:trPr>
        <w:tc>
          <w:tcPr>
            <w:tcW w:w="4197" w:type="dxa"/>
          </w:tcPr>
          <w:p w14:paraId="2A4D225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 to feedback and self-reflection.</w:t>
            </w:r>
          </w:p>
        </w:tc>
        <w:tc>
          <w:tcPr>
            <w:tcW w:w="4827" w:type="dxa"/>
          </w:tcPr>
          <w:p w14:paraId="6C2B76E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experience may be limited.</w:t>
            </w:r>
          </w:p>
        </w:tc>
      </w:tr>
      <w:tr w:rsidR="008C6023" w14:paraId="36C604AE" w14:textId="77777777" w:rsidTr="00537BE9">
        <w:trPr>
          <w:trHeight w:val="785"/>
        </w:trPr>
        <w:tc>
          <w:tcPr>
            <w:tcW w:w="4197" w:type="dxa"/>
          </w:tcPr>
          <w:p w14:paraId="272A379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Committed to continuous learning and development.</w:t>
            </w:r>
          </w:p>
        </w:tc>
        <w:tc>
          <w:tcPr>
            <w:tcW w:w="4827" w:type="dxa"/>
          </w:tcPr>
          <w:p w14:paraId="19A3AA3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Need for additional healthcare knowledge and competencies.</w:t>
            </w:r>
          </w:p>
        </w:tc>
      </w:tr>
    </w:tbl>
    <w:p w14:paraId="65AE54FC" w14:textId="77777777" w:rsidR="008C6023" w:rsidRDefault="008C6023">
      <w:pPr>
        <w:spacing w:line="360" w:lineRule="auto"/>
        <w:jc w:val="both"/>
        <w:rPr>
          <w:rFonts w:ascii="Times New Roman" w:eastAsia="Times New Roman" w:hAnsi="Times New Roman" w:cs="Times New Roman"/>
          <w:sz w:val="24"/>
          <w:szCs w:val="24"/>
        </w:rPr>
      </w:pPr>
    </w:p>
    <w:tbl>
      <w:tblPr>
        <w:tblStyle w:val="GridTable5Dark-Accent5"/>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549"/>
        <w:gridCol w:w="4476"/>
      </w:tblGrid>
      <w:tr w:rsidR="008C6023" w14:paraId="151FD836" w14:textId="77777777" w:rsidTr="00537BE9">
        <w:trPr>
          <w:trHeight w:val="500"/>
        </w:trPr>
        <w:tc>
          <w:tcPr>
            <w:tcW w:w="4549" w:type="dxa"/>
          </w:tcPr>
          <w:p w14:paraId="6BFF3637"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Opportunities</w:t>
            </w:r>
          </w:p>
        </w:tc>
        <w:tc>
          <w:tcPr>
            <w:tcW w:w="4476" w:type="dxa"/>
          </w:tcPr>
          <w:p w14:paraId="38CFC0AF"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Threats</w:t>
            </w:r>
          </w:p>
        </w:tc>
      </w:tr>
      <w:tr w:rsidR="008C6023" w14:paraId="286939A7" w14:textId="77777777" w:rsidTr="00537BE9">
        <w:trPr>
          <w:trHeight w:val="785"/>
        </w:trPr>
        <w:tc>
          <w:tcPr>
            <w:tcW w:w="4549" w:type="dxa"/>
          </w:tcPr>
          <w:p w14:paraId="01B652E8"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workshops and training courses.</w:t>
            </w:r>
          </w:p>
        </w:tc>
        <w:tc>
          <w:tcPr>
            <w:tcW w:w="4476" w:type="dxa"/>
          </w:tcPr>
          <w:p w14:paraId="4A97461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constraints from study, work, or personal commitments.</w:t>
            </w:r>
          </w:p>
        </w:tc>
      </w:tr>
      <w:tr w:rsidR="008C6023" w14:paraId="6967D3EA" w14:textId="77777777" w:rsidTr="00537BE9">
        <w:trPr>
          <w:trHeight w:val="785"/>
        </w:trPr>
        <w:tc>
          <w:tcPr>
            <w:tcW w:w="4549" w:type="dxa"/>
          </w:tcPr>
          <w:p w14:paraId="67D57CD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learning resources and online healthcare courses.</w:t>
            </w:r>
          </w:p>
        </w:tc>
        <w:tc>
          <w:tcPr>
            <w:tcW w:w="4476" w:type="dxa"/>
          </w:tcPr>
          <w:p w14:paraId="0423B873"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availability of training or volunteering opportunities.</w:t>
            </w:r>
          </w:p>
        </w:tc>
      </w:tr>
      <w:tr w:rsidR="008C6023" w14:paraId="6CD2DA23" w14:textId="77777777" w:rsidTr="00537BE9">
        <w:trPr>
          <w:trHeight w:val="785"/>
        </w:trPr>
        <w:tc>
          <w:tcPr>
            <w:tcW w:w="4549" w:type="dxa"/>
          </w:tcPr>
          <w:p w14:paraId="4F39A46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Volunteering and employment opportunities in healthcare.</w:t>
            </w:r>
          </w:p>
        </w:tc>
        <w:tc>
          <w:tcPr>
            <w:tcW w:w="4476" w:type="dxa"/>
          </w:tcPr>
          <w:p w14:paraId="7165E36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workplace pressures may reduce learning opportunities.</w:t>
            </w:r>
          </w:p>
        </w:tc>
      </w:tr>
      <w:tr w:rsidR="008C6023" w14:paraId="489B7188" w14:textId="77777777" w:rsidTr="00537BE9">
        <w:trPr>
          <w:trHeight w:val="785"/>
        </w:trPr>
        <w:tc>
          <w:tcPr>
            <w:tcW w:w="4549" w:type="dxa"/>
          </w:tcPr>
          <w:p w14:paraId="70074F3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Mentoring from experienced healthcare professionals.</w:t>
            </w:r>
          </w:p>
        </w:tc>
        <w:tc>
          <w:tcPr>
            <w:tcW w:w="4476" w:type="dxa"/>
          </w:tcPr>
          <w:p w14:paraId="63763350"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feedback could slow professional development.</w:t>
            </w:r>
          </w:p>
        </w:tc>
      </w:tr>
      <w:tr w:rsidR="008C6023" w14:paraId="3C119E3D" w14:textId="77777777" w:rsidTr="00537BE9">
        <w:trPr>
          <w:trHeight w:val="785"/>
        </w:trPr>
        <w:tc>
          <w:tcPr>
            <w:tcW w:w="4549" w:type="dxa"/>
          </w:tcPr>
          <w:p w14:paraId="0E5F56B6"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activities and leadership opportunities in the workplace.</w:t>
            </w:r>
          </w:p>
        </w:tc>
        <w:tc>
          <w:tcPr>
            <w:tcW w:w="4476" w:type="dxa"/>
          </w:tcPr>
          <w:p w14:paraId="7A8E3198"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healthcare requirements or training standards.</w:t>
            </w:r>
          </w:p>
        </w:tc>
      </w:tr>
    </w:tbl>
    <w:p w14:paraId="0AF0541E" w14:textId="77777777" w:rsidR="008C6023" w:rsidRDefault="008C6023">
      <w:pPr>
        <w:spacing w:line="360" w:lineRule="auto"/>
        <w:jc w:val="both"/>
        <w:rPr>
          <w:rFonts w:ascii="Times New Roman" w:eastAsia="Times New Roman" w:hAnsi="Times New Roman" w:cs="Times New Roman"/>
          <w:sz w:val="24"/>
          <w:szCs w:val="24"/>
        </w:rPr>
      </w:pPr>
    </w:p>
    <w:p w14:paraId="40D7C117"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Goal 1: Improve Communication Skills in Healthcare Settings</w:t>
      </w:r>
    </w:p>
    <w:p w14:paraId="3017600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vital for giving safe, person-centred care and forming good relationships with patients and colleagues (Meneses-La-Riva et al., 2025). I have good communication skills but I know that it is crucial to ensure that this skill is continually developed to keep up with healthcare practice. I will take communication training sessions over the next year, practise active listening skills and will ask for regular feedback from supervisors and colleagues. Will use reflective practice and feedback discussions to track progress. Success will be reflected in improved confidence in communication with patients and feedback from patients on my communication skills.</w:t>
      </w:r>
    </w:p>
    <w:p w14:paraId="0BCCC49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will acquire the knowledge and practical skills to work in the healthcare sector.</w:t>
      </w:r>
    </w:p>
    <w:p w14:paraId="499F9878"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broaden my knowledge of the working of the health care system and develop more experience in doing work as a competent Healthcare Assistant. I plan to undertake further health care training and make the most of opportunities for learning in the workplace. The acquisition of these skills will enhance my patient care skills, and boost my confidence in my professional practice. Progress will be tracked by completed training records, practical </w:t>
      </w:r>
      <w:r>
        <w:rPr>
          <w:rFonts w:ascii="Times New Roman" w:eastAsia="Times New Roman" w:hAnsi="Times New Roman" w:cs="Times New Roman"/>
          <w:sz w:val="24"/>
          <w:szCs w:val="24"/>
        </w:rPr>
        <w:lastRenderedPageBreak/>
        <w:t>assessments and feedback from highly experienced healthcare personnel (Allen, 2023). The successful completion of training programmes and increased competence in healthcare related tasks will be used to assess progress towards this goal.</w:t>
      </w:r>
    </w:p>
    <w:p w14:paraId="0AA920D8"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 3: Improve leadership and teamwork skills</w:t>
      </w:r>
    </w:p>
    <w:p w14:paraId="155DAB81"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patient care will require a multidisciplinary approach between healthcare professionals (Bates et al., 2025). In the coming two years, I hope to develop my team work and leadership skills by engaging in team activities, offering to take on more tasks, and observing and learning from more experienced members. This will help me to progress in my career and take on more responsibilities in health care. I will monitor my progress by obtaining feedback from my supervisor, self-assessment and performance appraisals at work. Success will be achieved by having increased confidence in team activities and being able to contribute positively to the team goals.</w:t>
      </w:r>
    </w:p>
    <w:p w14:paraId="45892DB5" w14:textId="77777777" w:rsidR="008C6023" w:rsidRDefault="00000000" w:rsidP="00537BE9">
      <w:pPr>
        <w:pStyle w:val="Heading1"/>
      </w:pPr>
      <w:bookmarkStart w:id="2" w:name="_Toc232888766"/>
      <w:r>
        <w:t>Task 3b – Personal Development Plan (PDP)</w:t>
      </w:r>
      <w:bookmarkEnd w:id="2"/>
    </w:p>
    <w:p w14:paraId="3AAB5B49" w14:textId="77777777" w:rsidR="008C6023" w:rsidRPr="00537BE9" w:rsidRDefault="00000000" w:rsidP="00537BE9">
      <w:pPr>
        <w:rPr>
          <w:rFonts w:ascii="Times New Roman" w:hAnsi="Times New Roman" w:cs="Times New Roman"/>
          <w:b/>
          <w:bCs/>
          <w:sz w:val="24"/>
          <w:szCs w:val="24"/>
        </w:rPr>
      </w:pPr>
      <w:bookmarkStart w:id="3" w:name="_v3qns3uw3ts1" w:colFirst="0" w:colLast="0"/>
      <w:bookmarkEnd w:id="3"/>
      <w:r w:rsidRPr="00537BE9">
        <w:rPr>
          <w:rFonts w:ascii="Times New Roman" w:hAnsi="Times New Roman" w:cs="Times New Roman"/>
          <w:b/>
          <w:bCs/>
          <w:sz w:val="24"/>
          <w:szCs w:val="24"/>
        </w:rPr>
        <w:t>Plan</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04"/>
        <w:gridCol w:w="1504"/>
        <w:gridCol w:w="1504"/>
        <w:gridCol w:w="1504"/>
        <w:gridCol w:w="1504"/>
        <w:gridCol w:w="1504"/>
      </w:tblGrid>
      <w:tr w:rsidR="008C6023" w14:paraId="2F9536F5" w14:textId="77777777" w:rsidTr="00537BE9">
        <w:tc>
          <w:tcPr>
            <w:tcW w:w="1504" w:type="dxa"/>
          </w:tcPr>
          <w:p w14:paraId="5AD9D3E3"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Development Area</w:t>
            </w:r>
          </w:p>
        </w:tc>
        <w:tc>
          <w:tcPr>
            <w:tcW w:w="1504" w:type="dxa"/>
          </w:tcPr>
          <w:p w14:paraId="71A29988"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SMART Goal</w:t>
            </w:r>
          </w:p>
        </w:tc>
        <w:tc>
          <w:tcPr>
            <w:tcW w:w="1504" w:type="dxa"/>
          </w:tcPr>
          <w:p w14:paraId="05E8F018"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Actions to be Taken</w:t>
            </w:r>
          </w:p>
        </w:tc>
        <w:tc>
          <w:tcPr>
            <w:tcW w:w="1504" w:type="dxa"/>
          </w:tcPr>
          <w:p w14:paraId="544F7B98"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Resources Required</w:t>
            </w:r>
          </w:p>
        </w:tc>
        <w:tc>
          <w:tcPr>
            <w:tcW w:w="1504" w:type="dxa"/>
          </w:tcPr>
          <w:p w14:paraId="08455CE0"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Target Date</w:t>
            </w:r>
          </w:p>
        </w:tc>
        <w:tc>
          <w:tcPr>
            <w:tcW w:w="1504" w:type="dxa"/>
          </w:tcPr>
          <w:p w14:paraId="6808AB01" w14:textId="77777777" w:rsidR="008C602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Monitoring and Evaluation</w:t>
            </w:r>
          </w:p>
        </w:tc>
      </w:tr>
      <w:tr w:rsidR="008C6023" w14:paraId="29A861AB" w14:textId="77777777" w:rsidTr="00537BE9">
        <w:tc>
          <w:tcPr>
            <w:tcW w:w="1504" w:type="dxa"/>
          </w:tcPr>
          <w:p w14:paraId="0A6A169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504" w:type="dxa"/>
          </w:tcPr>
          <w:p w14:paraId="22F0900B"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professional communication skills to interact confidently with patients, families, and colleagues within 12 months.</w:t>
            </w:r>
          </w:p>
        </w:tc>
        <w:tc>
          <w:tcPr>
            <w:tcW w:w="1504" w:type="dxa"/>
          </w:tcPr>
          <w:p w14:paraId="01D2C7E6"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communication workshops, practise active listening, and seek feedback from supervisors.</w:t>
            </w:r>
          </w:p>
        </w:tc>
        <w:tc>
          <w:tcPr>
            <w:tcW w:w="1504" w:type="dxa"/>
          </w:tcPr>
          <w:p w14:paraId="0E4B6420"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training courses, workplace guidance, supervisor feedback.</w:t>
            </w:r>
          </w:p>
        </w:tc>
        <w:tc>
          <w:tcPr>
            <w:tcW w:w="1504" w:type="dxa"/>
          </w:tcPr>
          <w:p w14:paraId="7D4CE17C"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July 2027</w:t>
            </w:r>
          </w:p>
        </w:tc>
        <w:tc>
          <w:tcPr>
            <w:tcW w:w="1504" w:type="dxa"/>
          </w:tcPr>
          <w:p w14:paraId="09735C4B"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a reflective journal and review feedback monthly.</w:t>
            </w:r>
          </w:p>
        </w:tc>
      </w:tr>
      <w:tr w:rsidR="008C6023" w14:paraId="10E77482" w14:textId="77777777" w:rsidTr="00537BE9">
        <w:tc>
          <w:tcPr>
            <w:tcW w:w="1504" w:type="dxa"/>
          </w:tcPr>
          <w:p w14:paraId="3BB7AE58"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Healthcare Knowledge and Practical Skills</w:t>
            </w:r>
          </w:p>
        </w:tc>
        <w:tc>
          <w:tcPr>
            <w:tcW w:w="1504" w:type="dxa"/>
          </w:tcPr>
          <w:p w14:paraId="10A83BE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 healthcare knowledge and practical </w:t>
            </w:r>
            <w:r>
              <w:rPr>
                <w:rFonts w:ascii="Times New Roman" w:eastAsia="Times New Roman" w:hAnsi="Times New Roman" w:cs="Times New Roman"/>
                <w:sz w:val="24"/>
                <w:szCs w:val="24"/>
              </w:rPr>
              <w:lastRenderedPageBreak/>
              <w:t>skills by completing relevant training courses and gaining practical experience within 18 months.</w:t>
            </w:r>
          </w:p>
        </w:tc>
        <w:tc>
          <w:tcPr>
            <w:tcW w:w="1504" w:type="dxa"/>
          </w:tcPr>
          <w:p w14:paraId="210F409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Complete healthcare-related courses, </w:t>
            </w:r>
            <w:r>
              <w:rPr>
                <w:rFonts w:ascii="Times New Roman" w:eastAsia="Times New Roman" w:hAnsi="Times New Roman" w:cs="Times New Roman"/>
                <w:sz w:val="24"/>
                <w:szCs w:val="24"/>
              </w:rPr>
              <w:lastRenderedPageBreak/>
              <w:t>participate in workplace learning, and observe experienced staff.</w:t>
            </w:r>
          </w:p>
        </w:tc>
        <w:tc>
          <w:tcPr>
            <w:tcW w:w="1504" w:type="dxa"/>
          </w:tcPr>
          <w:p w14:paraId="612DF716"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NHS training programmes, online learning </w:t>
            </w:r>
            <w:r>
              <w:rPr>
                <w:rFonts w:ascii="Times New Roman" w:eastAsia="Times New Roman" w:hAnsi="Times New Roman" w:cs="Times New Roman"/>
                <w:sz w:val="24"/>
                <w:szCs w:val="24"/>
              </w:rPr>
              <w:lastRenderedPageBreak/>
              <w:t>resources, workplace opportunities.</w:t>
            </w:r>
          </w:p>
        </w:tc>
        <w:tc>
          <w:tcPr>
            <w:tcW w:w="1504" w:type="dxa"/>
          </w:tcPr>
          <w:p w14:paraId="3B6CE81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January 2028</w:t>
            </w:r>
          </w:p>
        </w:tc>
        <w:tc>
          <w:tcPr>
            <w:tcW w:w="1504" w:type="dxa"/>
          </w:tcPr>
          <w:p w14:paraId="5C10F081"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 progress through completed </w:t>
            </w:r>
            <w:r>
              <w:rPr>
                <w:rFonts w:ascii="Times New Roman" w:eastAsia="Times New Roman" w:hAnsi="Times New Roman" w:cs="Times New Roman"/>
                <w:sz w:val="24"/>
                <w:szCs w:val="24"/>
              </w:rPr>
              <w:lastRenderedPageBreak/>
              <w:t>certificates, workplace assessments, and supervisor evaluations.</w:t>
            </w:r>
          </w:p>
        </w:tc>
      </w:tr>
      <w:tr w:rsidR="008C6023" w14:paraId="27425F00" w14:textId="77777777" w:rsidTr="00537BE9">
        <w:tc>
          <w:tcPr>
            <w:tcW w:w="1504" w:type="dxa"/>
          </w:tcPr>
          <w:p w14:paraId="1A6D6B6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Leadership and Teamwork Skills</w:t>
            </w:r>
          </w:p>
        </w:tc>
        <w:tc>
          <w:tcPr>
            <w:tcW w:w="1504" w:type="dxa"/>
          </w:tcPr>
          <w:p w14:paraId="72BF2A62"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leadership and teamwork abilities by taking on additional responsibilities and participating actively in team activities within 24 months.</w:t>
            </w:r>
          </w:p>
        </w:tc>
        <w:tc>
          <w:tcPr>
            <w:tcW w:w="1504" w:type="dxa"/>
          </w:tcPr>
          <w:p w14:paraId="2AC9E01F"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Volunteer for team tasks, work closely with multidisciplinary teams, and learn from experienced professionals.</w:t>
            </w:r>
          </w:p>
        </w:tc>
        <w:tc>
          <w:tcPr>
            <w:tcW w:w="1504" w:type="dxa"/>
          </w:tcPr>
          <w:p w14:paraId="1DA7DC1B"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Mentoring support, workplace development opportunities, team meetings.</w:t>
            </w:r>
          </w:p>
        </w:tc>
        <w:tc>
          <w:tcPr>
            <w:tcW w:w="1504" w:type="dxa"/>
          </w:tcPr>
          <w:p w14:paraId="4BB3BF4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July 2028</w:t>
            </w:r>
          </w:p>
        </w:tc>
        <w:tc>
          <w:tcPr>
            <w:tcW w:w="1504" w:type="dxa"/>
          </w:tcPr>
          <w:p w14:paraId="49BE5EA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 progress through performance reviews, mentor feedback, and self-reflection</w:t>
            </w:r>
          </w:p>
        </w:tc>
      </w:tr>
    </w:tbl>
    <w:p w14:paraId="3843422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this Personal Development Plan is a good road map for my professional goals in the next two years. Ongoing learning, reflective practice and regular evaluation will enable me to track my learning and to continue building my skills for effective practice within the healthcare field.</w:t>
      </w:r>
    </w:p>
    <w:p w14:paraId="074E23D2" w14:textId="77777777" w:rsidR="008C6023" w:rsidRDefault="00000000" w:rsidP="00537BE9">
      <w:pPr>
        <w:pStyle w:val="Heading1"/>
      </w:pPr>
      <w:bookmarkStart w:id="4" w:name="_Toc232888767"/>
      <w:r>
        <w:t>Task 4 – Critical Reflection</w:t>
      </w:r>
      <w:bookmarkEnd w:id="4"/>
    </w:p>
    <w:p w14:paraId="5BC0EB9B"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w:t>
      </w:r>
    </w:p>
    <w:p w14:paraId="131B7B9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this unit I presented on communication skills in health and social care. The aim of the presentation was to clarify the meaning of communication and its significance to professional practice. In the presentation I talked about the definition of communication, various approaches to communication, the Shannon and Weaver Communication Model and applied it to a practical case example of how communication can be used in a healthcare context (Bates et al., 2025). It involved making PowerPoint slides, finding information to support the presentation and practicing the presentation before presenting to the audience.</w:t>
      </w:r>
    </w:p>
    <w:p w14:paraId="20621BDD"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Feelings</w:t>
      </w:r>
    </w:p>
    <w:p w14:paraId="6ED3C15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Nervousness prior to the presentation was due to my lack of confidence in delivering speeches. Worrying about leaving out important information and getting things wrong in the presentation (Nasser, 2023). However, I also felt prepared because I had spent time researching the topic and organising my slides carefully. My confidence slowly started to grow as the presentation went on. I felt more at ease with talking about the subject and how I thought about it. Following this presentation, I felt relieved and satisfied because I had successfully carried out the presentation and successfully conveyed the key information.</w:t>
      </w:r>
    </w:p>
    <w:p w14:paraId="4CAD9241"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Evaluation</w:t>
      </w:r>
    </w:p>
    <w:p w14:paraId="39D0AB7E"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some good things to say in my presentation. I was aware that this was an expectation and had my slides in a logical sequence, which helped the audience to follow the information. Demonstrated the importance of communicating in health and social care and gave an example to illustrate this in a practical setting. I also included a known model of communication, which aided with my discussion.</w:t>
      </w:r>
    </w:p>
    <w:p w14:paraId="154FDF7C"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there were other things that could have been done better. I knew the material well but sometimes took too much from my notes. This meant that I was not in as much eye contact with the audience as I would have liked which could have impacted on audience engagement. Also, I was a bit nervous and so I spoke a little quicker at some places during the presentation. These all contributed to the general quality of my performance being held back.</w:t>
      </w:r>
    </w:p>
    <w:p w14:paraId="343D624D"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w:t>
      </w:r>
    </w:p>
    <w:p w14:paraId="31F0FE0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experience emphasized the need to be prepared, confident and effective with presentation skills. I think that one of the things that I did well was to get ready for the assessment. When I looked into the issue and practiced my speech, I was able to get more of an idea of the topic and more confident in myself. Consequently, I could provide accurate explanations of important concepts and answer questions appropriately.</w:t>
      </w:r>
    </w:p>
    <w:p w14:paraId="054E85DA"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Meanwhile, the presentation illustrated that public speaking is a domain that needs improvement. Nervousness is a natural occurrence when speaking in front of an audience, but </w:t>
      </w:r>
      <w:r>
        <w:rPr>
          <w:rFonts w:ascii="Times New Roman" w:eastAsia="Times New Roman" w:hAnsi="Times New Roman" w:cs="Times New Roman"/>
          <w:sz w:val="24"/>
          <w:szCs w:val="24"/>
        </w:rPr>
        <w:lastRenderedPageBreak/>
        <w:t>if it's not addressed properly, it can have an impact on communication (Li, 2020). Eye contact, pacing of speaking, and interacting with the audience are some of the key areas of effective presentation. This experience taught me that not only was it important to know about the presentation but it was also important to be able to present the information with confidence and engage in interaction with the audience.</w:t>
      </w:r>
    </w:p>
    <w:p w14:paraId="3071A2DC"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1281A146"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 general, the presentation was a good learning experience for me and I gained some of the skills I needed in my studies and career. I was able to demonstrate my understanding of communication in health and social care and to meet the requirements of the assessment successfully. This helped me to gain confidence and get a chance to speak in public. Meanwhile, it pointed to issues that need to be addressed in the future, such as the way presentations are delivered and how they are received.</w:t>
      </w:r>
    </w:p>
    <w:p w14:paraId="1214BB9F"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Action Plan</w:t>
      </w:r>
    </w:p>
    <w:p w14:paraId="406E7749"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future presentations, I will be working on enhancing my own public speaking abilities by practicing more frequently and taking advantage of situations to speak in front of others. I will minimize the use of notes by rehearsing more and be more familiar with content. I also hope to enhance my eye contact, voice projection and audience interaction skills. Asking other students and lecturers for feedback will assist me in identifying other areas for improvement (</w:t>
      </w:r>
      <w:proofErr w:type="spellStart"/>
      <w:r>
        <w:rPr>
          <w:rFonts w:ascii="Times New Roman" w:eastAsia="Times New Roman" w:hAnsi="Times New Roman" w:cs="Times New Roman"/>
          <w:sz w:val="24"/>
          <w:szCs w:val="24"/>
        </w:rPr>
        <w:t>Jenstad</w:t>
      </w:r>
      <w:proofErr w:type="spellEnd"/>
      <w:r>
        <w:rPr>
          <w:rFonts w:ascii="Times New Roman" w:eastAsia="Times New Roman" w:hAnsi="Times New Roman" w:cs="Times New Roman"/>
          <w:sz w:val="24"/>
          <w:szCs w:val="24"/>
        </w:rPr>
        <w:t xml:space="preserve"> et al., 2024). These strategies will help me to be a more confident and effective communicator in academic and professional healthcare settings.</w:t>
      </w:r>
    </w:p>
    <w:p w14:paraId="68E31205" w14:textId="77777777" w:rsidR="008C6023"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6A37363C" w14:textId="77777777" w:rsidR="008C60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portfolio has helped me evaluate my current skills, and identify some gaps in my current abilities, as well as set goals for growth and improvement in my future. I have learned more about the skills and qualities that are required to be effective as a Healthcare Assistant by completing the CV, personal statement, SWOT analysis and Personal Development Plan and the critical reflection. The portfolio has helped me to identify my strengths and identified areas for development.</w:t>
      </w:r>
    </w:p>
    <w:p w14:paraId="5923D9CB" w14:textId="77777777" w:rsidR="00537BE9" w:rsidRDefault="00537BE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632895A1" w14:textId="4500154C" w:rsidR="008C6023" w:rsidRDefault="00000000" w:rsidP="00537BE9">
      <w:pPr>
        <w:pStyle w:val="Heading1"/>
      </w:pPr>
      <w:bookmarkStart w:id="5" w:name="_Toc232888768"/>
      <w:r>
        <w:lastRenderedPageBreak/>
        <w:t>References</w:t>
      </w:r>
      <w:bookmarkEnd w:id="5"/>
      <w:r>
        <w:t xml:space="preserve"> </w:t>
      </w:r>
    </w:p>
    <w:p w14:paraId="270128AB"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Allen, A. (2023). Working with People. </w:t>
      </w:r>
      <w:r>
        <w:rPr>
          <w:rFonts w:ascii="Times New Roman" w:eastAsia="Times New Roman" w:hAnsi="Times New Roman" w:cs="Times New Roman"/>
          <w:i/>
          <w:iCs/>
          <w:sz w:val="24"/>
          <w:szCs w:val="24"/>
        </w:rPr>
        <w:t>Key Themes in Health and Social Care</w:t>
      </w:r>
      <w:r>
        <w:rPr>
          <w:rFonts w:ascii="Times New Roman" w:eastAsia="Times New Roman" w:hAnsi="Times New Roman" w:cs="Times New Roman"/>
          <w:sz w:val="24"/>
          <w:szCs w:val="24"/>
        </w:rPr>
        <w:t xml:space="preserve">, [online] pp.53–66.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://doi.org/10.4324/9781003079873-6</w:t>
      </w:r>
      <w:proofErr w:type="gramEnd"/>
      <w:r>
        <w:rPr>
          <w:rFonts w:ascii="Times New Roman" w:eastAsia="Times New Roman" w:hAnsi="Times New Roman" w:cs="Times New Roman"/>
          <w:sz w:val="24"/>
          <w:szCs w:val="24"/>
        </w:rPr>
        <w:t>.</w:t>
      </w:r>
    </w:p>
    <w:p w14:paraId="7281E02A"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Bates, S.M., Lin, J., Allen, L.N., Wright, M. and Kidd, M. (2025). Can multidisciplinary teams improve the quality of primary care? A scoping review. </w:t>
      </w:r>
      <w:proofErr w:type="spellStart"/>
      <w:r>
        <w:rPr>
          <w:rFonts w:ascii="Times New Roman" w:eastAsia="Times New Roman" w:hAnsi="Times New Roman" w:cs="Times New Roman"/>
          <w:i/>
          <w:iCs/>
          <w:sz w:val="24"/>
          <w:szCs w:val="24"/>
        </w:rPr>
        <w:t>eClinicalMedicine</w:t>
      </w:r>
      <w:proofErr w:type="spellEnd"/>
      <w:r>
        <w:rPr>
          <w:rFonts w:ascii="Times New Roman" w:eastAsia="Times New Roman" w:hAnsi="Times New Roman" w:cs="Times New Roman"/>
          <w:sz w:val="24"/>
          <w:szCs w:val="24"/>
        </w:rPr>
        <w:t xml:space="preserve">, [online] 88, p.103497.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://doi.org/10.1016/j.eclinm.2025.103497</w:t>
      </w:r>
      <w:proofErr w:type="gramEnd"/>
      <w:r>
        <w:rPr>
          <w:rFonts w:ascii="Times New Roman" w:eastAsia="Times New Roman" w:hAnsi="Times New Roman" w:cs="Times New Roman"/>
          <w:sz w:val="24"/>
          <w:szCs w:val="24"/>
        </w:rPr>
        <w:t>.</w:t>
      </w:r>
    </w:p>
    <w:p w14:paraId="7B81A65D" w14:textId="77777777" w:rsidR="008C6023"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Jenstad</w:t>
      </w:r>
      <w:proofErr w:type="spellEnd"/>
      <w:r>
        <w:rPr>
          <w:rFonts w:ascii="Times New Roman" w:eastAsia="Times New Roman" w:hAnsi="Times New Roman" w:cs="Times New Roman"/>
          <w:sz w:val="24"/>
          <w:szCs w:val="24"/>
        </w:rPr>
        <w:t xml:space="preserve">, L.M., Howe, T., Breau, G., Abel, J., Colozzo, P., Halas, G., Mason, G., Rieger, C., Simon, L. and Strachan, S. (2024). Communication between Healthcare Providers and communicatively-vulnerable Patients with Associated Health outcomes: a Scoping Review of Knowledge Syntheses. </w:t>
      </w:r>
      <w:r>
        <w:rPr>
          <w:rFonts w:ascii="Times New Roman" w:eastAsia="Times New Roman" w:hAnsi="Times New Roman" w:cs="Times New Roman"/>
          <w:i/>
          <w:iCs/>
          <w:sz w:val="24"/>
          <w:szCs w:val="24"/>
        </w:rPr>
        <w:t xml:space="preserve">Patient Education and </w:t>
      </w:r>
      <w:proofErr w:type="spellStart"/>
      <w:r>
        <w:rPr>
          <w:rFonts w:ascii="Times New Roman" w:eastAsia="Times New Roman" w:hAnsi="Times New Roman" w:cs="Times New Roman"/>
          <w:i/>
          <w:iCs/>
          <w:sz w:val="24"/>
          <w:szCs w:val="24"/>
        </w:rPr>
        <w:t>Counseling</w:t>
      </w:r>
      <w:proofErr w:type="spellEnd"/>
      <w:r>
        <w:rPr>
          <w:rFonts w:ascii="Times New Roman" w:eastAsia="Times New Roman" w:hAnsi="Times New Roman" w:cs="Times New Roman"/>
          <w:sz w:val="24"/>
          <w:szCs w:val="24"/>
        </w:rPr>
        <w:t xml:space="preserve">, [online] 119(1).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://doi.org/10.1016/j.pec.2023.108040</w:t>
      </w:r>
      <w:proofErr w:type="gramEnd"/>
      <w:r>
        <w:rPr>
          <w:rFonts w:ascii="Times New Roman" w:eastAsia="Times New Roman" w:hAnsi="Times New Roman" w:cs="Times New Roman"/>
          <w:sz w:val="24"/>
          <w:szCs w:val="24"/>
        </w:rPr>
        <w:t>.</w:t>
      </w:r>
    </w:p>
    <w:p w14:paraId="37D82869"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T. (2020). Analysis on the Causes and Treatment of Public Speaking Anxiety. </w:t>
      </w:r>
      <w:r>
        <w:rPr>
          <w:rFonts w:ascii="Times New Roman" w:eastAsia="Times New Roman" w:hAnsi="Times New Roman" w:cs="Times New Roman"/>
          <w:i/>
          <w:iCs/>
          <w:sz w:val="24"/>
          <w:szCs w:val="24"/>
        </w:rPr>
        <w:t>Proceedings of the 2020 4th International Seminar on Education, Management and Social Sciences (ISEMSS 2020)</w:t>
      </w:r>
      <w:r>
        <w:rPr>
          <w:rFonts w:ascii="Times New Roman" w:eastAsia="Times New Roman" w:hAnsi="Times New Roman" w:cs="Times New Roman"/>
          <w:sz w:val="24"/>
          <w:szCs w:val="24"/>
        </w:rPr>
        <w:t xml:space="preserve">, 466.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://doi.org/10.2991/assehr.k.200826.103</w:t>
      </w:r>
      <w:proofErr w:type="gramEnd"/>
      <w:r>
        <w:rPr>
          <w:rFonts w:ascii="Times New Roman" w:eastAsia="Times New Roman" w:hAnsi="Times New Roman" w:cs="Times New Roman"/>
          <w:sz w:val="24"/>
          <w:szCs w:val="24"/>
        </w:rPr>
        <w:t>.</w:t>
      </w:r>
    </w:p>
    <w:p w14:paraId="7A9309E6"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Meneses-La-Riva, M.E., Fernández-Bedoya, V.H., </w:t>
      </w:r>
      <w:proofErr w:type="spellStart"/>
      <w:r>
        <w:rPr>
          <w:rFonts w:ascii="Times New Roman" w:eastAsia="Times New Roman" w:hAnsi="Times New Roman" w:cs="Times New Roman"/>
          <w:sz w:val="24"/>
          <w:szCs w:val="24"/>
        </w:rPr>
        <w:t>Suyo</w:t>
      </w:r>
      <w:proofErr w:type="spellEnd"/>
      <w:r>
        <w:rPr>
          <w:rFonts w:ascii="Times New Roman" w:eastAsia="Times New Roman" w:hAnsi="Times New Roman" w:cs="Times New Roman"/>
          <w:sz w:val="24"/>
          <w:szCs w:val="24"/>
        </w:rPr>
        <w:t xml:space="preserve">-Vega, J.A., </w:t>
      </w:r>
      <w:proofErr w:type="spellStart"/>
      <w:r>
        <w:rPr>
          <w:rFonts w:ascii="Times New Roman" w:eastAsia="Times New Roman" w:hAnsi="Times New Roman" w:cs="Times New Roman"/>
          <w:sz w:val="24"/>
          <w:szCs w:val="24"/>
        </w:rPr>
        <w:t>Ocupa</w:t>
      </w:r>
      <w:proofErr w:type="spellEnd"/>
      <w:r>
        <w:rPr>
          <w:rFonts w:ascii="Times New Roman" w:eastAsia="Times New Roman" w:hAnsi="Times New Roman" w:cs="Times New Roman"/>
          <w:sz w:val="24"/>
          <w:szCs w:val="24"/>
        </w:rPr>
        <w:t xml:space="preserve">-Cabrera, H.G., Grijalva-Salazar, R.V. and </w:t>
      </w:r>
      <w:proofErr w:type="spellStart"/>
      <w:r>
        <w:rPr>
          <w:rFonts w:ascii="Times New Roman" w:eastAsia="Times New Roman" w:hAnsi="Times New Roman" w:cs="Times New Roman"/>
          <w:sz w:val="24"/>
          <w:szCs w:val="24"/>
        </w:rPr>
        <w:t>Ocupa</w:t>
      </w:r>
      <w:proofErr w:type="spellEnd"/>
      <w:r>
        <w:rPr>
          <w:rFonts w:ascii="Times New Roman" w:eastAsia="Times New Roman" w:hAnsi="Times New Roman" w:cs="Times New Roman"/>
          <w:sz w:val="24"/>
          <w:szCs w:val="24"/>
        </w:rPr>
        <w:t xml:space="preserve">-Meneses, G. di D. (2025). Enhancing Healthcare Efficiency: The Relationship Between Effective Communication and Teamwork Among Nurses in Peru. </w:t>
      </w:r>
      <w:r>
        <w:rPr>
          <w:rFonts w:ascii="Times New Roman" w:eastAsia="Times New Roman" w:hAnsi="Times New Roman" w:cs="Times New Roman"/>
          <w:i/>
          <w:iCs/>
          <w:sz w:val="24"/>
          <w:szCs w:val="24"/>
        </w:rPr>
        <w:t>Nursing Reports</w:t>
      </w:r>
      <w:r>
        <w:rPr>
          <w:rFonts w:ascii="Times New Roman" w:eastAsia="Times New Roman" w:hAnsi="Times New Roman" w:cs="Times New Roman"/>
          <w:sz w:val="24"/>
          <w:szCs w:val="24"/>
        </w:rPr>
        <w:t xml:space="preserve">, [online] 15(2), pp.1–13.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://doi.org/10.3390/nursrep15020059</w:t>
      </w:r>
      <w:proofErr w:type="gramEnd"/>
      <w:r>
        <w:rPr>
          <w:rFonts w:ascii="Times New Roman" w:eastAsia="Times New Roman" w:hAnsi="Times New Roman" w:cs="Times New Roman"/>
          <w:sz w:val="24"/>
          <w:szCs w:val="24"/>
        </w:rPr>
        <w:t>.</w:t>
      </w:r>
    </w:p>
    <w:p w14:paraId="75EFC0E0"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Nasser, H. (2023). </w:t>
      </w:r>
      <w:r>
        <w:rPr>
          <w:rFonts w:ascii="Times New Roman" w:eastAsia="Times New Roman" w:hAnsi="Times New Roman" w:cs="Times New Roman"/>
          <w:i/>
          <w:iCs/>
          <w:sz w:val="24"/>
          <w:szCs w:val="24"/>
        </w:rPr>
        <w:t>If you are nervous about a presentation</w:t>
      </w:r>
      <w:r>
        <w:rPr>
          <w:rFonts w:ascii="Times New Roman" w:eastAsia="Times New Roman" w:hAnsi="Times New Roman" w:cs="Times New Roman"/>
          <w:sz w:val="24"/>
          <w:szCs w:val="24"/>
        </w:rPr>
        <w:t>. [online] Medium. Available at: https://medium.com/@hnasr/if-you-are-nervous-about-a-presentation-9a8111eb4970 [Accessed 20 Jun. 2026].</w:t>
      </w:r>
    </w:p>
    <w:p w14:paraId="09C74930" w14:textId="77777777" w:rsidR="008C6023"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England (2025). </w:t>
      </w:r>
      <w:r>
        <w:rPr>
          <w:rFonts w:ascii="Times New Roman" w:eastAsia="Times New Roman" w:hAnsi="Times New Roman" w:cs="Times New Roman"/>
          <w:i/>
          <w:iCs/>
          <w:sz w:val="24"/>
          <w:szCs w:val="24"/>
        </w:rPr>
        <w:t>NHS England» Education quality review: George Eliot Hospitals NHS Trust</w:t>
      </w:r>
      <w:r>
        <w:rPr>
          <w:rFonts w:ascii="Times New Roman" w:eastAsia="Times New Roman" w:hAnsi="Times New Roman" w:cs="Times New Roman"/>
          <w:sz w:val="24"/>
          <w:szCs w:val="24"/>
        </w:rPr>
        <w:t>. [online] England.nhs.uk. Available at: https://www.england.nhs.uk/long-read/education-quality-review-george-eliot-hospitals-nhs-trust/ [Accessed 20 Jun. 2026].</w:t>
      </w:r>
    </w:p>
    <w:p w14:paraId="3D4F7AFF" w14:textId="77777777" w:rsidR="008C6023" w:rsidRDefault="008C6023">
      <w:pPr>
        <w:spacing w:line="360" w:lineRule="auto"/>
        <w:jc w:val="both"/>
        <w:rPr>
          <w:rFonts w:ascii="Times New Roman" w:eastAsia="Times New Roman" w:hAnsi="Times New Roman" w:cs="Times New Roman"/>
          <w:sz w:val="24"/>
          <w:szCs w:val="24"/>
        </w:rPr>
      </w:pPr>
    </w:p>
    <w:sectPr w:rsidR="008C6023" w:rsidSect="001A4330">
      <w:footerReference w:type="default" r:id="rId10"/>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511ED" w14:textId="77777777" w:rsidR="002932E8" w:rsidRDefault="002932E8" w:rsidP="00FC03CF">
      <w:pPr>
        <w:spacing w:line="240" w:lineRule="auto"/>
      </w:pPr>
      <w:r>
        <w:separator/>
      </w:r>
    </w:p>
  </w:endnote>
  <w:endnote w:type="continuationSeparator" w:id="0">
    <w:p w14:paraId="28AD3D07" w14:textId="77777777" w:rsidR="002932E8" w:rsidRDefault="002932E8" w:rsidP="00FC0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AC766C2-7F88-44DB-9AA3-FFE175FA9724}"/>
  </w:font>
  <w:font w:name="Cambria">
    <w:panose1 w:val="02040503050406030204"/>
    <w:charset w:val="00"/>
    <w:family w:val="roman"/>
    <w:pitch w:val="variable"/>
    <w:sig w:usb0="E00006FF" w:usb1="420024FF" w:usb2="02000000" w:usb3="00000000" w:csb0="0000019F" w:csb1="00000000"/>
    <w:embedRegular r:id="rId2" w:fontKey="{A1A0B81D-1B2C-4830-8D9F-DB0978B712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45703"/>
      <w:docPartObj>
        <w:docPartGallery w:val="Page Numbers (Bottom of Page)"/>
        <w:docPartUnique/>
      </w:docPartObj>
    </w:sdtPr>
    <w:sdtEndPr>
      <w:rPr>
        <w:rFonts w:ascii="Times New Roman" w:hAnsi="Times New Roman" w:cs="Times New Roman"/>
        <w:noProof/>
        <w:sz w:val="20"/>
        <w:szCs w:val="20"/>
      </w:rPr>
    </w:sdtEndPr>
    <w:sdtContent>
      <w:p w14:paraId="5AE6C46A" w14:textId="11CD0F19" w:rsidR="00FC03CF" w:rsidRPr="00FC03CF" w:rsidRDefault="00FC03CF">
        <w:pPr>
          <w:pStyle w:val="Footer"/>
          <w:jc w:val="right"/>
          <w:rPr>
            <w:rFonts w:ascii="Times New Roman" w:hAnsi="Times New Roman" w:cs="Times New Roman"/>
            <w:sz w:val="20"/>
            <w:szCs w:val="20"/>
          </w:rPr>
        </w:pPr>
        <w:r w:rsidRPr="00FC03CF">
          <w:rPr>
            <w:rFonts w:ascii="Times New Roman" w:hAnsi="Times New Roman" w:cs="Times New Roman"/>
            <w:sz w:val="20"/>
            <w:szCs w:val="20"/>
          </w:rPr>
          <w:fldChar w:fldCharType="begin"/>
        </w:r>
        <w:r w:rsidRPr="00FC03CF">
          <w:rPr>
            <w:rFonts w:ascii="Times New Roman" w:hAnsi="Times New Roman" w:cs="Times New Roman"/>
            <w:sz w:val="20"/>
            <w:szCs w:val="20"/>
          </w:rPr>
          <w:instrText xml:space="preserve"> PAGE   \* MERGEFORMAT </w:instrText>
        </w:r>
        <w:r w:rsidRPr="00FC03CF">
          <w:rPr>
            <w:rFonts w:ascii="Times New Roman" w:hAnsi="Times New Roman" w:cs="Times New Roman"/>
            <w:sz w:val="20"/>
            <w:szCs w:val="20"/>
          </w:rPr>
          <w:fldChar w:fldCharType="separate"/>
        </w:r>
        <w:r w:rsidRPr="00FC03CF">
          <w:rPr>
            <w:rFonts w:ascii="Times New Roman" w:hAnsi="Times New Roman" w:cs="Times New Roman"/>
            <w:noProof/>
            <w:sz w:val="20"/>
            <w:szCs w:val="20"/>
          </w:rPr>
          <w:t>2</w:t>
        </w:r>
        <w:r w:rsidRPr="00FC03CF">
          <w:rPr>
            <w:rFonts w:ascii="Times New Roman" w:hAnsi="Times New Roman" w:cs="Times New Roman"/>
            <w:noProof/>
            <w:sz w:val="20"/>
            <w:szCs w:val="20"/>
          </w:rPr>
          <w:fldChar w:fldCharType="end"/>
        </w:r>
      </w:p>
    </w:sdtContent>
  </w:sdt>
  <w:p w14:paraId="22BFFB92" w14:textId="77777777" w:rsidR="00FC03CF" w:rsidRDefault="00FC0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7D30F" w14:textId="77777777" w:rsidR="002932E8" w:rsidRDefault="002932E8" w:rsidP="00FC03CF">
      <w:pPr>
        <w:spacing w:line="240" w:lineRule="auto"/>
      </w:pPr>
      <w:r>
        <w:separator/>
      </w:r>
    </w:p>
  </w:footnote>
  <w:footnote w:type="continuationSeparator" w:id="0">
    <w:p w14:paraId="4F7DBB3C" w14:textId="77777777" w:rsidR="002932E8" w:rsidRDefault="002932E8" w:rsidP="00FC03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B2345"/>
    <w:multiLevelType w:val="multilevel"/>
    <w:tmpl w:val="9A5A08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0B790C"/>
    <w:multiLevelType w:val="multilevel"/>
    <w:tmpl w:val="3B4C2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19492E"/>
    <w:multiLevelType w:val="multilevel"/>
    <w:tmpl w:val="48044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CC3563"/>
    <w:multiLevelType w:val="multilevel"/>
    <w:tmpl w:val="F95CE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B56599"/>
    <w:multiLevelType w:val="multilevel"/>
    <w:tmpl w:val="D8F82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4657D6"/>
    <w:multiLevelType w:val="multilevel"/>
    <w:tmpl w:val="05CEF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9E6510C"/>
    <w:multiLevelType w:val="multilevel"/>
    <w:tmpl w:val="F3F0F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1898317">
    <w:abstractNumId w:val="3"/>
  </w:num>
  <w:num w:numId="2" w16cid:durableId="218636421">
    <w:abstractNumId w:val="0"/>
  </w:num>
  <w:num w:numId="3" w16cid:durableId="1585994443">
    <w:abstractNumId w:val="5"/>
  </w:num>
  <w:num w:numId="4" w16cid:durableId="458232953">
    <w:abstractNumId w:val="4"/>
  </w:num>
  <w:num w:numId="5" w16cid:durableId="1576818030">
    <w:abstractNumId w:val="1"/>
  </w:num>
  <w:num w:numId="6" w16cid:durableId="1069838445">
    <w:abstractNumId w:val="2"/>
  </w:num>
  <w:num w:numId="7" w16cid:durableId="12724741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023"/>
    <w:rsid w:val="001A4330"/>
    <w:rsid w:val="002932E8"/>
    <w:rsid w:val="00537BE9"/>
    <w:rsid w:val="00631169"/>
    <w:rsid w:val="00835949"/>
    <w:rsid w:val="008C6023"/>
    <w:rsid w:val="00FC03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07A7E"/>
  <w15:docId w15:val="{AA33D53E-ACBD-476F-8DFA-430C5A03A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37BE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styleId="GridTable5Dark-Accent5">
    <w:name w:val="Grid Table 5 Dark Accent 5"/>
    <w:basedOn w:val="TableNormal"/>
    <w:uiPriority w:val="50"/>
    <w:rsid w:val="00537BE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3">
    <w:name w:val="Grid Table 5 Dark Accent 3"/>
    <w:basedOn w:val="TableNormal"/>
    <w:uiPriority w:val="50"/>
    <w:rsid w:val="00537BE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OCHeading">
    <w:name w:val="TOC Heading"/>
    <w:basedOn w:val="Heading1"/>
    <w:next w:val="Normal"/>
    <w:uiPriority w:val="39"/>
    <w:unhideWhenUsed/>
    <w:qFormat/>
    <w:rsid w:val="00537B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37BE9"/>
    <w:pPr>
      <w:spacing w:after="100"/>
    </w:pPr>
  </w:style>
  <w:style w:type="character" w:styleId="Hyperlink">
    <w:name w:val="Hyperlink"/>
    <w:basedOn w:val="DefaultParagraphFont"/>
    <w:uiPriority w:val="99"/>
    <w:unhideWhenUsed/>
    <w:rsid w:val="00537BE9"/>
    <w:rPr>
      <w:color w:val="0000FF" w:themeColor="hyperlink"/>
      <w:u w:val="single"/>
    </w:rPr>
  </w:style>
  <w:style w:type="paragraph" w:styleId="Header">
    <w:name w:val="header"/>
    <w:basedOn w:val="Normal"/>
    <w:link w:val="HeaderChar"/>
    <w:uiPriority w:val="99"/>
    <w:unhideWhenUsed/>
    <w:rsid w:val="00FC03CF"/>
    <w:pPr>
      <w:tabs>
        <w:tab w:val="center" w:pos="4513"/>
        <w:tab w:val="right" w:pos="9026"/>
      </w:tabs>
      <w:spacing w:line="240" w:lineRule="auto"/>
    </w:pPr>
  </w:style>
  <w:style w:type="character" w:customStyle="1" w:styleId="HeaderChar">
    <w:name w:val="Header Char"/>
    <w:basedOn w:val="DefaultParagraphFont"/>
    <w:link w:val="Header"/>
    <w:uiPriority w:val="99"/>
    <w:rsid w:val="00FC03CF"/>
  </w:style>
  <w:style w:type="paragraph" w:styleId="Footer">
    <w:name w:val="footer"/>
    <w:basedOn w:val="Normal"/>
    <w:link w:val="FooterChar"/>
    <w:uiPriority w:val="99"/>
    <w:unhideWhenUsed/>
    <w:rsid w:val="00FC03CF"/>
    <w:pPr>
      <w:tabs>
        <w:tab w:val="center" w:pos="4513"/>
        <w:tab w:val="right" w:pos="9026"/>
      </w:tabs>
      <w:spacing w:line="240" w:lineRule="auto"/>
    </w:pPr>
  </w:style>
  <w:style w:type="character" w:customStyle="1" w:styleId="FooterChar">
    <w:name w:val="Footer Char"/>
    <w:basedOn w:val="DefaultParagraphFont"/>
    <w:link w:val="Footer"/>
    <w:uiPriority w:val="99"/>
    <w:rsid w:val="00FC0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1F17F-A384-4A06-AB3A-3DEDA793D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2251</Words>
  <Characters>12837</Characters>
  <Application>Microsoft Office Word</Application>
  <DocSecurity>0</DocSecurity>
  <Lines>106</Lines>
  <Paragraphs>30</Paragraphs>
  <ScaleCrop>false</ScaleCrop>
  <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2026-06-20T17:27:00Z</dcterms:created>
  <dcterms:modified xsi:type="dcterms:W3CDTF">2026-06-20T17:29:00Z</dcterms:modified>
</cp:coreProperties>
</file>