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A3DAF" w:rsidRPr="00FF114B" w:rsidRDefault="008F1D9B">
      <w:pPr>
        <w:pStyle w:val="normal0"/>
        <w:jc w:val="center"/>
        <w:rPr>
          <w:rFonts w:asciiTheme="majorHAnsi" w:hAnsiTheme="majorHAnsi" w:cstheme="majorHAnsi"/>
          <w:b/>
        </w:rPr>
      </w:pPr>
      <w:r w:rsidRPr="00FF114B">
        <w:rPr>
          <w:rFonts w:asciiTheme="majorHAnsi" w:hAnsiTheme="majorHAnsi" w:cstheme="majorHAnsi"/>
          <w:b/>
        </w:rPr>
        <w:t>The life of a conscientious objector in Britain during The First World War was one dominated by institutional abuse and harsh treatment. Is this an accurate portrayal of their experiences or were the authorities more tolerant of those who refused to fight?</w:t>
      </w:r>
    </w:p>
    <w:p w:rsidR="007A3DAF" w:rsidRPr="00FF114B" w:rsidRDefault="008F1D9B">
      <w:pPr>
        <w:pStyle w:val="normal0"/>
        <w:jc w:val="center"/>
        <w:rPr>
          <w:rFonts w:asciiTheme="majorHAnsi" w:hAnsiTheme="majorHAnsi" w:cstheme="majorHAnsi"/>
        </w:rPr>
      </w:pPr>
      <w:r w:rsidRPr="00FF114B">
        <w:rPr>
          <w:rFonts w:asciiTheme="majorHAnsi" w:hAnsiTheme="majorHAnsi" w:cstheme="majorHAnsi"/>
        </w:rPr>
        <w:t>Essay by Marcin Gawlik</w:t>
      </w:r>
    </w:p>
    <w:p w:rsidR="007A3DAF" w:rsidRPr="00FF114B" w:rsidRDefault="007A3DAF">
      <w:pPr>
        <w:pStyle w:val="normal0"/>
        <w:rPr>
          <w:rFonts w:asciiTheme="majorHAnsi" w:hAnsiTheme="majorHAnsi" w:cstheme="majorHAnsi"/>
        </w:rPr>
      </w:pPr>
    </w:p>
    <w:p w:rsidR="007A3DAF" w:rsidRPr="00FF114B" w:rsidRDefault="008F1D9B">
      <w:pPr>
        <w:pStyle w:val="normal0"/>
        <w:rPr>
          <w:rFonts w:asciiTheme="majorHAnsi" w:hAnsiTheme="majorHAnsi" w:cstheme="majorHAnsi"/>
        </w:rPr>
      </w:pPr>
      <w:r w:rsidRPr="00FF114B">
        <w:rPr>
          <w:rFonts w:asciiTheme="majorHAnsi" w:hAnsiTheme="majorHAnsi" w:cstheme="majorHAnsi"/>
        </w:rPr>
        <w:t>In the First World War British public opinion and the government struggled with the biggest wave of recorded pacifism, or conscientious objectors. These consisted of some organised groups which spread their ideas throughout the Uni</w:t>
      </w:r>
      <w:r w:rsidRPr="00FF114B">
        <w:rPr>
          <w:rFonts w:asciiTheme="majorHAnsi" w:hAnsiTheme="majorHAnsi" w:cstheme="majorHAnsi"/>
        </w:rPr>
        <w:t>ted Kingdom yet cannot be described as a homogenous group as reasons for, and the form of, objections varied greatly. Despite passing a law of Military Service Act in 1916 which</w:t>
      </w:r>
      <w:r w:rsidRPr="00FF114B">
        <w:rPr>
          <w:rFonts w:asciiTheme="majorHAnsi" w:hAnsiTheme="majorHAnsi" w:cstheme="majorHAnsi"/>
        </w:rPr>
        <w:t xml:space="preserve"> displayed some tolerance towards conscientious objectors in relation to other </w:t>
      </w:r>
      <w:r w:rsidRPr="00FF114B">
        <w:rPr>
          <w:rFonts w:asciiTheme="majorHAnsi" w:hAnsiTheme="majorHAnsi" w:cstheme="majorHAnsi"/>
        </w:rPr>
        <w:t>European countries at the time</w:t>
      </w:r>
      <w:r w:rsidRPr="00FF114B">
        <w:rPr>
          <w:rFonts w:asciiTheme="majorHAnsi" w:hAnsiTheme="majorHAnsi" w:cstheme="majorHAnsi"/>
        </w:rPr>
        <w:t>, the British government continued its hostile activity. This aggressive attitude was considered necessary due to the conditions of war and the fact that the country was fighting for its survival; the threat of losing recruits</w:t>
      </w:r>
      <w:r w:rsidRPr="00FF114B">
        <w:rPr>
          <w:rFonts w:asciiTheme="majorHAnsi" w:hAnsiTheme="majorHAnsi" w:cstheme="majorHAnsi"/>
        </w:rPr>
        <w:t xml:space="preserve"> was more important than immorality, tradition, belief or the ideological identity of individuals. Another contributing factor however were the militaristic ideals, beliefs and traditions deeply embedded in British-European culture, as Lipoński states, “av</w:t>
      </w:r>
      <w:r w:rsidRPr="00FF114B">
        <w:rPr>
          <w:rFonts w:asciiTheme="majorHAnsi" w:hAnsiTheme="majorHAnsi" w:cstheme="majorHAnsi"/>
        </w:rPr>
        <w:t>oiding patriotic duties or combat was nearly treachery."</w:t>
      </w:r>
      <w:r w:rsidRPr="00FF114B">
        <w:rPr>
          <w:rFonts w:asciiTheme="majorHAnsi" w:hAnsiTheme="majorHAnsi" w:cstheme="majorHAnsi"/>
          <w:vertAlign w:val="superscript"/>
        </w:rPr>
        <w:footnoteReference w:id="2"/>
      </w:r>
      <w:r w:rsidRPr="00FF114B">
        <w:rPr>
          <w:rFonts w:asciiTheme="majorHAnsi" w:hAnsiTheme="majorHAnsi" w:cstheme="majorHAnsi"/>
        </w:rPr>
        <w:t xml:space="preserve"> Under these conditions British authorities were not willing to tolerate any form of contumaciousness and institutional abuse and harsh treatments were implemented in the hopes that they would be abl</w:t>
      </w:r>
      <w:r w:rsidRPr="00FF114B">
        <w:rPr>
          <w:rFonts w:asciiTheme="majorHAnsi" w:hAnsiTheme="majorHAnsi" w:cstheme="majorHAnsi"/>
        </w:rPr>
        <w:t>e to scare off persons with potentially dangerous ideologies.</w:t>
      </w:r>
    </w:p>
    <w:p w:rsidR="007A3DAF" w:rsidRPr="00FF114B" w:rsidRDefault="008F1D9B">
      <w:pPr>
        <w:pStyle w:val="normal0"/>
        <w:rPr>
          <w:rFonts w:asciiTheme="majorHAnsi" w:hAnsiTheme="majorHAnsi" w:cstheme="majorHAnsi"/>
        </w:rPr>
      </w:pPr>
      <w:r w:rsidRPr="00FF114B">
        <w:rPr>
          <w:rFonts w:asciiTheme="majorHAnsi" w:hAnsiTheme="majorHAnsi" w:cstheme="majorHAnsi"/>
        </w:rPr>
        <w:t>The scale of the reaction against conscientious objectors as well as, as Brooks states, their effect on governmental policy and public opinion was profound in relation to the percentage of consc</w:t>
      </w:r>
      <w:r w:rsidRPr="00FF114B">
        <w:rPr>
          <w:rFonts w:asciiTheme="majorHAnsi" w:hAnsiTheme="majorHAnsi" w:cstheme="majorHAnsi"/>
        </w:rPr>
        <w:t>ription-aged men classified as such</w:t>
      </w:r>
      <w:r w:rsidRPr="00FF114B">
        <w:rPr>
          <w:rFonts w:asciiTheme="majorHAnsi" w:hAnsiTheme="majorHAnsi" w:cstheme="majorHAnsi"/>
          <w:vertAlign w:val="superscript"/>
        </w:rPr>
        <w:footnoteReference w:id="3"/>
      </w:r>
      <w:r w:rsidRPr="00FF114B">
        <w:rPr>
          <w:rFonts w:asciiTheme="majorHAnsi" w:hAnsiTheme="majorHAnsi" w:cstheme="majorHAnsi"/>
        </w:rPr>
        <w:t xml:space="preserve"> and this highlights the ideological danger conscientious objectors posed. Military Service Tribunals were established between January of 1916 and November of 1918 and according to records there were approximately 16,000</w:t>
      </w:r>
      <w:r w:rsidRPr="00FF114B">
        <w:rPr>
          <w:rFonts w:asciiTheme="majorHAnsi" w:hAnsiTheme="majorHAnsi" w:cstheme="majorHAnsi"/>
        </w:rPr>
        <w:t xml:space="preserve"> to 20,000 British men during the First World War that were registered as conscientious objectors to armed service out of the six million who served.</w:t>
      </w:r>
      <w:r w:rsidRPr="00FF114B">
        <w:rPr>
          <w:rFonts w:asciiTheme="majorHAnsi" w:hAnsiTheme="majorHAnsi" w:cstheme="majorHAnsi"/>
          <w:vertAlign w:val="superscript"/>
        </w:rPr>
        <w:footnoteReference w:id="4"/>
      </w:r>
      <w:r w:rsidRPr="00FF114B">
        <w:rPr>
          <w:rFonts w:asciiTheme="majorHAnsi" w:hAnsiTheme="majorHAnsi" w:cstheme="majorHAnsi"/>
        </w:rPr>
        <w:t>,</w:t>
      </w:r>
      <w:r w:rsidRPr="00FF114B">
        <w:rPr>
          <w:rFonts w:asciiTheme="majorHAnsi" w:hAnsiTheme="majorHAnsi" w:cstheme="majorHAnsi"/>
          <w:vertAlign w:val="superscript"/>
        </w:rPr>
        <w:footnoteReference w:id="5"/>
      </w:r>
      <w:r w:rsidRPr="00FF114B">
        <w:rPr>
          <w:rFonts w:asciiTheme="majorHAnsi" w:hAnsiTheme="majorHAnsi" w:cstheme="majorHAnsi"/>
        </w:rPr>
        <w:t xml:space="preserve"> Out of these Pearce estimates only 2000-6000 where classified as absolutists, those who were as Hancock</w:t>
      </w:r>
      <w:r w:rsidRPr="00FF114B">
        <w:rPr>
          <w:rFonts w:asciiTheme="majorHAnsi" w:hAnsiTheme="majorHAnsi" w:cstheme="majorHAnsi"/>
        </w:rPr>
        <w:t xml:space="preserve"> states “categorically opposed to the war” and unwilling to contribute to the war effort in any form, the rest willing to contribute in some manner.</w:t>
      </w:r>
      <w:r w:rsidRPr="00FF114B">
        <w:rPr>
          <w:rFonts w:asciiTheme="majorHAnsi" w:hAnsiTheme="majorHAnsi" w:cstheme="majorHAnsi"/>
          <w:vertAlign w:val="superscript"/>
        </w:rPr>
        <w:footnoteReference w:id="6"/>
      </w:r>
      <w:r w:rsidRPr="00FF114B">
        <w:rPr>
          <w:rFonts w:asciiTheme="majorHAnsi" w:hAnsiTheme="majorHAnsi" w:cstheme="majorHAnsi"/>
          <w:vertAlign w:val="superscript"/>
        </w:rPr>
        <w:t>,</w:t>
      </w:r>
      <w:r w:rsidRPr="00FF114B">
        <w:rPr>
          <w:rFonts w:asciiTheme="majorHAnsi" w:hAnsiTheme="majorHAnsi" w:cstheme="majorHAnsi"/>
          <w:vertAlign w:val="superscript"/>
        </w:rPr>
        <w:footnoteReference w:id="7"/>
      </w:r>
      <w:r w:rsidRPr="00FF114B">
        <w:rPr>
          <w:rFonts w:asciiTheme="majorHAnsi" w:hAnsiTheme="majorHAnsi" w:cstheme="majorHAnsi"/>
        </w:rPr>
        <w:t xml:space="preserve"> Those classified as non-combatants, such as the pre-conscription non-combatant volunteers agreed to join</w:t>
      </w:r>
      <w:r w:rsidRPr="00FF114B">
        <w:rPr>
          <w:rFonts w:asciiTheme="majorHAnsi" w:hAnsiTheme="majorHAnsi" w:cstheme="majorHAnsi"/>
        </w:rPr>
        <w:t xml:space="preserve"> the army on a non-combat basis, for example in the Non-Combatant Corps (NCC) and those classified as alternativists agreed to take supportive non-military roles such as in essential service industries if their previous employment was not regarded as such.</w:t>
      </w:r>
      <w:r w:rsidRPr="00FF114B">
        <w:rPr>
          <w:rFonts w:asciiTheme="majorHAnsi" w:hAnsiTheme="majorHAnsi" w:cstheme="majorHAnsi"/>
          <w:vertAlign w:val="superscript"/>
        </w:rPr>
        <w:footnoteReference w:id="8"/>
      </w:r>
      <w:r w:rsidRPr="00FF114B">
        <w:rPr>
          <w:rFonts w:asciiTheme="majorHAnsi" w:hAnsiTheme="majorHAnsi" w:cstheme="majorHAnsi"/>
        </w:rPr>
        <w:t xml:space="preserve"> Importantly however these figured do not reliably represent the extent, and therefore perceived and potential ideological danger, of anti-war sentiments in such a hostile environment; representing only those who chose to publicly declare </w:t>
      </w:r>
      <w:r w:rsidRPr="00FF114B">
        <w:rPr>
          <w:rFonts w:asciiTheme="majorHAnsi" w:hAnsiTheme="majorHAnsi" w:cstheme="majorHAnsi"/>
        </w:rPr>
        <w:lastRenderedPageBreak/>
        <w:t xml:space="preserve">their views for </w:t>
      </w:r>
      <w:r w:rsidRPr="00FF114B">
        <w:rPr>
          <w:rFonts w:asciiTheme="majorHAnsi" w:hAnsiTheme="majorHAnsi" w:cstheme="majorHAnsi"/>
        </w:rPr>
        <w:t>various reasons and disregarding those who had joined regardless of personal sentiments, or those who were unfit or worked in essential industries.</w:t>
      </w:r>
      <w:r w:rsidRPr="00FF114B">
        <w:rPr>
          <w:rFonts w:asciiTheme="majorHAnsi" w:hAnsiTheme="majorHAnsi" w:cstheme="majorHAnsi"/>
          <w:vertAlign w:val="superscript"/>
        </w:rPr>
        <w:footnoteReference w:id="9"/>
      </w:r>
    </w:p>
    <w:p w:rsidR="007A3DAF" w:rsidRPr="00FF114B" w:rsidRDefault="008F1D9B">
      <w:pPr>
        <w:pStyle w:val="normal0"/>
        <w:rPr>
          <w:rFonts w:asciiTheme="majorHAnsi" w:hAnsiTheme="majorHAnsi" w:cstheme="majorHAnsi"/>
        </w:rPr>
      </w:pPr>
      <w:r w:rsidRPr="00FF114B">
        <w:rPr>
          <w:rFonts w:asciiTheme="majorHAnsi" w:hAnsiTheme="majorHAnsi" w:cstheme="majorHAnsi"/>
        </w:rPr>
        <w:t xml:space="preserve">Whilst there is </w:t>
      </w:r>
      <w:r w:rsidRPr="00FF114B">
        <w:rPr>
          <w:rFonts w:asciiTheme="majorHAnsi" w:hAnsiTheme="majorHAnsi" w:cstheme="majorHAnsi"/>
        </w:rPr>
        <w:t xml:space="preserve">room for reflection in the </w:t>
      </w:r>
      <w:r w:rsidRPr="00FF114B">
        <w:rPr>
          <w:rFonts w:asciiTheme="majorHAnsi" w:hAnsiTheme="majorHAnsi" w:cstheme="majorHAnsi"/>
        </w:rPr>
        <w:t>debate o</w:t>
      </w:r>
      <w:r w:rsidRPr="00FF114B">
        <w:rPr>
          <w:rFonts w:asciiTheme="majorHAnsi" w:hAnsiTheme="majorHAnsi" w:cstheme="majorHAnsi"/>
        </w:rPr>
        <w:t>ver</w:t>
      </w:r>
      <w:r w:rsidRPr="00FF114B">
        <w:rPr>
          <w:rFonts w:asciiTheme="majorHAnsi" w:hAnsiTheme="majorHAnsi" w:cstheme="majorHAnsi"/>
        </w:rPr>
        <w:t xml:space="preserve"> the true extent of hostility towards conscientious o</w:t>
      </w:r>
      <w:r w:rsidRPr="00FF114B">
        <w:rPr>
          <w:rFonts w:asciiTheme="majorHAnsi" w:hAnsiTheme="majorHAnsi" w:cstheme="majorHAnsi"/>
        </w:rPr>
        <w:t>bjectors, something which will be discussed in detail later, their treatment was undeniably extensively hostile</w:t>
      </w:r>
      <w:r w:rsidRPr="00FF114B">
        <w:rPr>
          <w:rFonts w:asciiTheme="majorHAnsi" w:hAnsiTheme="majorHAnsi" w:cstheme="majorHAnsi"/>
        </w:rPr>
        <w:t xml:space="preserve"> at the hands of the authorities. Most of those classified as absolutists where imprisoned for most of the war, with over a third imprisoned for </w:t>
      </w:r>
      <w:r w:rsidRPr="00FF114B">
        <w:rPr>
          <w:rFonts w:asciiTheme="majorHAnsi" w:hAnsiTheme="majorHAnsi" w:cstheme="majorHAnsi"/>
        </w:rPr>
        <w:t>some duration.</w:t>
      </w:r>
      <w:r w:rsidRPr="00FF114B">
        <w:rPr>
          <w:rFonts w:asciiTheme="majorHAnsi" w:hAnsiTheme="majorHAnsi" w:cstheme="majorHAnsi"/>
          <w:vertAlign w:val="superscript"/>
        </w:rPr>
        <w:footnoteReference w:id="10"/>
      </w:r>
      <w:r w:rsidRPr="00FF114B">
        <w:rPr>
          <w:rFonts w:asciiTheme="majorHAnsi" w:hAnsiTheme="majorHAnsi" w:cstheme="majorHAnsi"/>
        </w:rPr>
        <w:t xml:space="preserve"> The Military Service Act of 1916 declared military compulsion for every fit and able-bodied man of military age. Conscientious objectors whose appeals were rejected by Military Service Tribunals were considered as a “soldier absent without </w:t>
      </w:r>
      <w:r w:rsidRPr="00FF114B">
        <w:rPr>
          <w:rFonts w:asciiTheme="majorHAnsi" w:hAnsiTheme="majorHAnsi" w:cstheme="majorHAnsi"/>
        </w:rPr>
        <w:t>leave”</w:t>
      </w:r>
      <w:r w:rsidRPr="00FF114B">
        <w:rPr>
          <w:rFonts w:asciiTheme="majorHAnsi" w:hAnsiTheme="majorHAnsi" w:cstheme="majorHAnsi"/>
          <w:vertAlign w:val="superscript"/>
        </w:rPr>
        <w:footnoteReference w:id="11"/>
      </w:r>
      <w:r w:rsidRPr="00FF114B">
        <w:rPr>
          <w:rFonts w:asciiTheme="majorHAnsi" w:hAnsiTheme="majorHAnsi" w:cstheme="majorHAnsi"/>
        </w:rPr>
        <w:t xml:space="preserve">, those who refused their call-up papers were arrested, brought before magistrate’s court, fined and given to the military. Those who refused orders fell under the harshness of military discipline and punishment, often imprisoned in military camps, </w:t>
      </w:r>
      <w:r w:rsidRPr="00FF114B">
        <w:rPr>
          <w:rFonts w:asciiTheme="majorHAnsi" w:hAnsiTheme="majorHAnsi" w:cstheme="majorHAnsi"/>
        </w:rPr>
        <w:t>with instances of harsh treatment, injustices and even torture recorded,</w:t>
      </w:r>
      <w:r w:rsidRPr="00FF114B">
        <w:rPr>
          <w:rFonts w:asciiTheme="majorHAnsi" w:hAnsiTheme="majorHAnsi" w:cstheme="majorHAnsi"/>
          <w:vertAlign w:val="superscript"/>
        </w:rPr>
        <w:footnoteReference w:id="12"/>
      </w:r>
      <w:r w:rsidRPr="00FF114B">
        <w:rPr>
          <w:rFonts w:asciiTheme="majorHAnsi" w:hAnsiTheme="majorHAnsi" w:cstheme="majorHAnsi"/>
        </w:rPr>
        <w:t xml:space="preserve"> for example the Home Office Scheme saw some sent to hard labour camps on the army reserve and many suffered both physically and mentally.</w:t>
      </w:r>
      <w:r w:rsidRPr="00FF114B">
        <w:rPr>
          <w:rFonts w:asciiTheme="majorHAnsi" w:hAnsiTheme="majorHAnsi" w:cstheme="majorHAnsi"/>
          <w:vertAlign w:val="superscript"/>
        </w:rPr>
        <w:footnoteReference w:id="13"/>
      </w:r>
      <w:r w:rsidRPr="00FF114B">
        <w:rPr>
          <w:rFonts w:asciiTheme="majorHAnsi" w:hAnsiTheme="majorHAnsi" w:cstheme="majorHAnsi"/>
          <w:vertAlign w:val="superscript"/>
        </w:rPr>
        <w:t xml:space="preserve"> </w:t>
      </w:r>
      <w:r w:rsidRPr="00FF114B">
        <w:rPr>
          <w:rFonts w:asciiTheme="majorHAnsi" w:hAnsiTheme="majorHAnsi" w:cstheme="majorHAnsi"/>
        </w:rPr>
        <w:t>The most extreme example of brutal sentenci</w:t>
      </w:r>
      <w:r w:rsidRPr="00FF114B">
        <w:rPr>
          <w:rFonts w:asciiTheme="majorHAnsi" w:hAnsiTheme="majorHAnsi" w:cstheme="majorHAnsi"/>
        </w:rPr>
        <w:t>ng can potentially be found in the Richmond Sixteen case, who were sentenced to death for refusing orders after being involuntarily taken to France in June 1916. Although this was later reduced to 10 years’ imprisonment it was potentially only due to an ap</w:t>
      </w:r>
      <w:r w:rsidRPr="00FF114B">
        <w:rPr>
          <w:rFonts w:asciiTheme="majorHAnsi" w:hAnsiTheme="majorHAnsi" w:cstheme="majorHAnsi"/>
        </w:rPr>
        <w:t>peal for help written by one of the accused which was thrown from a train window.</w:t>
      </w:r>
      <w:r w:rsidRPr="00FF114B">
        <w:rPr>
          <w:rFonts w:asciiTheme="majorHAnsi" w:hAnsiTheme="majorHAnsi" w:cstheme="majorHAnsi"/>
          <w:vertAlign w:val="superscript"/>
        </w:rPr>
        <w:footnoteReference w:id="14"/>
      </w:r>
      <w:r w:rsidRPr="00FF114B">
        <w:rPr>
          <w:rFonts w:asciiTheme="majorHAnsi" w:hAnsiTheme="majorHAnsi" w:cstheme="majorHAnsi"/>
        </w:rPr>
        <w:t xml:space="preserve"> Treatment which COs were subjected to during their imprisonment is often linked with the treatment of the suffragettes, frequently referred to as the “Cat and Mouse” treatme</w:t>
      </w:r>
      <w:r w:rsidRPr="00FF114B">
        <w:rPr>
          <w:rFonts w:asciiTheme="majorHAnsi" w:hAnsiTheme="majorHAnsi" w:cstheme="majorHAnsi"/>
        </w:rPr>
        <w:t>nt, after release a conscientious objectors was often re-arrested immediately, then court-martialled and sent back to prison and sentences increased as the war went progressed.</w:t>
      </w:r>
      <w:r w:rsidRPr="00FF114B">
        <w:rPr>
          <w:rFonts w:asciiTheme="majorHAnsi" w:hAnsiTheme="majorHAnsi" w:cstheme="majorHAnsi"/>
          <w:vertAlign w:val="superscript"/>
        </w:rPr>
        <w:footnoteReference w:id="15"/>
      </w:r>
      <w:r w:rsidRPr="00FF114B">
        <w:rPr>
          <w:rFonts w:asciiTheme="majorHAnsi" w:hAnsiTheme="majorHAnsi" w:cstheme="majorHAnsi"/>
        </w:rPr>
        <w:t xml:space="preserve"> Importantly however, scandals caused by such treatment led to a slight shift i</w:t>
      </w:r>
      <w:r w:rsidRPr="00FF114B">
        <w:rPr>
          <w:rFonts w:asciiTheme="majorHAnsi" w:hAnsiTheme="majorHAnsi" w:cstheme="majorHAnsi"/>
        </w:rPr>
        <w:t>n public sentiment and a campaign which culminated in a 1916 ruling which declared conscientious objectors must be sent to civilian rather than military prison. This acknowledged conscientious objectors as categorically different from soldiers and was an i</w:t>
      </w:r>
      <w:r w:rsidRPr="00FF114B">
        <w:rPr>
          <w:rFonts w:asciiTheme="majorHAnsi" w:hAnsiTheme="majorHAnsi" w:cstheme="majorHAnsi"/>
        </w:rPr>
        <w:t>mportant success for anti-war and anti-conscription movements, however O'Brien notes that the fear that such scandals might influence at other times willing recruits was an important factor in this ruling.</w:t>
      </w:r>
      <w:r w:rsidRPr="00FF114B">
        <w:rPr>
          <w:rFonts w:asciiTheme="majorHAnsi" w:hAnsiTheme="majorHAnsi" w:cstheme="majorHAnsi"/>
          <w:vertAlign w:val="superscript"/>
        </w:rPr>
        <w:footnoteReference w:id="16"/>
      </w:r>
    </w:p>
    <w:p w:rsidR="007A3DAF" w:rsidRPr="00FF114B" w:rsidRDefault="008F1D9B">
      <w:pPr>
        <w:pStyle w:val="normal0"/>
        <w:rPr>
          <w:rFonts w:asciiTheme="majorHAnsi" w:hAnsiTheme="majorHAnsi" w:cstheme="majorHAnsi"/>
        </w:rPr>
      </w:pPr>
      <w:r w:rsidRPr="00FF114B">
        <w:rPr>
          <w:rFonts w:asciiTheme="majorHAnsi" w:hAnsiTheme="majorHAnsi" w:cstheme="majorHAnsi"/>
        </w:rPr>
        <w:t>So, as seen above life for conscientious objector</w:t>
      </w:r>
      <w:r w:rsidRPr="00FF114B">
        <w:rPr>
          <w:rFonts w:asciiTheme="majorHAnsi" w:hAnsiTheme="majorHAnsi" w:cstheme="majorHAnsi"/>
        </w:rPr>
        <w:t xml:space="preserve">s was not easy in relation to their physical existence within Britain, however another aspect that needs to be commented on is the emotional abuses suffered both through the despise and rejection </w:t>
      </w:r>
      <w:r w:rsidR="00F47E30" w:rsidRPr="00FF114B">
        <w:rPr>
          <w:rFonts w:asciiTheme="majorHAnsi" w:hAnsiTheme="majorHAnsi" w:cstheme="majorHAnsi"/>
        </w:rPr>
        <w:t>received</w:t>
      </w:r>
      <w:r w:rsidRPr="00FF114B">
        <w:rPr>
          <w:rFonts w:asciiTheme="majorHAnsi" w:hAnsiTheme="majorHAnsi" w:cstheme="majorHAnsi"/>
        </w:rPr>
        <w:t xml:space="preserve"> from the public as well as media and government cam</w:t>
      </w:r>
      <w:r w:rsidRPr="00FF114B">
        <w:rPr>
          <w:rFonts w:asciiTheme="majorHAnsi" w:hAnsiTheme="majorHAnsi" w:cstheme="majorHAnsi"/>
        </w:rPr>
        <w:t>paigns. W</w:t>
      </w:r>
      <w:r w:rsidRPr="00FF114B">
        <w:rPr>
          <w:rFonts w:asciiTheme="majorHAnsi" w:hAnsiTheme="majorHAnsi" w:cstheme="majorHAnsi"/>
        </w:rPr>
        <w:t xml:space="preserve">hile the individual experiences of conscientious objectors differed, public opinion mirrored </w:t>
      </w:r>
      <w:r w:rsidRPr="00FF114B">
        <w:rPr>
          <w:rFonts w:asciiTheme="majorHAnsi" w:hAnsiTheme="majorHAnsi" w:cstheme="majorHAnsi"/>
        </w:rPr>
        <w:t>the harsh treatment conscientious objectors faced at the hands of the authorities and while many have emphasised the role of media and propaganda in stere</w:t>
      </w:r>
      <w:r w:rsidRPr="00FF114B">
        <w:rPr>
          <w:rFonts w:asciiTheme="majorHAnsi" w:hAnsiTheme="majorHAnsi" w:cstheme="majorHAnsi"/>
        </w:rPr>
        <w:t xml:space="preserve">otypes and portrayals of </w:t>
      </w:r>
      <w:r w:rsidRPr="00FF114B">
        <w:rPr>
          <w:rFonts w:asciiTheme="majorHAnsi" w:hAnsiTheme="majorHAnsi" w:cstheme="majorHAnsi"/>
        </w:rPr>
        <w:lastRenderedPageBreak/>
        <w:t xml:space="preserve">conscientious objectors, in </w:t>
      </w:r>
      <w:r w:rsidRPr="00FF114B">
        <w:rPr>
          <w:rFonts w:asciiTheme="majorHAnsi" w:eastAsia="Arial" w:hAnsiTheme="majorHAnsi" w:cstheme="majorHAnsi"/>
          <w:i/>
          <w:color w:val="222222"/>
          <w:highlight w:val="white"/>
        </w:rPr>
        <w:t>Blighty: British Society in the era of the Great War,</w:t>
      </w:r>
      <w:r w:rsidRPr="00FF114B">
        <w:rPr>
          <w:rFonts w:asciiTheme="majorHAnsi" w:hAnsiTheme="majorHAnsi" w:cstheme="majorHAnsi"/>
        </w:rPr>
        <w:t xml:space="preserve"> De Groot shows the role of public sentiment, circulated rumours and stereotypes often acted as a foundation for this.</w:t>
      </w:r>
      <w:r w:rsidRPr="00FF114B">
        <w:rPr>
          <w:rFonts w:asciiTheme="majorHAnsi" w:hAnsiTheme="majorHAnsi" w:cstheme="majorHAnsi"/>
          <w:vertAlign w:val="superscript"/>
        </w:rPr>
        <w:footnoteReference w:id="17"/>
      </w:r>
      <w:r w:rsidRPr="00FF114B">
        <w:rPr>
          <w:rFonts w:asciiTheme="majorHAnsi" w:hAnsiTheme="majorHAnsi" w:cstheme="majorHAnsi"/>
        </w:rPr>
        <w:t xml:space="preserve"> </w:t>
      </w:r>
      <w:r w:rsidRPr="00FF114B">
        <w:rPr>
          <w:rFonts w:asciiTheme="majorHAnsi" w:hAnsiTheme="majorHAnsi" w:cstheme="majorHAnsi"/>
        </w:rPr>
        <w:t>The First World War began with</w:t>
      </w:r>
      <w:r w:rsidRPr="00FF114B">
        <w:rPr>
          <w:rFonts w:asciiTheme="majorHAnsi" w:hAnsiTheme="majorHAnsi" w:cstheme="majorHAnsi"/>
        </w:rPr>
        <w:t xml:space="preserve"> voluntary conscription. </w:t>
      </w:r>
      <w:r w:rsidR="00F47E30" w:rsidRPr="00FF114B">
        <w:rPr>
          <w:rFonts w:asciiTheme="majorHAnsi" w:hAnsiTheme="majorHAnsi" w:cstheme="majorHAnsi"/>
        </w:rPr>
        <w:t>As Levi notes “the alternative to conscription is intense moral suasion,” and methods of enacting this such as firing staff, refusing employment or community ostracization and denouncement by neighbours or church provided the base for later public hostility to conscientious objectors.</w:t>
      </w:r>
      <w:r w:rsidR="00F47E30" w:rsidRPr="00FF114B">
        <w:rPr>
          <w:rFonts w:asciiTheme="majorHAnsi" w:hAnsiTheme="majorHAnsi" w:cstheme="majorHAnsi"/>
          <w:vertAlign w:val="superscript"/>
        </w:rPr>
        <w:footnoteReference w:id="18"/>
      </w:r>
      <w:r w:rsidR="00F47E30" w:rsidRPr="00FF114B">
        <w:rPr>
          <w:rFonts w:asciiTheme="majorHAnsi" w:hAnsiTheme="majorHAnsi" w:cstheme="majorHAnsi"/>
        </w:rPr>
        <w:t xml:space="preserve"> </w:t>
      </w:r>
      <w:r w:rsidRPr="00FF114B">
        <w:rPr>
          <w:rFonts w:asciiTheme="majorHAnsi" w:hAnsiTheme="majorHAnsi" w:cstheme="majorHAnsi"/>
        </w:rPr>
        <w:t>The white feather campaign is one of the best known examples of this. Founded during voluntary recruitment to increase social pressure, a woman would hand a white feather to a man in public who was su</w:t>
      </w:r>
      <w:r w:rsidRPr="00FF114B">
        <w:rPr>
          <w:rFonts w:asciiTheme="majorHAnsi" w:hAnsiTheme="majorHAnsi" w:cstheme="majorHAnsi"/>
        </w:rPr>
        <w:t>spected of being a conscientious objector in order to publically mark him as a coward, resulting often in repeated verbal or physical abuse.</w:t>
      </w:r>
      <w:r w:rsidRPr="00FF114B">
        <w:rPr>
          <w:rFonts w:asciiTheme="majorHAnsi" w:hAnsiTheme="majorHAnsi" w:cstheme="majorHAnsi"/>
          <w:vertAlign w:val="superscript"/>
        </w:rPr>
        <w:footnoteReference w:id="19"/>
      </w:r>
      <w:r w:rsidRPr="00FF114B">
        <w:rPr>
          <w:rFonts w:asciiTheme="majorHAnsi" w:hAnsiTheme="majorHAnsi" w:cstheme="majorHAnsi"/>
        </w:rPr>
        <w:t xml:space="preserve"> Another example is described by John Brocklesby, one of the Richmond Sixteen who described the public anger direct</w:t>
      </w:r>
      <w:r w:rsidRPr="00FF114B">
        <w:rPr>
          <w:rFonts w:asciiTheme="majorHAnsi" w:hAnsiTheme="majorHAnsi" w:cstheme="majorHAnsi"/>
        </w:rPr>
        <w:t>ed at imprisoned conscientious objectors when they were released before soldiers had returned home, and their often repeated public denouncement and re-arrest by authorities.</w:t>
      </w:r>
      <w:r w:rsidRPr="00FF114B">
        <w:rPr>
          <w:rFonts w:asciiTheme="majorHAnsi" w:hAnsiTheme="majorHAnsi" w:cstheme="majorHAnsi"/>
          <w:vertAlign w:val="superscript"/>
        </w:rPr>
        <w:footnoteReference w:id="20"/>
      </w:r>
    </w:p>
    <w:p w:rsidR="007A3DAF" w:rsidRPr="00FF114B" w:rsidRDefault="008F1D9B">
      <w:pPr>
        <w:pStyle w:val="normal0"/>
        <w:rPr>
          <w:rFonts w:asciiTheme="majorHAnsi" w:hAnsiTheme="majorHAnsi" w:cstheme="majorHAnsi"/>
        </w:rPr>
      </w:pPr>
      <w:r w:rsidRPr="00FF114B">
        <w:rPr>
          <w:rFonts w:asciiTheme="majorHAnsi" w:hAnsiTheme="majorHAnsi" w:cstheme="majorHAnsi"/>
        </w:rPr>
        <w:t xml:space="preserve">Media representations during the </w:t>
      </w:r>
      <w:r w:rsidR="00F47E30" w:rsidRPr="00FF114B">
        <w:rPr>
          <w:rFonts w:asciiTheme="majorHAnsi" w:hAnsiTheme="majorHAnsi" w:cstheme="majorHAnsi"/>
        </w:rPr>
        <w:t>war</w:t>
      </w:r>
      <w:r w:rsidRPr="00FF114B">
        <w:rPr>
          <w:rFonts w:asciiTheme="majorHAnsi" w:hAnsiTheme="majorHAnsi" w:cstheme="majorHAnsi"/>
        </w:rPr>
        <w:t xml:space="preserve"> were incredibly negative, conscientious obj</w:t>
      </w:r>
      <w:r w:rsidRPr="00FF114B">
        <w:rPr>
          <w:rFonts w:asciiTheme="majorHAnsi" w:hAnsiTheme="majorHAnsi" w:cstheme="majorHAnsi"/>
        </w:rPr>
        <w:t>ectors were labelled as “shirkers”, conscription was seen as the antidote and local newspapers denounced known conscientious objectors and ‘conchie’ became a derogatory term to refer to conscientious objectors.</w:t>
      </w:r>
      <w:r w:rsidRPr="00FF114B">
        <w:rPr>
          <w:rFonts w:asciiTheme="majorHAnsi" w:hAnsiTheme="majorHAnsi" w:cstheme="majorHAnsi"/>
          <w:vertAlign w:val="superscript"/>
        </w:rPr>
        <w:footnoteReference w:id="21"/>
      </w:r>
      <w:r w:rsidRPr="00FF114B">
        <w:rPr>
          <w:rFonts w:asciiTheme="majorHAnsi" w:hAnsiTheme="majorHAnsi" w:cstheme="majorHAnsi"/>
        </w:rPr>
        <w:t xml:space="preserve"> Bibbings notes patriotic militaristic ideolo</w:t>
      </w:r>
      <w:r w:rsidRPr="00FF114B">
        <w:rPr>
          <w:rFonts w:asciiTheme="majorHAnsi" w:hAnsiTheme="majorHAnsi" w:cstheme="majorHAnsi"/>
        </w:rPr>
        <w:t>gy as well as contemporary concerns over manhood and upper class decadence where often utilised in these representations.</w:t>
      </w:r>
      <w:r w:rsidRPr="00FF114B">
        <w:rPr>
          <w:rFonts w:asciiTheme="majorHAnsi" w:hAnsiTheme="majorHAnsi" w:cstheme="majorHAnsi"/>
          <w:vertAlign w:val="superscript"/>
        </w:rPr>
        <w:footnoteReference w:id="22"/>
      </w:r>
      <w:r w:rsidRPr="00FF114B">
        <w:rPr>
          <w:rFonts w:asciiTheme="majorHAnsi" w:hAnsiTheme="majorHAnsi" w:cstheme="majorHAnsi"/>
        </w:rPr>
        <w:t xml:space="preserve"> Wartime propaganda and media portrayed volunteers as heroes and conscientious objectors as traitors to the country. One cartoon from </w:t>
      </w:r>
      <w:r w:rsidRPr="00FF114B">
        <w:rPr>
          <w:rFonts w:asciiTheme="majorHAnsi" w:hAnsiTheme="majorHAnsi" w:cstheme="majorHAnsi"/>
        </w:rPr>
        <w:t>John Bull (May 1918) represents the conscientious objector as a dandy lazing in an armchair while his family, including women, work to support the war effort and is captioned  ‘This little pig stayed at home’.</w:t>
      </w:r>
      <w:r w:rsidRPr="00FF114B">
        <w:rPr>
          <w:rFonts w:asciiTheme="majorHAnsi" w:hAnsiTheme="majorHAnsi" w:cstheme="majorHAnsi"/>
          <w:vertAlign w:val="superscript"/>
        </w:rPr>
        <w:footnoteReference w:id="23"/>
      </w:r>
      <w:r w:rsidRPr="00FF114B">
        <w:rPr>
          <w:rFonts w:asciiTheme="majorHAnsi" w:hAnsiTheme="majorHAnsi" w:cstheme="majorHAnsi"/>
        </w:rPr>
        <w:t xml:space="preserve"> Such imagery draws both on the conscientious objector as a hedonistic social parasite and as less than a woman.</w:t>
      </w:r>
      <w:r w:rsidRPr="00FF114B">
        <w:rPr>
          <w:rFonts w:asciiTheme="majorHAnsi" w:hAnsiTheme="majorHAnsi" w:cstheme="majorHAnsi"/>
        </w:rPr>
        <w:t xml:space="preserve"> </w:t>
      </w:r>
      <w:r w:rsidRPr="00FF114B">
        <w:rPr>
          <w:rFonts w:asciiTheme="majorHAnsi" w:hAnsiTheme="majorHAnsi" w:cstheme="majorHAnsi"/>
        </w:rPr>
        <w:t>In contrast to the flawless and upright depictions of soldiers, conscientious objectors were often depicted as weak, ill, scruffy and incompete</w:t>
      </w:r>
      <w:r w:rsidRPr="00FF114B">
        <w:rPr>
          <w:rFonts w:asciiTheme="majorHAnsi" w:hAnsiTheme="majorHAnsi" w:cstheme="majorHAnsi"/>
        </w:rPr>
        <w:t>nt, as Tomlinson states,</w:t>
      </w:r>
      <w:r w:rsidRPr="00FF114B">
        <w:rPr>
          <w:rFonts w:asciiTheme="majorHAnsi" w:hAnsiTheme="majorHAnsi" w:cstheme="majorHAnsi"/>
          <w:vertAlign w:val="superscript"/>
        </w:rPr>
        <w:t xml:space="preserve"> </w:t>
      </w:r>
      <w:r w:rsidRPr="00FF114B">
        <w:rPr>
          <w:rFonts w:asciiTheme="majorHAnsi" w:hAnsiTheme="majorHAnsi" w:cstheme="majorHAnsi"/>
        </w:rPr>
        <w:t>“Rather than fulfilling the stereotype of the soldier hero, non-combatants could be depicted as blundering fools, incapable of being ‘real men’.”</w:t>
      </w:r>
      <w:r w:rsidRPr="00FF114B">
        <w:rPr>
          <w:rFonts w:asciiTheme="majorHAnsi" w:hAnsiTheme="majorHAnsi" w:cstheme="majorHAnsi"/>
          <w:vertAlign w:val="superscript"/>
        </w:rPr>
        <w:footnoteReference w:id="24"/>
      </w:r>
      <w:r w:rsidRPr="00FF114B">
        <w:rPr>
          <w:rFonts w:asciiTheme="majorHAnsi" w:hAnsiTheme="majorHAnsi" w:cstheme="majorHAnsi"/>
        </w:rPr>
        <w:t xml:space="preserve"> Bibbings relates this to the utilisation of popular concerns over a decline of Engli</w:t>
      </w:r>
      <w:r w:rsidRPr="00FF114B">
        <w:rPr>
          <w:rFonts w:asciiTheme="majorHAnsi" w:hAnsiTheme="majorHAnsi" w:cstheme="majorHAnsi"/>
        </w:rPr>
        <w:t>sh manhood perceived to be in crisis which stemmed from the Suffragette movement and the independent ‘New Woman’.</w:t>
      </w:r>
      <w:r w:rsidRPr="00FF114B">
        <w:rPr>
          <w:rFonts w:asciiTheme="majorHAnsi" w:hAnsiTheme="majorHAnsi" w:cstheme="majorHAnsi"/>
          <w:vertAlign w:val="superscript"/>
        </w:rPr>
        <w:footnoteReference w:id="25"/>
      </w:r>
      <w:r w:rsidRPr="00FF114B">
        <w:rPr>
          <w:rFonts w:asciiTheme="majorHAnsi" w:hAnsiTheme="majorHAnsi" w:cstheme="majorHAnsi"/>
          <w:vertAlign w:val="superscript"/>
        </w:rPr>
        <w:t xml:space="preserve"> </w:t>
      </w:r>
      <w:r w:rsidRPr="00FF114B">
        <w:rPr>
          <w:rFonts w:asciiTheme="majorHAnsi" w:hAnsiTheme="majorHAnsi" w:cstheme="majorHAnsi"/>
        </w:rPr>
        <w:t>Representations have been connected to a bending of gender norms, conscientious objectors were often described as ‘pansies’ or ‘sissies’, dep</w:t>
      </w:r>
      <w:r w:rsidRPr="00FF114B">
        <w:rPr>
          <w:rFonts w:asciiTheme="majorHAnsi" w:hAnsiTheme="majorHAnsi" w:cstheme="majorHAnsi"/>
        </w:rPr>
        <w:t>icted wearing women's clothing in the media and even accused of homosexuality.</w:t>
      </w:r>
      <w:r w:rsidRPr="00FF114B">
        <w:rPr>
          <w:rFonts w:asciiTheme="majorHAnsi" w:hAnsiTheme="majorHAnsi" w:cstheme="majorHAnsi"/>
          <w:vertAlign w:val="superscript"/>
        </w:rPr>
        <w:footnoteReference w:id="26"/>
      </w:r>
      <w:r w:rsidRPr="00FF114B">
        <w:rPr>
          <w:rFonts w:asciiTheme="majorHAnsi" w:hAnsiTheme="majorHAnsi" w:cstheme="majorHAnsi"/>
        </w:rPr>
        <w:t xml:space="preserve">Such media representations had as their goal the undermining of the </w:t>
      </w:r>
      <w:r w:rsidRPr="00FF114B">
        <w:rPr>
          <w:rFonts w:asciiTheme="majorHAnsi" w:hAnsiTheme="majorHAnsi" w:cstheme="majorHAnsi"/>
        </w:rPr>
        <w:lastRenderedPageBreak/>
        <w:t>ideology of the conscientious objector through mockery and humiliation, the popular song ‘The Conscientious O</w:t>
      </w:r>
      <w:r w:rsidRPr="00FF114B">
        <w:rPr>
          <w:rFonts w:asciiTheme="majorHAnsi" w:hAnsiTheme="majorHAnsi" w:cstheme="majorHAnsi"/>
        </w:rPr>
        <w:t>bjector’s Lament’ by Alfred Lester is a perfect example.</w:t>
      </w:r>
    </w:p>
    <w:p w:rsidR="007A3DAF" w:rsidRPr="00FF114B" w:rsidRDefault="008F1D9B">
      <w:pPr>
        <w:pStyle w:val="normal0"/>
        <w:rPr>
          <w:rFonts w:asciiTheme="majorHAnsi" w:hAnsiTheme="majorHAnsi" w:cstheme="majorHAnsi"/>
        </w:rPr>
      </w:pPr>
      <w:r w:rsidRPr="00FF114B">
        <w:rPr>
          <w:rFonts w:asciiTheme="majorHAnsi" w:hAnsiTheme="majorHAnsi" w:cstheme="majorHAnsi"/>
        </w:rPr>
        <w:t>An example which can be found in Wales of a conscientious objector being subjected to systematic abuse, which was suffered by self-professed pacifists comes from the accounts of Emrys Hughes. "The ar</w:t>
      </w:r>
      <w:r w:rsidRPr="00FF114B">
        <w:rPr>
          <w:rFonts w:asciiTheme="majorHAnsi" w:hAnsiTheme="majorHAnsi" w:cstheme="majorHAnsi"/>
        </w:rPr>
        <w:t>rest happened without warning, as he arrived at a railway station one day. He was handed over to the military authorities, and taken away, catching a last glimpse of the familiar hillsides and valleys of home as he went. He knew it might be a long time bef</w:t>
      </w:r>
      <w:r w:rsidRPr="00FF114B">
        <w:rPr>
          <w:rFonts w:asciiTheme="majorHAnsi" w:hAnsiTheme="majorHAnsi" w:cstheme="majorHAnsi"/>
        </w:rPr>
        <w:t>ore he saw them again. Immediately, Emrys’ refusal to submit to military orders got him into trouble; he would not call the sergeant major ‘Sir’ or undress for a medical examination. He was sent to a ‘court martial’ or military court; the sergeant-major to</w:t>
      </w:r>
      <w:r w:rsidRPr="00FF114B">
        <w:rPr>
          <w:rFonts w:asciiTheme="majorHAnsi" w:hAnsiTheme="majorHAnsi" w:cstheme="majorHAnsi"/>
        </w:rPr>
        <w:t>ld Emrys and other conscientious objectors that he hoped they would all be shot."</w:t>
      </w:r>
      <w:r w:rsidRPr="00FF114B">
        <w:rPr>
          <w:rFonts w:asciiTheme="majorHAnsi" w:hAnsiTheme="majorHAnsi" w:cstheme="majorHAnsi"/>
          <w:vertAlign w:val="superscript"/>
        </w:rPr>
        <w:footnoteReference w:id="27"/>
      </w:r>
      <w:r w:rsidRPr="00FF114B">
        <w:rPr>
          <w:rFonts w:asciiTheme="majorHAnsi" w:hAnsiTheme="majorHAnsi" w:cstheme="majorHAnsi"/>
        </w:rPr>
        <w:t xml:space="preserve"> Another prominent and noteworthy example comes from Clifford Allen who, when the first world war was declared began the No-Conscription Fellowship (NCF) with </w:t>
      </w:r>
      <w:r w:rsidR="00F47E30" w:rsidRPr="00FF114B">
        <w:rPr>
          <w:rFonts w:asciiTheme="majorHAnsi" w:hAnsiTheme="majorHAnsi" w:cstheme="majorHAnsi"/>
        </w:rPr>
        <w:t>Fanner</w:t>
      </w:r>
      <w:r w:rsidRPr="00FF114B">
        <w:rPr>
          <w:rFonts w:asciiTheme="majorHAnsi" w:hAnsiTheme="majorHAnsi" w:cstheme="majorHAnsi"/>
        </w:rPr>
        <w:t xml:space="preserve"> Brockway</w:t>
      </w:r>
      <w:r w:rsidRPr="00FF114B">
        <w:rPr>
          <w:rFonts w:asciiTheme="majorHAnsi" w:hAnsiTheme="majorHAnsi" w:cstheme="majorHAnsi"/>
        </w:rPr>
        <w:t xml:space="preserve"> which stated members “refuse from conscientious motives to bear arms because they consider human life to be sacred."</w:t>
      </w:r>
      <w:r w:rsidRPr="00FF114B">
        <w:rPr>
          <w:rFonts w:asciiTheme="majorHAnsi" w:hAnsiTheme="majorHAnsi" w:cstheme="majorHAnsi"/>
          <w:vertAlign w:val="superscript"/>
        </w:rPr>
        <w:footnoteReference w:id="28"/>
      </w:r>
      <w:r w:rsidRPr="00FF114B">
        <w:rPr>
          <w:rFonts w:asciiTheme="majorHAnsi" w:hAnsiTheme="majorHAnsi" w:cstheme="majorHAnsi"/>
        </w:rPr>
        <w:t xml:space="preserve"> Following what we have seen from previous examples it is hardly surprising their critique of conscription was received with hostility and</w:t>
      </w:r>
      <w:r w:rsidRPr="00FF114B">
        <w:rPr>
          <w:rFonts w:asciiTheme="majorHAnsi" w:hAnsiTheme="majorHAnsi" w:cstheme="majorHAnsi"/>
        </w:rPr>
        <w:t xml:space="preserve"> their harsh treatment highlights the ideological aspect of hostility towards conscientious objectors. Arrested originally for distributing pamphlets, after refusing the fine they were imprisoned for two months, although Brockway was re-arrested immediatel</w:t>
      </w:r>
      <w:r w:rsidRPr="00FF114B">
        <w:rPr>
          <w:rFonts w:asciiTheme="majorHAnsi" w:hAnsiTheme="majorHAnsi" w:cstheme="majorHAnsi"/>
        </w:rPr>
        <w:t>y under the Military Service Act, depicted as a traitor by being locked in the Tower of London and when he continued to write sentenced to six days on bread and water.</w:t>
      </w:r>
      <w:r w:rsidRPr="00FF114B">
        <w:rPr>
          <w:rFonts w:asciiTheme="majorHAnsi" w:hAnsiTheme="majorHAnsi" w:cstheme="majorHAnsi"/>
          <w:vertAlign w:val="superscript"/>
        </w:rPr>
        <w:footnoteReference w:id="29"/>
      </w:r>
    </w:p>
    <w:p w:rsidR="007A3DAF" w:rsidRPr="00FF114B" w:rsidRDefault="008F1D9B">
      <w:pPr>
        <w:pStyle w:val="normal0"/>
        <w:rPr>
          <w:rFonts w:asciiTheme="majorHAnsi" w:hAnsiTheme="majorHAnsi" w:cstheme="majorHAnsi"/>
          <w:vertAlign w:val="superscript"/>
        </w:rPr>
      </w:pPr>
      <w:r w:rsidRPr="00FF114B">
        <w:rPr>
          <w:rFonts w:asciiTheme="majorHAnsi" w:hAnsiTheme="majorHAnsi" w:cstheme="majorHAnsi"/>
        </w:rPr>
        <w:t>It is important to note that conscientious objectors, while various organised groups su</w:t>
      </w:r>
      <w:r w:rsidRPr="00FF114B">
        <w:rPr>
          <w:rFonts w:asciiTheme="majorHAnsi" w:hAnsiTheme="majorHAnsi" w:cstheme="majorHAnsi"/>
        </w:rPr>
        <w:t>ch as the No-Conscription Fellowship (NCF) existed and formed often in response to the hostility directed towards them,</w:t>
      </w:r>
      <w:r w:rsidRPr="00FF114B">
        <w:rPr>
          <w:rFonts w:asciiTheme="majorHAnsi" w:hAnsiTheme="majorHAnsi" w:cstheme="majorHAnsi"/>
          <w:vertAlign w:val="superscript"/>
        </w:rPr>
        <w:footnoteReference w:id="30"/>
      </w:r>
      <w:r w:rsidRPr="00FF114B">
        <w:rPr>
          <w:rFonts w:asciiTheme="majorHAnsi" w:hAnsiTheme="majorHAnsi" w:cstheme="majorHAnsi"/>
        </w:rPr>
        <w:t xml:space="preserve"> cannot be considered a homogenous group. Those who appealed for the status of conscientious objector originated from of a variety of so</w:t>
      </w:r>
      <w:r w:rsidRPr="00FF114B">
        <w:rPr>
          <w:rFonts w:asciiTheme="majorHAnsi" w:hAnsiTheme="majorHAnsi" w:cstheme="majorHAnsi"/>
        </w:rPr>
        <w:t>cio-economic groups and the justifications used in Tribunal appeals varied greatly. Many based their argument on religious grounds, for example Bibbings lists “Quakers, Christadelphians, Plymouth Brethren, Jehovah’s Witnesses, Methodists, Anglicans and Cat</w:t>
      </w:r>
      <w:r w:rsidRPr="00FF114B">
        <w:rPr>
          <w:rFonts w:asciiTheme="majorHAnsi" w:hAnsiTheme="majorHAnsi" w:cstheme="majorHAnsi"/>
        </w:rPr>
        <w:t>holics as well as at least one Buddhist” appeal.</w:t>
      </w:r>
      <w:r w:rsidRPr="00FF114B">
        <w:rPr>
          <w:rFonts w:asciiTheme="majorHAnsi" w:hAnsiTheme="majorHAnsi" w:cstheme="majorHAnsi"/>
          <w:vertAlign w:val="superscript"/>
        </w:rPr>
        <w:footnoteReference w:id="31"/>
      </w:r>
      <w:r w:rsidRPr="00FF114B">
        <w:rPr>
          <w:rFonts w:asciiTheme="majorHAnsi" w:hAnsiTheme="majorHAnsi" w:cstheme="majorHAnsi"/>
        </w:rPr>
        <w:t xml:space="preserve"> In many cases however this was followed despite the leaders of the support of respective churches for the war. This appeal to religious reasons for objection to combat was common among conscientious objecto</w:t>
      </w:r>
      <w:r w:rsidRPr="00FF114B">
        <w:rPr>
          <w:rFonts w:asciiTheme="majorHAnsi" w:hAnsiTheme="majorHAnsi" w:cstheme="majorHAnsi"/>
        </w:rPr>
        <w:t>rs as it carried some public sympathy and raises questions concerning the extent to which conscientious objectors capitalised on this. Other appeals where based on moral or political grounds, some objected to war, others this particular war; objectors incl</w:t>
      </w:r>
      <w:r w:rsidRPr="00FF114B">
        <w:rPr>
          <w:rFonts w:asciiTheme="majorHAnsi" w:hAnsiTheme="majorHAnsi" w:cstheme="majorHAnsi"/>
        </w:rPr>
        <w:t>uded anarchists and Bolsheviks whose focus was based around the overthrowing of state authority as well as the lawful and religiously devout who focused on passive resistance.</w:t>
      </w:r>
      <w:r w:rsidRPr="00FF114B">
        <w:rPr>
          <w:rFonts w:asciiTheme="majorHAnsi" w:hAnsiTheme="majorHAnsi" w:cstheme="majorHAnsi"/>
          <w:vertAlign w:val="superscript"/>
        </w:rPr>
        <w:footnoteReference w:id="32"/>
      </w:r>
      <w:r w:rsidRPr="00FF114B">
        <w:rPr>
          <w:rFonts w:asciiTheme="majorHAnsi" w:hAnsiTheme="majorHAnsi" w:cstheme="majorHAnsi"/>
        </w:rPr>
        <w:t xml:space="preserve"> Such knowledge sheds light on the complexity of the dispute, the variation of t</w:t>
      </w:r>
      <w:r w:rsidRPr="00FF114B">
        <w:rPr>
          <w:rFonts w:asciiTheme="majorHAnsi" w:hAnsiTheme="majorHAnsi" w:cstheme="majorHAnsi"/>
        </w:rPr>
        <w:t xml:space="preserve">reatment often received by conscientious objectors and the difficulty in assessing treatment of conscientious objectors by the authorities when other </w:t>
      </w:r>
      <w:r w:rsidRPr="00FF114B">
        <w:rPr>
          <w:rFonts w:asciiTheme="majorHAnsi" w:hAnsiTheme="majorHAnsi" w:cstheme="majorHAnsi"/>
        </w:rPr>
        <w:lastRenderedPageBreak/>
        <w:t xml:space="preserve">disputes, such as between the authorities, anarchists and Bolsheviks were involved. Nevertheless however, </w:t>
      </w:r>
      <w:r w:rsidRPr="00FF114B">
        <w:rPr>
          <w:rFonts w:asciiTheme="majorHAnsi" w:hAnsiTheme="majorHAnsi" w:cstheme="majorHAnsi"/>
        </w:rPr>
        <w:t>as Biddings argues, as a group conscientious objectors “sounded a discord with the dominant ideas of the period” and where therefore widely “despised and rejected”, although the level of this often depended on the specific conscientious objectors depicted.</w:t>
      </w:r>
      <w:r w:rsidRPr="00FF114B">
        <w:rPr>
          <w:rFonts w:asciiTheme="majorHAnsi" w:hAnsiTheme="majorHAnsi" w:cstheme="majorHAnsi"/>
          <w:vertAlign w:val="superscript"/>
        </w:rPr>
        <w:footnoteReference w:id="33"/>
      </w:r>
      <w:r w:rsidRPr="00FF114B">
        <w:rPr>
          <w:rFonts w:asciiTheme="majorHAnsi" w:hAnsiTheme="majorHAnsi" w:cstheme="majorHAnsi"/>
        </w:rPr>
        <w:t xml:space="preserve"> Treatment of conscientious objectors, despite predominantly negative, did vary considerably, for example those serving in the Non-Combatants Corps, whilst nicknamed the ‘No Courage Corps’ did not suffer as much abuse as absolutists and others, particular</w:t>
      </w:r>
      <w:r w:rsidRPr="00FF114B">
        <w:rPr>
          <w:rFonts w:asciiTheme="majorHAnsi" w:hAnsiTheme="majorHAnsi" w:cstheme="majorHAnsi"/>
        </w:rPr>
        <w:t xml:space="preserve">ly those undertaking dangerous roles such as those who joined the Friends Ambulance Unit and travelled to the front helped combat representations of conscientious objectors, their bravery and determination in sticking to their beliefs spreading admiration </w:t>
      </w:r>
      <w:r w:rsidRPr="00FF114B">
        <w:rPr>
          <w:rFonts w:asciiTheme="majorHAnsi" w:hAnsiTheme="majorHAnsi" w:cstheme="majorHAnsi"/>
        </w:rPr>
        <w:t>even among politicians and soldiers.</w:t>
      </w:r>
      <w:r w:rsidRPr="00FF114B">
        <w:rPr>
          <w:rFonts w:asciiTheme="majorHAnsi" w:hAnsiTheme="majorHAnsi" w:cstheme="majorHAnsi"/>
          <w:vertAlign w:val="superscript"/>
        </w:rPr>
        <w:footnoteReference w:id="34"/>
      </w:r>
    </w:p>
    <w:p w:rsidR="007A3DAF" w:rsidRPr="00FF114B" w:rsidRDefault="008F1D9B">
      <w:pPr>
        <w:pStyle w:val="normal0"/>
        <w:rPr>
          <w:rFonts w:asciiTheme="majorHAnsi" w:hAnsiTheme="majorHAnsi" w:cstheme="majorHAnsi"/>
        </w:rPr>
      </w:pPr>
      <w:r w:rsidRPr="00FF114B">
        <w:rPr>
          <w:rFonts w:asciiTheme="majorHAnsi" w:hAnsiTheme="majorHAnsi" w:cstheme="majorHAnsi"/>
        </w:rPr>
        <w:t>Likewise, i</w:t>
      </w:r>
      <w:r w:rsidRPr="00FF114B">
        <w:rPr>
          <w:rFonts w:asciiTheme="majorHAnsi" w:hAnsiTheme="majorHAnsi" w:cstheme="majorHAnsi"/>
        </w:rPr>
        <w:t>t is also important to note that in the context of wider European attitudes to conscientious objectors the fact that in the 1916 conscription Act Britain gave men the right to appeal as a conscientious objec</w:t>
      </w:r>
      <w:r w:rsidRPr="00FF114B">
        <w:rPr>
          <w:rFonts w:asciiTheme="majorHAnsi" w:hAnsiTheme="majorHAnsi" w:cstheme="majorHAnsi"/>
        </w:rPr>
        <w:t>tor was noteworthy and somewhat tolerant in relation to other European countries,</w:t>
      </w:r>
      <w:r w:rsidRPr="00FF114B">
        <w:rPr>
          <w:rFonts w:asciiTheme="majorHAnsi" w:hAnsiTheme="majorHAnsi" w:cstheme="majorHAnsi"/>
        </w:rPr>
        <w:t xml:space="preserve"> even the USA was harsher</w:t>
      </w:r>
      <w:r w:rsidRPr="00FF114B">
        <w:rPr>
          <w:rFonts w:asciiTheme="majorHAnsi" w:hAnsiTheme="majorHAnsi" w:cstheme="majorHAnsi"/>
        </w:rPr>
        <w:t>.</w:t>
      </w:r>
      <w:r w:rsidRPr="00FF114B">
        <w:rPr>
          <w:rFonts w:asciiTheme="majorHAnsi" w:hAnsiTheme="majorHAnsi" w:cstheme="majorHAnsi"/>
          <w:vertAlign w:val="superscript"/>
        </w:rPr>
        <w:footnoteReference w:id="35"/>
      </w:r>
      <w:r w:rsidRPr="00FF114B">
        <w:rPr>
          <w:rFonts w:asciiTheme="majorHAnsi" w:hAnsiTheme="majorHAnsi" w:cstheme="majorHAnsi"/>
        </w:rPr>
        <w:t xml:space="preserve"> Stemming possibly in part from Britain’s long history of voluntary military service prior to the First World War, this came about predominantly as </w:t>
      </w:r>
      <w:r w:rsidRPr="00FF114B">
        <w:rPr>
          <w:rFonts w:asciiTheme="majorHAnsi" w:hAnsiTheme="majorHAnsi" w:cstheme="majorHAnsi"/>
        </w:rPr>
        <w:t xml:space="preserve">a result of the influence of Quaker MP’s, a long stemming and traditionally strong religious group in Britain that hold non-violence as a principle tenet. </w:t>
      </w:r>
      <w:r w:rsidRPr="00FF114B">
        <w:rPr>
          <w:rFonts w:asciiTheme="majorHAnsi" w:hAnsiTheme="majorHAnsi" w:cstheme="majorHAnsi"/>
        </w:rPr>
        <w:t>Importantly too however, conscientious objection was legally tolerated for the Vaccination Act 1898 a</w:t>
      </w:r>
      <w:r w:rsidRPr="00FF114B">
        <w:rPr>
          <w:rFonts w:asciiTheme="majorHAnsi" w:hAnsiTheme="majorHAnsi" w:cstheme="majorHAnsi"/>
        </w:rPr>
        <w:t>nd this became the precedent on which the legislation of conscientious objection during the First World War was founded.</w:t>
      </w:r>
      <w:r w:rsidRPr="00FF114B">
        <w:rPr>
          <w:rFonts w:asciiTheme="majorHAnsi" w:hAnsiTheme="majorHAnsi" w:cstheme="majorHAnsi"/>
          <w:vertAlign w:val="superscript"/>
        </w:rPr>
        <w:footnoteReference w:id="36"/>
      </w:r>
      <w:r w:rsidRPr="00FF114B">
        <w:rPr>
          <w:rFonts w:asciiTheme="majorHAnsi" w:eastAsia="Arial" w:hAnsiTheme="majorHAnsi" w:cstheme="majorHAnsi"/>
          <w:color w:val="222222"/>
          <w:highlight w:val="white"/>
        </w:rPr>
        <w:t xml:space="preserve"> </w:t>
      </w:r>
      <w:r w:rsidRPr="00FF114B">
        <w:rPr>
          <w:rFonts w:asciiTheme="majorHAnsi" w:hAnsiTheme="majorHAnsi" w:cstheme="majorHAnsi"/>
        </w:rPr>
        <w:t>In practice however only a very small percentage of appeals were successful and tribunals were both biased and harsh, often consisting</w:t>
      </w:r>
      <w:r w:rsidRPr="00FF114B">
        <w:rPr>
          <w:rFonts w:asciiTheme="majorHAnsi" w:hAnsiTheme="majorHAnsi" w:cstheme="majorHAnsi"/>
        </w:rPr>
        <w:t xml:space="preserve"> of ex-soldiers and members of the upper-class.</w:t>
      </w:r>
      <w:r w:rsidRPr="00FF114B">
        <w:rPr>
          <w:rFonts w:asciiTheme="majorHAnsi" w:hAnsiTheme="majorHAnsi" w:cstheme="majorHAnsi"/>
          <w:vertAlign w:val="superscript"/>
        </w:rPr>
        <w:footnoteReference w:id="37"/>
      </w:r>
    </w:p>
    <w:p w:rsidR="007A3DAF" w:rsidRPr="00FF114B" w:rsidRDefault="008F1D9B">
      <w:pPr>
        <w:pStyle w:val="normal0"/>
        <w:rPr>
          <w:rFonts w:asciiTheme="majorHAnsi" w:hAnsiTheme="majorHAnsi" w:cstheme="majorHAnsi"/>
        </w:rPr>
      </w:pPr>
      <w:r w:rsidRPr="00FF114B">
        <w:rPr>
          <w:rFonts w:asciiTheme="majorHAnsi" w:hAnsiTheme="majorHAnsi" w:cstheme="majorHAnsi"/>
        </w:rPr>
        <w:t xml:space="preserve">In </w:t>
      </w:r>
      <w:r w:rsidRPr="00FF114B">
        <w:rPr>
          <w:rFonts w:asciiTheme="majorHAnsi" w:hAnsiTheme="majorHAnsi" w:cstheme="majorHAnsi"/>
          <w:i/>
        </w:rPr>
        <w:t>Telling Tales about Men: Conceptions of Conscientious Objectors to Military Service during the First War</w:t>
      </w:r>
      <w:r w:rsidRPr="00FF114B">
        <w:rPr>
          <w:rFonts w:asciiTheme="majorHAnsi" w:hAnsiTheme="majorHAnsi" w:cstheme="majorHAnsi"/>
        </w:rPr>
        <w:t>, Bibbings emphasises the multiplicity of narratives and perceptions of conscientious objectors duri</w:t>
      </w:r>
      <w:r w:rsidRPr="00FF114B">
        <w:rPr>
          <w:rFonts w:asciiTheme="majorHAnsi" w:hAnsiTheme="majorHAnsi" w:cstheme="majorHAnsi"/>
        </w:rPr>
        <w:t>ng the First World War.</w:t>
      </w:r>
      <w:r w:rsidRPr="00FF114B">
        <w:rPr>
          <w:rFonts w:asciiTheme="majorHAnsi" w:hAnsiTheme="majorHAnsi" w:cstheme="majorHAnsi"/>
          <w:vertAlign w:val="superscript"/>
        </w:rPr>
        <w:footnoteReference w:id="38"/>
      </w:r>
      <w:r w:rsidRPr="00FF114B">
        <w:rPr>
          <w:rFonts w:asciiTheme="majorHAnsi" w:hAnsiTheme="majorHAnsi" w:cstheme="majorHAnsi"/>
        </w:rPr>
        <w:t xml:space="preserve"> While narratives of conscientious objectors as cowards and unmanly held great power and are commonly discussed today, alternative narratives of conscientious objectors as ethically courageous and self representations by conscientio</w:t>
      </w:r>
      <w:r w:rsidRPr="00FF114B">
        <w:rPr>
          <w:rFonts w:asciiTheme="majorHAnsi" w:hAnsiTheme="majorHAnsi" w:cstheme="majorHAnsi"/>
        </w:rPr>
        <w:t>us objectors as martyrs in the face of great adversity, which in many ways reflect a cultural narrative of the ‘martyr’ present also in the opposing soldiers’ stories, as well as earlier suffragette, socialist and Irish Republican self-representations, wer</w:t>
      </w:r>
      <w:r w:rsidRPr="00FF114B">
        <w:rPr>
          <w:rFonts w:asciiTheme="majorHAnsi" w:hAnsiTheme="majorHAnsi" w:cstheme="majorHAnsi"/>
        </w:rPr>
        <w:t>e formed and circulated as a result of and in response to hostility of dominant discourse. This raises some question for example over the influence of these opposing narratives on conceptions of treatment, as well as on portrayals that the masses had a pos</w:t>
      </w:r>
      <w:r w:rsidRPr="00FF114B">
        <w:rPr>
          <w:rFonts w:asciiTheme="majorHAnsi" w:hAnsiTheme="majorHAnsi" w:cstheme="majorHAnsi"/>
        </w:rPr>
        <w:t>itive and eagerly patriotic attitude towards the war which has recently been questioned.</w:t>
      </w:r>
      <w:r w:rsidRPr="00FF114B">
        <w:rPr>
          <w:rFonts w:asciiTheme="majorHAnsi" w:hAnsiTheme="majorHAnsi" w:cstheme="majorHAnsi"/>
          <w:vertAlign w:val="superscript"/>
        </w:rPr>
        <w:footnoteReference w:id="39"/>
      </w:r>
      <w:r w:rsidRPr="00FF114B">
        <w:rPr>
          <w:rFonts w:asciiTheme="majorHAnsi" w:hAnsiTheme="majorHAnsi" w:cstheme="majorHAnsi"/>
        </w:rPr>
        <w:t>,</w:t>
      </w:r>
      <w:r w:rsidRPr="00FF114B">
        <w:rPr>
          <w:rFonts w:asciiTheme="majorHAnsi" w:hAnsiTheme="majorHAnsi" w:cstheme="majorHAnsi"/>
          <w:vertAlign w:val="superscript"/>
        </w:rPr>
        <w:footnoteReference w:id="40"/>
      </w:r>
      <w:r w:rsidRPr="00FF114B">
        <w:rPr>
          <w:rFonts w:asciiTheme="majorHAnsi" w:hAnsiTheme="majorHAnsi" w:cstheme="majorHAnsi"/>
        </w:rPr>
        <w:t xml:space="preserve"> </w:t>
      </w:r>
    </w:p>
    <w:p w:rsidR="007A3DAF" w:rsidRPr="00FF114B" w:rsidRDefault="008F1D9B">
      <w:pPr>
        <w:pStyle w:val="normal0"/>
        <w:rPr>
          <w:rFonts w:asciiTheme="majorHAnsi" w:hAnsiTheme="majorHAnsi" w:cstheme="majorHAnsi"/>
        </w:rPr>
      </w:pPr>
      <w:r w:rsidRPr="00FF114B">
        <w:rPr>
          <w:rFonts w:asciiTheme="majorHAnsi" w:hAnsiTheme="majorHAnsi" w:cstheme="majorHAnsi"/>
        </w:rPr>
        <w:t xml:space="preserve">Gregory for example argued that these narratives, </w:t>
      </w:r>
      <w:r w:rsidR="00F47E30" w:rsidRPr="00FF114B">
        <w:rPr>
          <w:rFonts w:asciiTheme="majorHAnsi" w:hAnsiTheme="majorHAnsi" w:cstheme="majorHAnsi"/>
        </w:rPr>
        <w:t>alongside</w:t>
      </w:r>
      <w:r w:rsidRPr="00FF114B">
        <w:rPr>
          <w:rFonts w:asciiTheme="majorHAnsi" w:hAnsiTheme="majorHAnsi" w:cstheme="majorHAnsi"/>
        </w:rPr>
        <w:t xml:space="preserve"> previous Edwardian notions of war as a positive good, has greatly influenced historical conceptions of</w:t>
      </w:r>
      <w:r w:rsidRPr="00FF114B">
        <w:rPr>
          <w:rFonts w:asciiTheme="majorHAnsi" w:hAnsiTheme="majorHAnsi" w:cstheme="majorHAnsi"/>
        </w:rPr>
        <w:t xml:space="preserve"> the British masses as eagerly patriotic, </w:t>
      </w:r>
      <w:r w:rsidRPr="00FF114B">
        <w:rPr>
          <w:rFonts w:asciiTheme="majorHAnsi" w:hAnsiTheme="majorHAnsi" w:cstheme="majorHAnsi"/>
        </w:rPr>
        <w:lastRenderedPageBreak/>
        <w:t>and that this was not necessarily the case.</w:t>
      </w:r>
      <w:r w:rsidRPr="00FF114B">
        <w:rPr>
          <w:rFonts w:asciiTheme="majorHAnsi" w:hAnsiTheme="majorHAnsi" w:cstheme="majorHAnsi"/>
          <w:vertAlign w:val="superscript"/>
        </w:rPr>
        <w:footnoteReference w:id="41"/>
      </w:r>
      <w:r w:rsidRPr="00FF114B">
        <w:rPr>
          <w:rFonts w:asciiTheme="majorHAnsi" w:hAnsiTheme="majorHAnsi" w:cstheme="majorHAnsi"/>
        </w:rPr>
        <w:t xml:space="preserve"> While at the end of the war, due to the influence of commemorative practices and increased sentiments of social solidarity in the face of war over 100,000 more onlookers</w:t>
      </w:r>
      <w:r w:rsidRPr="00FF114B">
        <w:rPr>
          <w:rFonts w:asciiTheme="majorHAnsi" w:hAnsiTheme="majorHAnsi" w:cstheme="majorHAnsi"/>
        </w:rPr>
        <w:t xml:space="preserve"> were seen in the London parades, at the beginning of the war only 10,000 were recorded as marching and voluntary conscription, a bit successful for a while, ultimately failed in recruiting the numbers required. </w:t>
      </w:r>
    </w:p>
    <w:p w:rsidR="007A3DAF" w:rsidRPr="00FF114B" w:rsidRDefault="008F1D9B">
      <w:pPr>
        <w:pStyle w:val="normal0"/>
        <w:rPr>
          <w:rFonts w:asciiTheme="majorHAnsi" w:hAnsiTheme="majorHAnsi" w:cstheme="majorHAnsi"/>
        </w:rPr>
      </w:pPr>
      <w:r w:rsidRPr="00FF114B">
        <w:rPr>
          <w:rFonts w:asciiTheme="majorHAnsi" w:hAnsiTheme="majorHAnsi" w:cstheme="majorHAnsi"/>
        </w:rPr>
        <w:t>This led to reluctant recognition among the</w:t>
      </w:r>
      <w:r w:rsidRPr="00FF114B">
        <w:rPr>
          <w:rFonts w:asciiTheme="majorHAnsi" w:hAnsiTheme="majorHAnsi" w:cstheme="majorHAnsi"/>
        </w:rPr>
        <w:t xml:space="preserve"> majority of the public for the need to introduce compulsory conscription. While conscientious objectors during the war are frequently sympathised with today, this can be contrasted with an often smaller perceived sympathy for conscientious objectors for e</w:t>
      </w:r>
      <w:r w:rsidRPr="00FF114B">
        <w:rPr>
          <w:rFonts w:asciiTheme="majorHAnsi" w:hAnsiTheme="majorHAnsi" w:cstheme="majorHAnsi"/>
        </w:rPr>
        <w:t>xample to the above Vaccination Act of 1989. While today the common belief is that vaccination is in many cases a necessary burden for the common good and those who abstain are often depicted as selfish, today the First World War is less likely to be viewe</w:t>
      </w:r>
      <w:r w:rsidRPr="00FF114B">
        <w:rPr>
          <w:rFonts w:asciiTheme="majorHAnsi" w:hAnsiTheme="majorHAnsi" w:cstheme="majorHAnsi"/>
        </w:rPr>
        <w:t>d in such a positive and necessary light. As Gregory notes however, the widespread perception at the time was that the First World War must be fought at every cost and that therefore compulsory conscription was necessary due to the failure of voluntary con</w:t>
      </w:r>
      <w:r w:rsidRPr="00FF114B">
        <w:rPr>
          <w:rFonts w:asciiTheme="majorHAnsi" w:hAnsiTheme="majorHAnsi" w:cstheme="majorHAnsi"/>
        </w:rPr>
        <w:t>scription at the beginning of the war, and it is unsurprising therefore there was significant hostility towards conscientious objectors, which were seen as, in Gregory’s words, “forcing others to take up their burdens.”</w:t>
      </w:r>
      <w:r w:rsidRPr="00FF114B">
        <w:rPr>
          <w:rFonts w:asciiTheme="majorHAnsi" w:hAnsiTheme="majorHAnsi" w:cstheme="majorHAnsi"/>
          <w:vertAlign w:val="superscript"/>
        </w:rPr>
        <w:footnoteReference w:id="42"/>
      </w:r>
      <w:r w:rsidRPr="00FF114B">
        <w:rPr>
          <w:rFonts w:asciiTheme="majorHAnsi" w:hAnsiTheme="majorHAnsi" w:cstheme="majorHAnsi"/>
        </w:rPr>
        <w:t xml:space="preserve"> The acceptance of compulsory conscr</w:t>
      </w:r>
      <w:r w:rsidRPr="00FF114B">
        <w:rPr>
          <w:rFonts w:asciiTheme="majorHAnsi" w:hAnsiTheme="majorHAnsi" w:cstheme="majorHAnsi"/>
        </w:rPr>
        <w:t>iption also led to recognition among the majority for the need to make conscientious objection difficult and unpleasant in order to make it work.</w:t>
      </w:r>
      <w:r w:rsidRPr="00FF114B">
        <w:rPr>
          <w:rFonts w:asciiTheme="majorHAnsi" w:hAnsiTheme="majorHAnsi" w:cstheme="majorHAnsi"/>
          <w:vertAlign w:val="superscript"/>
        </w:rPr>
        <w:footnoteReference w:id="43"/>
      </w:r>
      <w:r w:rsidRPr="00FF114B">
        <w:rPr>
          <w:rFonts w:asciiTheme="majorHAnsi" w:hAnsiTheme="majorHAnsi" w:cstheme="majorHAnsi"/>
        </w:rPr>
        <w:t xml:space="preserve"> The enormous majority of cases dealt with by Military Service Tribunals were not appeals for conscientious ob</w:t>
      </w:r>
      <w:r w:rsidRPr="00FF114B">
        <w:rPr>
          <w:rFonts w:asciiTheme="majorHAnsi" w:hAnsiTheme="majorHAnsi" w:cstheme="majorHAnsi"/>
        </w:rPr>
        <w:t>jection, and in these cases there was significant tolerance and acceptance for dismissal on the grounds of family or other issues such as health. Gregory also argues that while those who appealed to Military Service Tribunals as conscientious objectors wer</w:t>
      </w:r>
      <w:r w:rsidRPr="00FF114B">
        <w:rPr>
          <w:rFonts w:asciiTheme="majorHAnsi" w:hAnsiTheme="majorHAnsi" w:cstheme="majorHAnsi"/>
        </w:rPr>
        <w:t>e often subject to demeaning treatment, they also often eventually gained the objection sought, suggesting that treatment of conscientious objectors, while harsh and often driven by disgust, was understood as necessary and conscientious objectors as an ide</w:t>
      </w:r>
      <w:r w:rsidRPr="00FF114B">
        <w:rPr>
          <w:rFonts w:asciiTheme="majorHAnsi" w:hAnsiTheme="majorHAnsi" w:cstheme="majorHAnsi"/>
        </w:rPr>
        <w:t>ological dispute.</w:t>
      </w:r>
      <w:r w:rsidRPr="00FF114B">
        <w:rPr>
          <w:rFonts w:asciiTheme="majorHAnsi" w:hAnsiTheme="majorHAnsi" w:cstheme="majorHAnsi"/>
          <w:vertAlign w:val="superscript"/>
        </w:rPr>
        <w:footnoteReference w:id="44"/>
      </w:r>
    </w:p>
    <w:p w:rsidR="007A3DAF" w:rsidRPr="00FF114B" w:rsidRDefault="008F1D9B">
      <w:pPr>
        <w:pStyle w:val="normal0"/>
        <w:rPr>
          <w:rFonts w:asciiTheme="majorHAnsi" w:hAnsiTheme="majorHAnsi" w:cstheme="majorHAnsi"/>
        </w:rPr>
      </w:pPr>
      <w:r w:rsidRPr="00FF114B">
        <w:rPr>
          <w:rFonts w:asciiTheme="majorHAnsi" w:hAnsiTheme="majorHAnsi" w:cstheme="majorHAnsi"/>
        </w:rPr>
        <w:t>It is safe to assume, that the life of a conscientious objector in Britain during the First World War was one dominated by abuse institutionalised by the country’s government and popularised by the general population and media</w:t>
      </w:r>
      <w:r w:rsidRPr="00FF114B">
        <w:rPr>
          <w:rFonts w:asciiTheme="majorHAnsi" w:hAnsiTheme="majorHAnsi" w:cstheme="majorHAnsi"/>
        </w:rPr>
        <w:t>,</w:t>
      </w:r>
      <w:r w:rsidRPr="00FF114B">
        <w:rPr>
          <w:rFonts w:asciiTheme="majorHAnsi" w:hAnsiTheme="majorHAnsi" w:cstheme="majorHAnsi"/>
        </w:rPr>
        <w:t xml:space="preserve"> </w:t>
      </w:r>
      <w:r w:rsidRPr="00FF114B">
        <w:rPr>
          <w:rFonts w:asciiTheme="majorHAnsi" w:hAnsiTheme="majorHAnsi" w:cstheme="majorHAnsi"/>
        </w:rPr>
        <w:t>narrative</w:t>
      </w:r>
      <w:r w:rsidRPr="00FF114B">
        <w:rPr>
          <w:rFonts w:asciiTheme="majorHAnsi" w:hAnsiTheme="majorHAnsi" w:cstheme="majorHAnsi"/>
        </w:rPr>
        <w:t>s of conscientious objectors as cowards and unmanly where influence by cultural militaristic ideals and concern over the decline of English manhood and upper class decadence</w:t>
      </w:r>
      <w:r w:rsidRPr="00FF114B">
        <w:rPr>
          <w:rFonts w:asciiTheme="majorHAnsi" w:hAnsiTheme="majorHAnsi" w:cstheme="majorHAnsi"/>
        </w:rPr>
        <w:t xml:space="preserve">. Although there are examples of sentences given to </w:t>
      </w:r>
      <w:r w:rsidRPr="00FF114B">
        <w:rPr>
          <w:rFonts w:asciiTheme="majorHAnsi" w:hAnsiTheme="majorHAnsi" w:cstheme="majorHAnsi"/>
        </w:rPr>
        <w:t>conscientious</w:t>
      </w:r>
      <w:r w:rsidRPr="00FF114B">
        <w:rPr>
          <w:rFonts w:asciiTheme="majorHAnsi" w:hAnsiTheme="majorHAnsi" w:cstheme="majorHAnsi"/>
        </w:rPr>
        <w:t xml:space="preserve"> objectors being m</w:t>
      </w:r>
      <w:r w:rsidRPr="00FF114B">
        <w:rPr>
          <w:rFonts w:asciiTheme="majorHAnsi" w:hAnsiTheme="majorHAnsi" w:cstheme="majorHAnsi"/>
        </w:rPr>
        <w:t>ade more lenient th</w:t>
      </w:r>
      <w:r w:rsidRPr="00FF114B">
        <w:rPr>
          <w:rFonts w:asciiTheme="majorHAnsi" w:hAnsiTheme="majorHAnsi" w:cstheme="majorHAnsi"/>
        </w:rPr>
        <w:t>is</w:t>
      </w:r>
      <w:r w:rsidRPr="00FF114B">
        <w:rPr>
          <w:rFonts w:asciiTheme="majorHAnsi" w:hAnsiTheme="majorHAnsi" w:cstheme="majorHAnsi"/>
        </w:rPr>
        <w:t xml:space="preserve"> seems to have been done main</w:t>
      </w:r>
      <w:r w:rsidRPr="00FF114B">
        <w:rPr>
          <w:rFonts w:asciiTheme="majorHAnsi" w:hAnsiTheme="majorHAnsi" w:cstheme="majorHAnsi"/>
        </w:rPr>
        <w:t xml:space="preserve">ly </w:t>
      </w:r>
      <w:r w:rsidRPr="00FF114B">
        <w:rPr>
          <w:rFonts w:asciiTheme="majorHAnsi" w:hAnsiTheme="majorHAnsi" w:cstheme="majorHAnsi"/>
        </w:rPr>
        <w:t xml:space="preserve">as a result of ensuing scandal driven not only by slightly changing public opinion but also worry over </w:t>
      </w:r>
      <w:r w:rsidRPr="00FF114B">
        <w:rPr>
          <w:rFonts w:asciiTheme="majorHAnsi" w:hAnsiTheme="majorHAnsi" w:cstheme="majorHAnsi"/>
        </w:rPr>
        <w:t>the effect on</w:t>
      </w:r>
      <w:r w:rsidRPr="00FF114B">
        <w:rPr>
          <w:rFonts w:asciiTheme="majorHAnsi" w:hAnsiTheme="majorHAnsi" w:cstheme="majorHAnsi"/>
        </w:rPr>
        <w:t xml:space="preserve"> otherwise willing </w:t>
      </w:r>
      <w:r w:rsidRPr="00FF114B">
        <w:rPr>
          <w:rFonts w:asciiTheme="majorHAnsi" w:hAnsiTheme="majorHAnsi" w:cstheme="majorHAnsi"/>
        </w:rPr>
        <w:t>recruits</w:t>
      </w:r>
      <w:r w:rsidRPr="00FF114B">
        <w:rPr>
          <w:rFonts w:asciiTheme="majorHAnsi" w:hAnsiTheme="majorHAnsi" w:cstheme="majorHAnsi"/>
        </w:rPr>
        <w:t>. Al</w:t>
      </w:r>
      <w:r w:rsidRPr="00FF114B">
        <w:rPr>
          <w:rFonts w:asciiTheme="majorHAnsi" w:hAnsiTheme="majorHAnsi" w:cstheme="majorHAnsi"/>
        </w:rPr>
        <w:t>though legal allowances for conscientious objection demonstrated somewhat more tolerance compared to other countries, in practice Tribunals were often harsh and biased: those who willingly refused, such as the absolutist, despite their ideology or personal</w:t>
      </w:r>
      <w:r w:rsidRPr="00FF114B">
        <w:rPr>
          <w:rFonts w:asciiTheme="majorHAnsi" w:hAnsiTheme="majorHAnsi" w:cstheme="majorHAnsi"/>
        </w:rPr>
        <w:t xml:space="preserve"> theological persuasion to contribute were often harshly punished, publicly denounced and humiliated and therefore t</w:t>
      </w:r>
      <w:r w:rsidRPr="00FF114B">
        <w:rPr>
          <w:rFonts w:asciiTheme="majorHAnsi" w:hAnsiTheme="majorHAnsi" w:cstheme="majorHAnsi"/>
        </w:rPr>
        <w:t>here seems to be very little evidence supporting the idea that the authorities were tolerant of those who refused to fight.</w:t>
      </w:r>
      <w:r w:rsidRPr="00FF114B">
        <w:rPr>
          <w:rFonts w:asciiTheme="majorHAnsi" w:hAnsiTheme="majorHAnsi" w:cstheme="majorHAnsi"/>
        </w:rPr>
        <w:t xml:space="preserve"> Such treatment c</w:t>
      </w:r>
      <w:r w:rsidRPr="00FF114B">
        <w:rPr>
          <w:rFonts w:asciiTheme="majorHAnsi" w:hAnsiTheme="majorHAnsi" w:cstheme="majorHAnsi"/>
        </w:rPr>
        <w:t xml:space="preserve">an be understood in relation to the perceived necessity of the war and compulsory conscription, the ideological danger they posed and the relative </w:t>
      </w:r>
      <w:r w:rsidR="00F47E30" w:rsidRPr="00FF114B">
        <w:rPr>
          <w:rFonts w:asciiTheme="majorHAnsi" w:hAnsiTheme="majorHAnsi" w:cstheme="majorHAnsi"/>
        </w:rPr>
        <w:t>leniency</w:t>
      </w:r>
      <w:r w:rsidRPr="00FF114B">
        <w:rPr>
          <w:rFonts w:asciiTheme="majorHAnsi" w:hAnsiTheme="majorHAnsi" w:cstheme="majorHAnsi"/>
        </w:rPr>
        <w:t xml:space="preserve"> of Tribunals in other situations. In the context of this however variation in the treatment of </w:t>
      </w:r>
      <w:r w:rsidRPr="00FF114B">
        <w:rPr>
          <w:rFonts w:asciiTheme="majorHAnsi" w:hAnsiTheme="majorHAnsi" w:cstheme="majorHAnsi"/>
        </w:rPr>
        <w:lastRenderedPageBreak/>
        <w:t>consc</w:t>
      </w:r>
      <w:r w:rsidRPr="00FF114B">
        <w:rPr>
          <w:rFonts w:asciiTheme="majorHAnsi" w:hAnsiTheme="majorHAnsi" w:cstheme="majorHAnsi"/>
        </w:rPr>
        <w:t>ientious objectors can be seen and must be understood in relation to the wide variety of religious and political reasons for objection and their enactment of it, something which also highlights the complexity of judging treatment of conscientious objectors</w:t>
      </w:r>
      <w:r w:rsidRPr="00FF114B">
        <w:rPr>
          <w:rFonts w:asciiTheme="majorHAnsi" w:hAnsiTheme="majorHAnsi" w:cstheme="majorHAnsi"/>
        </w:rPr>
        <w:t xml:space="preserve"> in such ideological complex disputes.</w:t>
      </w:r>
    </w:p>
    <w:p w:rsidR="007A3DAF" w:rsidRPr="00FF114B" w:rsidRDefault="007A3DAF">
      <w:pPr>
        <w:pStyle w:val="normal0"/>
        <w:rPr>
          <w:rFonts w:asciiTheme="majorHAnsi" w:hAnsiTheme="majorHAnsi" w:cstheme="majorHAnsi"/>
        </w:rPr>
      </w:pPr>
    </w:p>
    <w:p w:rsidR="007A3DAF" w:rsidRPr="00FF114B" w:rsidRDefault="008F1D9B">
      <w:pPr>
        <w:pStyle w:val="normal0"/>
        <w:rPr>
          <w:rFonts w:asciiTheme="majorHAnsi" w:hAnsiTheme="majorHAnsi" w:cstheme="majorHAnsi"/>
          <w:b/>
        </w:rPr>
      </w:pPr>
      <w:r w:rsidRPr="00FF114B">
        <w:rPr>
          <w:rFonts w:asciiTheme="majorHAnsi" w:hAnsiTheme="majorHAnsi" w:cstheme="majorHAnsi"/>
          <w:b/>
        </w:rPr>
        <w:t>Bibliography</w:t>
      </w:r>
    </w:p>
    <w:p w:rsidR="00E84BB5" w:rsidRPr="00FF114B" w:rsidRDefault="00E84BB5">
      <w:pPr>
        <w:pStyle w:val="normal0"/>
        <w:rPr>
          <w:rFonts w:asciiTheme="majorHAnsi" w:hAnsiTheme="majorHAnsi" w:cstheme="majorHAnsi"/>
          <w:b/>
        </w:rPr>
      </w:pPr>
    </w:p>
    <w:p w:rsidR="00E84BB5" w:rsidRPr="00FF114B" w:rsidRDefault="008F1D9B">
      <w:pPr>
        <w:pStyle w:val="normal0"/>
        <w:spacing w:after="0" w:line="240" w:lineRule="auto"/>
        <w:rPr>
          <w:rFonts w:asciiTheme="majorHAnsi" w:hAnsiTheme="majorHAnsi" w:cstheme="majorHAnsi"/>
        </w:rPr>
      </w:pPr>
      <w:r w:rsidRPr="00FF114B">
        <w:rPr>
          <w:rFonts w:asciiTheme="majorHAnsi" w:hAnsiTheme="majorHAnsi" w:cstheme="majorHAnsi"/>
        </w:rPr>
        <w:t>Bibbings, L.</w:t>
      </w:r>
      <w:r w:rsidR="00105535" w:rsidRPr="00FF114B">
        <w:rPr>
          <w:rFonts w:asciiTheme="majorHAnsi" w:hAnsiTheme="majorHAnsi" w:cstheme="majorHAnsi"/>
        </w:rPr>
        <w:t xml:space="preserve">, </w:t>
      </w:r>
      <w:r w:rsidRPr="00FF114B">
        <w:rPr>
          <w:rFonts w:asciiTheme="majorHAnsi" w:hAnsiTheme="majorHAnsi" w:cstheme="majorHAnsi"/>
          <w:i/>
        </w:rPr>
        <w:t xml:space="preserve">Images of manliness: The portrayal of soldiers and conscientious objectors in the Great War. </w:t>
      </w:r>
      <w:r w:rsidRPr="00FF114B">
        <w:rPr>
          <w:rFonts w:asciiTheme="majorHAnsi" w:hAnsiTheme="majorHAnsi" w:cstheme="majorHAnsi"/>
          <w:i/>
        </w:rPr>
        <w:t>Social &amp; Legal Studies</w:t>
      </w:r>
      <w:r w:rsidRPr="00FF114B">
        <w:rPr>
          <w:rFonts w:asciiTheme="majorHAnsi" w:hAnsiTheme="majorHAnsi" w:cstheme="majorHAnsi"/>
        </w:rPr>
        <w:t xml:space="preserve">, </w:t>
      </w:r>
      <w:r w:rsidRPr="00FF114B">
        <w:rPr>
          <w:rFonts w:asciiTheme="majorHAnsi" w:hAnsiTheme="majorHAnsi" w:cstheme="majorHAnsi"/>
          <w:i/>
        </w:rPr>
        <w:t>12</w:t>
      </w:r>
      <w:r w:rsidRPr="00FF114B">
        <w:rPr>
          <w:rFonts w:asciiTheme="majorHAnsi" w:hAnsiTheme="majorHAnsi" w:cstheme="majorHAnsi"/>
        </w:rPr>
        <w:t>(3),</w:t>
      </w:r>
      <w:r w:rsidR="00105535" w:rsidRPr="00FF114B">
        <w:rPr>
          <w:rFonts w:asciiTheme="majorHAnsi" w:hAnsiTheme="majorHAnsi" w:cstheme="majorHAnsi"/>
        </w:rPr>
        <w:t xml:space="preserve"> (2003)</w:t>
      </w:r>
    </w:p>
    <w:p w:rsidR="00E84BB5" w:rsidRPr="00FF114B" w:rsidRDefault="00E84BB5">
      <w:pPr>
        <w:pStyle w:val="normal0"/>
        <w:spacing w:after="0" w:line="240" w:lineRule="auto"/>
        <w:rPr>
          <w:rFonts w:asciiTheme="majorHAnsi" w:hAnsiTheme="majorHAnsi" w:cstheme="majorHAnsi"/>
        </w:rPr>
      </w:pPr>
    </w:p>
    <w:p w:rsidR="007A3DAF" w:rsidRPr="00FF114B" w:rsidRDefault="00105535">
      <w:pPr>
        <w:pStyle w:val="normal0"/>
        <w:spacing w:after="0" w:line="240" w:lineRule="auto"/>
        <w:rPr>
          <w:rFonts w:asciiTheme="majorHAnsi" w:hAnsiTheme="majorHAnsi" w:cstheme="majorHAnsi"/>
        </w:rPr>
      </w:pPr>
      <w:r w:rsidRPr="00FF114B">
        <w:rPr>
          <w:rFonts w:asciiTheme="majorHAnsi" w:eastAsia="Arial" w:hAnsiTheme="majorHAnsi" w:cstheme="majorHAnsi"/>
          <w:color w:val="222222"/>
          <w:highlight w:val="white"/>
        </w:rPr>
        <w:t>Bibbings, L.</w:t>
      </w:r>
      <w:r w:rsidR="00E84BB5" w:rsidRPr="00FF114B">
        <w:rPr>
          <w:rFonts w:asciiTheme="majorHAnsi" w:eastAsia="Arial" w:hAnsiTheme="majorHAnsi" w:cstheme="majorHAnsi"/>
          <w:color w:val="222222"/>
          <w:highlight w:val="white"/>
        </w:rPr>
        <w:t xml:space="preserve">, </w:t>
      </w:r>
      <w:r w:rsidR="00E84BB5" w:rsidRPr="00FF114B">
        <w:rPr>
          <w:rFonts w:asciiTheme="majorHAnsi" w:eastAsia="Arial" w:hAnsiTheme="majorHAnsi" w:cstheme="majorHAnsi"/>
          <w:i/>
          <w:color w:val="222222"/>
          <w:highlight w:val="white"/>
        </w:rPr>
        <w:t>Telling tales about men: conceptions of conscientious objectors to military service during the First World War</w:t>
      </w:r>
      <w:r w:rsidR="00E84BB5" w:rsidRPr="00FF114B">
        <w:rPr>
          <w:rFonts w:asciiTheme="majorHAnsi" w:eastAsia="Arial" w:hAnsiTheme="majorHAnsi" w:cstheme="majorHAnsi"/>
          <w:color w:val="222222"/>
          <w:highlight w:val="white"/>
        </w:rPr>
        <w:t>, (Manchester University Press</w:t>
      </w:r>
      <w:r w:rsidR="00E84BB5" w:rsidRPr="00FF114B">
        <w:rPr>
          <w:rFonts w:asciiTheme="majorHAnsi" w:eastAsia="Arial" w:hAnsiTheme="majorHAnsi" w:cstheme="majorHAnsi"/>
          <w:color w:val="222222"/>
        </w:rPr>
        <w:t>, 2009)</w:t>
      </w:r>
    </w:p>
    <w:p w:rsidR="007A3DAF" w:rsidRPr="00FF114B" w:rsidRDefault="007A3DAF">
      <w:pPr>
        <w:pStyle w:val="normal0"/>
        <w:spacing w:after="0" w:line="240" w:lineRule="auto"/>
        <w:rPr>
          <w:rFonts w:asciiTheme="majorHAnsi" w:hAnsiTheme="majorHAnsi" w:cstheme="majorHAnsi"/>
        </w:rPr>
      </w:pPr>
    </w:p>
    <w:p w:rsidR="007A3DAF" w:rsidRPr="00FF114B" w:rsidRDefault="008F1D9B">
      <w:pPr>
        <w:pStyle w:val="normal0"/>
        <w:spacing w:before="10"/>
        <w:rPr>
          <w:rFonts w:asciiTheme="majorHAnsi" w:hAnsiTheme="majorHAnsi" w:cstheme="majorHAnsi"/>
        </w:rPr>
      </w:pPr>
      <w:r w:rsidRPr="00FF114B">
        <w:rPr>
          <w:rFonts w:asciiTheme="majorHAnsi" w:hAnsiTheme="majorHAnsi" w:cstheme="majorHAnsi"/>
        </w:rPr>
        <w:t xml:space="preserve">Brooks M., </w:t>
      </w:r>
      <w:r w:rsidRPr="00FF114B">
        <w:rPr>
          <w:rFonts w:asciiTheme="majorHAnsi" w:hAnsiTheme="majorHAnsi" w:cstheme="majorHAnsi"/>
          <w:i/>
        </w:rPr>
        <w:t xml:space="preserve">Conscientious objectors in their own </w:t>
      </w:r>
      <w:r w:rsidRPr="00FF114B">
        <w:rPr>
          <w:rFonts w:asciiTheme="majorHAnsi" w:hAnsiTheme="majorHAnsi" w:cstheme="majorHAnsi"/>
          <w:i/>
        </w:rPr>
        <w:t>words</w:t>
      </w:r>
      <w:r w:rsidRPr="00FF114B">
        <w:rPr>
          <w:rFonts w:asciiTheme="majorHAnsi" w:hAnsiTheme="majorHAnsi" w:cstheme="majorHAnsi"/>
        </w:rPr>
        <w:t>, (1988),   &lt;</w:t>
      </w:r>
      <w:hyperlink r:id="rId7">
        <w:r w:rsidRPr="00FF114B">
          <w:rPr>
            <w:rFonts w:asciiTheme="majorHAnsi" w:hAnsiTheme="majorHAnsi" w:cstheme="majorHAnsi"/>
          </w:rPr>
          <w:t>http://www.iwm.org.uk/history/conscientious-objectors-in-their-own-words</w:t>
        </w:r>
      </w:hyperlink>
      <w:r w:rsidRPr="00FF114B">
        <w:rPr>
          <w:rFonts w:asciiTheme="majorHAnsi" w:hAnsiTheme="majorHAnsi" w:cstheme="majorHAnsi"/>
        </w:rPr>
        <w:t>&gt;, [accessed 2 January 2018]</w:t>
      </w:r>
    </w:p>
    <w:p w:rsidR="00E84BB5" w:rsidRPr="00FF114B" w:rsidRDefault="00105535">
      <w:pPr>
        <w:pStyle w:val="normal0"/>
        <w:spacing w:before="10"/>
        <w:rPr>
          <w:rFonts w:asciiTheme="majorHAnsi" w:eastAsia="Arial" w:hAnsiTheme="majorHAnsi" w:cstheme="majorHAnsi"/>
          <w:color w:val="222222"/>
        </w:rPr>
      </w:pPr>
      <w:r w:rsidRPr="00FF114B">
        <w:rPr>
          <w:rFonts w:asciiTheme="majorHAnsi" w:eastAsia="Arial" w:hAnsiTheme="majorHAnsi" w:cstheme="majorHAnsi"/>
          <w:color w:val="222222"/>
          <w:highlight w:val="white"/>
        </w:rPr>
        <w:t>De Groot, G.</w:t>
      </w:r>
      <w:r w:rsidR="00E84BB5" w:rsidRPr="00FF114B">
        <w:rPr>
          <w:rFonts w:asciiTheme="majorHAnsi" w:eastAsia="Arial" w:hAnsiTheme="majorHAnsi" w:cstheme="majorHAnsi"/>
          <w:color w:val="222222"/>
          <w:highlight w:val="white"/>
        </w:rPr>
        <w:t xml:space="preserve">, </w:t>
      </w:r>
      <w:r w:rsidR="00E84BB5" w:rsidRPr="00FF114B">
        <w:rPr>
          <w:rFonts w:asciiTheme="majorHAnsi" w:eastAsia="Arial" w:hAnsiTheme="majorHAnsi" w:cstheme="majorHAnsi"/>
          <w:i/>
          <w:color w:val="222222"/>
          <w:highlight w:val="white"/>
        </w:rPr>
        <w:t>Blighty: British Society in the era of the Great War</w:t>
      </w:r>
      <w:r w:rsidR="00E84BB5" w:rsidRPr="00FF114B">
        <w:rPr>
          <w:rFonts w:asciiTheme="majorHAnsi" w:eastAsia="Arial" w:hAnsiTheme="majorHAnsi" w:cstheme="majorHAnsi"/>
          <w:color w:val="222222"/>
          <w:highlight w:val="white"/>
        </w:rPr>
        <w:t>, (Addison-Wesley Longman</w:t>
      </w:r>
      <w:r w:rsidR="00E84BB5" w:rsidRPr="00FF114B">
        <w:rPr>
          <w:rFonts w:asciiTheme="majorHAnsi" w:eastAsia="Arial" w:hAnsiTheme="majorHAnsi" w:cstheme="majorHAnsi"/>
          <w:color w:val="222222"/>
        </w:rPr>
        <w:t>, 1996)</w:t>
      </w:r>
    </w:p>
    <w:p w:rsidR="007A3DAF" w:rsidRPr="00FF114B" w:rsidRDefault="008F1D9B">
      <w:pPr>
        <w:pStyle w:val="normal0"/>
        <w:spacing w:before="10"/>
        <w:rPr>
          <w:rFonts w:asciiTheme="majorHAnsi" w:hAnsiTheme="majorHAnsi" w:cstheme="majorHAnsi"/>
        </w:rPr>
      </w:pPr>
      <w:r w:rsidRPr="00FF114B">
        <w:rPr>
          <w:rFonts w:asciiTheme="majorHAnsi" w:hAnsiTheme="majorHAnsi" w:cstheme="majorHAnsi"/>
        </w:rPr>
        <w:t xml:space="preserve">Hancock J., </w:t>
      </w:r>
      <w:r w:rsidRPr="00FF114B">
        <w:rPr>
          <w:rFonts w:asciiTheme="majorHAnsi" w:hAnsiTheme="majorHAnsi" w:cstheme="majorHAnsi"/>
          <w:i/>
        </w:rPr>
        <w:t>Conscientious objectors during WW1,</w:t>
      </w:r>
      <w:r w:rsidRPr="00FF114B">
        <w:rPr>
          <w:rFonts w:asciiTheme="majorHAnsi" w:hAnsiTheme="majorHAnsi" w:cstheme="majorHAnsi"/>
          <w:i/>
        </w:rPr>
        <w:t xml:space="preserve"> (2016)</w:t>
      </w:r>
      <w:r w:rsidRPr="00FF114B">
        <w:rPr>
          <w:rFonts w:asciiTheme="majorHAnsi" w:hAnsiTheme="majorHAnsi" w:cstheme="majorHAnsi"/>
        </w:rPr>
        <w:t>, &lt;</w:t>
      </w:r>
      <w:hyperlink r:id="rId8">
        <w:r w:rsidRPr="00FF114B">
          <w:rPr>
            <w:rFonts w:asciiTheme="majorHAnsi" w:hAnsiTheme="majorHAnsi" w:cstheme="majorHAnsi"/>
          </w:rPr>
          <w:t>https://owlcation.com/humanities/Conscientious-Objectors-During-World-War-1</w:t>
        </w:r>
      </w:hyperlink>
      <w:r w:rsidRPr="00FF114B">
        <w:rPr>
          <w:rFonts w:asciiTheme="majorHAnsi" w:hAnsiTheme="majorHAnsi" w:cstheme="majorHAnsi"/>
        </w:rPr>
        <w:t>&gt; [accessed 2 January 2018]</w:t>
      </w:r>
    </w:p>
    <w:p w:rsidR="007A3DAF" w:rsidRPr="00FF114B" w:rsidRDefault="008F1D9B">
      <w:pPr>
        <w:pStyle w:val="normal0"/>
        <w:spacing w:before="10" w:after="0" w:line="240" w:lineRule="auto"/>
        <w:rPr>
          <w:rFonts w:asciiTheme="majorHAnsi" w:eastAsia="Arial" w:hAnsiTheme="majorHAnsi" w:cstheme="majorHAnsi"/>
          <w:color w:val="222222"/>
          <w:highlight w:val="white"/>
        </w:rPr>
      </w:pPr>
      <w:r w:rsidRPr="00FF114B">
        <w:rPr>
          <w:rFonts w:asciiTheme="majorHAnsi" w:eastAsia="Arial" w:hAnsiTheme="majorHAnsi" w:cstheme="majorHAnsi"/>
          <w:color w:val="222222"/>
          <w:highlight w:val="white"/>
        </w:rPr>
        <w:t>Gregory, A.</w:t>
      </w:r>
      <w:r w:rsidR="00105535" w:rsidRPr="00FF114B">
        <w:rPr>
          <w:rFonts w:asciiTheme="majorHAnsi" w:eastAsia="Arial" w:hAnsiTheme="majorHAnsi" w:cstheme="majorHAnsi"/>
          <w:color w:val="222222"/>
          <w:highlight w:val="white"/>
        </w:rPr>
        <w:t xml:space="preserve">, </w:t>
      </w:r>
      <w:r w:rsidRPr="00FF114B">
        <w:rPr>
          <w:rFonts w:asciiTheme="majorHAnsi" w:eastAsia="Arial" w:hAnsiTheme="majorHAnsi" w:cstheme="majorHAnsi"/>
          <w:i/>
          <w:color w:val="222222"/>
          <w:highlight w:val="white"/>
        </w:rPr>
        <w:t>The last great war: British so</w:t>
      </w:r>
      <w:r w:rsidRPr="00FF114B">
        <w:rPr>
          <w:rFonts w:asciiTheme="majorHAnsi" w:eastAsia="Arial" w:hAnsiTheme="majorHAnsi" w:cstheme="majorHAnsi"/>
          <w:i/>
          <w:color w:val="222222"/>
          <w:highlight w:val="white"/>
        </w:rPr>
        <w:t>ciety and the first world war</w:t>
      </w:r>
      <w:r w:rsidRPr="00FF114B">
        <w:rPr>
          <w:rFonts w:asciiTheme="majorHAnsi" w:eastAsia="Arial" w:hAnsiTheme="majorHAnsi" w:cstheme="majorHAnsi"/>
          <w:color w:val="222222"/>
          <w:highlight w:val="white"/>
        </w:rPr>
        <w:t>. Cambridge</w:t>
      </w:r>
      <w:r w:rsidR="00105535" w:rsidRPr="00FF114B">
        <w:rPr>
          <w:rFonts w:asciiTheme="majorHAnsi" w:eastAsia="Arial" w:hAnsiTheme="majorHAnsi" w:cstheme="majorHAnsi"/>
          <w:color w:val="222222"/>
          <w:highlight w:val="white"/>
        </w:rPr>
        <w:t>,</w:t>
      </w:r>
      <w:r w:rsidRPr="00FF114B">
        <w:rPr>
          <w:rFonts w:asciiTheme="majorHAnsi" w:eastAsia="Arial" w:hAnsiTheme="majorHAnsi" w:cstheme="majorHAnsi"/>
          <w:color w:val="222222"/>
          <w:highlight w:val="white"/>
        </w:rPr>
        <w:t xml:space="preserve"> </w:t>
      </w:r>
      <w:r w:rsidR="00105535" w:rsidRPr="00FF114B">
        <w:rPr>
          <w:rFonts w:asciiTheme="majorHAnsi" w:eastAsia="Arial" w:hAnsiTheme="majorHAnsi" w:cstheme="majorHAnsi"/>
          <w:color w:val="222222"/>
          <w:highlight w:val="white"/>
        </w:rPr>
        <w:t>(University Press, 2008)</w:t>
      </w:r>
    </w:p>
    <w:p w:rsidR="00E84BB5" w:rsidRPr="00FF114B" w:rsidRDefault="00E84BB5">
      <w:pPr>
        <w:pStyle w:val="normal0"/>
        <w:spacing w:before="10" w:after="0" w:line="240" w:lineRule="auto"/>
        <w:rPr>
          <w:rFonts w:asciiTheme="majorHAnsi" w:eastAsia="Arial" w:hAnsiTheme="majorHAnsi" w:cstheme="majorHAnsi"/>
          <w:color w:val="222222"/>
          <w:highlight w:val="white"/>
        </w:rPr>
      </w:pPr>
    </w:p>
    <w:p w:rsidR="00E84BB5" w:rsidRPr="00FF114B" w:rsidRDefault="00E84BB5">
      <w:pPr>
        <w:pStyle w:val="normal0"/>
        <w:spacing w:before="10" w:after="0" w:line="240" w:lineRule="auto"/>
        <w:rPr>
          <w:rFonts w:asciiTheme="majorHAnsi" w:eastAsia="Arial" w:hAnsiTheme="majorHAnsi" w:cstheme="majorHAnsi"/>
          <w:color w:val="222222"/>
          <w:highlight w:val="white"/>
        </w:rPr>
      </w:pPr>
      <w:r w:rsidRPr="00FF114B">
        <w:rPr>
          <w:rFonts w:asciiTheme="majorHAnsi" w:eastAsia="Arial" w:hAnsiTheme="majorHAnsi" w:cstheme="majorHAnsi"/>
          <w:color w:val="222222"/>
          <w:highlight w:val="white"/>
        </w:rPr>
        <w:t xml:space="preserve">Gregory, A. </w:t>
      </w:r>
      <w:r w:rsidRPr="00FF114B">
        <w:rPr>
          <w:rFonts w:asciiTheme="majorHAnsi" w:eastAsia="Arial" w:hAnsiTheme="majorHAnsi" w:cstheme="majorHAnsi"/>
          <w:i/>
          <w:color w:val="222222"/>
          <w:highlight w:val="white"/>
        </w:rPr>
        <w:t>Telling Tales about Men: Conceptions of Conscientious Objectors to Military Service during the First World War</w:t>
      </w:r>
      <w:r w:rsidRPr="00FF114B">
        <w:rPr>
          <w:rFonts w:asciiTheme="majorHAnsi" w:eastAsia="Arial" w:hAnsiTheme="majorHAnsi" w:cstheme="majorHAnsi"/>
          <w:color w:val="222222"/>
          <w:highlight w:val="white"/>
        </w:rPr>
        <w:t>, by Lois Bibbings, (2012)</w:t>
      </w:r>
    </w:p>
    <w:p w:rsidR="007A3DAF" w:rsidRPr="00FF114B" w:rsidRDefault="007A3DAF">
      <w:pPr>
        <w:pStyle w:val="normal0"/>
        <w:spacing w:before="10" w:after="0" w:line="240" w:lineRule="auto"/>
        <w:rPr>
          <w:rFonts w:asciiTheme="majorHAnsi" w:hAnsiTheme="majorHAnsi" w:cstheme="majorHAnsi"/>
        </w:rPr>
      </w:pPr>
    </w:p>
    <w:p w:rsidR="007A3DAF" w:rsidRPr="00FF114B" w:rsidRDefault="008F1D9B">
      <w:pPr>
        <w:pStyle w:val="normal0"/>
        <w:spacing w:before="10" w:after="0" w:line="240" w:lineRule="auto"/>
        <w:rPr>
          <w:rFonts w:asciiTheme="majorHAnsi" w:hAnsiTheme="majorHAnsi" w:cstheme="majorHAnsi"/>
        </w:rPr>
      </w:pPr>
      <w:r w:rsidRPr="00FF114B">
        <w:rPr>
          <w:rFonts w:asciiTheme="majorHAnsi" w:hAnsiTheme="majorHAnsi" w:cstheme="majorHAnsi"/>
        </w:rPr>
        <w:t>Kramer, A.</w:t>
      </w:r>
      <w:r w:rsidR="00F23D82" w:rsidRPr="00FF114B">
        <w:rPr>
          <w:rFonts w:asciiTheme="majorHAnsi" w:hAnsiTheme="majorHAnsi" w:cstheme="majorHAnsi"/>
        </w:rPr>
        <w:t xml:space="preserve">, </w:t>
      </w:r>
      <w:r w:rsidRPr="00FF114B">
        <w:rPr>
          <w:rFonts w:asciiTheme="majorHAnsi" w:hAnsiTheme="majorHAnsi" w:cstheme="majorHAnsi"/>
          <w:i/>
        </w:rPr>
        <w:t>Conscientious Objectors of the First World War: A Determined Resistance</w:t>
      </w:r>
      <w:r w:rsidRPr="00FF114B">
        <w:rPr>
          <w:rFonts w:asciiTheme="majorHAnsi" w:hAnsiTheme="majorHAnsi" w:cstheme="majorHAnsi"/>
        </w:rPr>
        <w:t xml:space="preserve">. </w:t>
      </w:r>
      <w:r w:rsidR="00F23D82" w:rsidRPr="00FF114B">
        <w:rPr>
          <w:rFonts w:asciiTheme="majorHAnsi" w:hAnsiTheme="majorHAnsi" w:cstheme="majorHAnsi"/>
        </w:rPr>
        <w:t>(Pen and Sword, 2014)</w:t>
      </w:r>
    </w:p>
    <w:p w:rsidR="007A3DAF" w:rsidRPr="00FF114B" w:rsidRDefault="007A3DAF">
      <w:pPr>
        <w:pStyle w:val="normal0"/>
        <w:spacing w:before="10" w:after="0" w:line="240" w:lineRule="auto"/>
        <w:rPr>
          <w:rFonts w:asciiTheme="majorHAnsi" w:hAnsiTheme="majorHAnsi" w:cstheme="majorHAnsi"/>
        </w:rPr>
      </w:pPr>
    </w:p>
    <w:p w:rsidR="007A3DAF" w:rsidRPr="00FF114B" w:rsidRDefault="00F23D82">
      <w:pPr>
        <w:pStyle w:val="normal0"/>
        <w:spacing w:before="10" w:line="240" w:lineRule="auto"/>
        <w:rPr>
          <w:rFonts w:asciiTheme="majorHAnsi" w:hAnsiTheme="majorHAnsi" w:cstheme="majorHAnsi"/>
        </w:rPr>
      </w:pPr>
      <w:r w:rsidRPr="00FF114B">
        <w:rPr>
          <w:rFonts w:asciiTheme="majorHAnsi" w:hAnsiTheme="majorHAnsi" w:cstheme="majorHAnsi"/>
        </w:rPr>
        <w:t>Levi, M.,</w:t>
      </w:r>
      <w:r w:rsidR="008F1D9B" w:rsidRPr="00FF114B">
        <w:rPr>
          <w:rFonts w:asciiTheme="majorHAnsi" w:hAnsiTheme="majorHAnsi" w:cstheme="majorHAnsi"/>
        </w:rPr>
        <w:t xml:space="preserve"> </w:t>
      </w:r>
      <w:r w:rsidR="008F1D9B" w:rsidRPr="00FF114B">
        <w:rPr>
          <w:rFonts w:asciiTheme="majorHAnsi" w:hAnsiTheme="majorHAnsi" w:cstheme="majorHAnsi"/>
          <w:i/>
        </w:rPr>
        <w:t xml:space="preserve">The institution of conscription. </w:t>
      </w:r>
      <w:r w:rsidR="008F1D9B" w:rsidRPr="00FF114B">
        <w:rPr>
          <w:rFonts w:asciiTheme="majorHAnsi" w:hAnsiTheme="majorHAnsi" w:cstheme="majorHAnsi"/>
          <w:i/>
        </w:rPr>
        <w:t>Social Science History</w:t>
      </w:r>
      <w:r w:rsidR="008F1D9B" w:rsidRPr="00FF114B">
        <w:rPr>
          <w:rFonts w:asciiTheme="majorHAnsi" w:hAnsiTheme="majorHAnsi" w:cstheme="majorHAnsi"/>
        </w:rPr>
        <w:t xml:space="preserve">, </w:t>
      </w:r>
      <w:r w:rsidR="008F1D9B" w:rsidRPr="00FF114B">
        <w:rPr>
          <w:rFonts w:asciiTheme="majorHAnsi" w:hAnsiTheme="majorHAnsi" w:cstheme="majorHAnsi"/>
          <w:i/>
        </w:rPr>
        <w:t>20</w:t>
      </w:r>
      <w:r w:rsidRPr="00FF114B">
        <w:rPr>
          <w:rFonts w:asciiTheme="majorHAnsi" w:hAnsiTheme="majorHAnsi" w:cstheme="majorHAnsi"/>
        </w:rPr>
        <w:t>(1), (1996)</w:t>
      </w:r>
    </w:p>
    <w:p w:rsidR="007A3DAF" w:rsidRPr="00FF114B" w:rsidRDefault="008F1D9B">
      <w:pPr>
        <w:pStyle w:val="normal0"/>
        <w:shd w:val="clear" w:color="auto" w:fill="FFFFFF"/>
        <w:spacing w:before="10" w:after="280" w:line="240" w:lineRule="auto"/>
        <w:rPr>
          <w:rFonts w:asciiTheme="majorHAnsi" w:hAnsiTheme="majorHAnsi" w:cstheme="majorHAnsi"/>
        </w:rPr>
      </w:pPr>
      <w:r w:rsidRPr="00FF114B">
        <w:rPr>
          <w:rFonts w:asciiTheme="majorHAnsi" w:hAnsiTheme="majorHAnsi" w:cstheme="majorHAnsi"/>
        </w:rPr>
        <w:t xml:space="preserve">Liponski, W., </w:t>
      </w:r>
      <w:r w:rsidRPr="00FF114B">
        <w:rPr>
          <w:rFonts w:asciiTheme="majorHAnsi" w:hAnsiTheme="majorHAnsi" w:cstheme="majorHAnsi"/>
          <w:i/>
        </w:rPr>
        <w:t>History of British culture</w:t>
      </w:r>
      <w:r w:rsidRPr="00FF114B">
        <w:rPr>
          <w:rFonts w:asciiTheme="majorHAnsi" w:hAnsiTheme="majorHAnsi" w:cstheme="majorHAnsi"/>
        </w:rPr>
        <w:t>, (Warsaw, PWN, 2011)</w:t>
      </w:r>
    </w:p>
    <w:p w:rsidR="007A3DAF" w:rsidRPr="00FF114B" w:rsidRDefault="00105535">
      <w:pPr>
        <w:pStyle w:val="normal0"/>
        <w:spacing w:before="10" w:line="240" w:lineRule="auto"/>
        <w:rPr>
          <w:rFonts w:asciiTheme="majorHAnsi" w:hAnsiTheme="majorHAnsi" w:cstheme="majorHAnsi"/>
        </w:rPr>
      </w:pPr>
      <w:bookmarkStart w:id="0" w:name="_gjdgxs" w:colFirst="0" w:colLast="0"/>
      <w:bookmarkEnd w:id="0"/>
      <w:r w:rsidRPr="00FF114B">
        <w:rPr>
          <w:rFonts w:asciiTheme="majorHAnsi" w:hAnsiTheme="majorHAnsi" w:cstheme="majorHAnsi"/>
        </w:rPr>
        <w:t>O’Brien, A., &lt;</w:t>
      </w:r>
      <w:r w:rsidR="008F1D9B" w:rsidRPr="00FF114B">
        <w:rPr>
          <w:rFonts w:asciiTheme="majorHAnsi" w:hAnsiTheme="majorHAnsi" w:cstheme="majorHAnsi"/>
        </w:rPr>
        <w:t>http://lewishamfww.wikidot.com/prison</w:t>
      </w:r>
      <w:r w:rsidRPr="00FF114B">
        <w:rPr>
          <w:rFonts w:asciiTheme="majorHAnsi" w:hAnsiTheme="majorHAnsi" w:cstheme="majorHAnsi"/>
        </w:rPr>
        <w:t>&gt;, (2014), [accessed 18 April 2018]</w:t>
      </w:r>
    </w:p>
    <w:p w:rsidR="009B3A8C" w:rsidRPr="00FF114B" w:rsidRDefault="009B3A8C">
      <w:pPr>
        <w:pStyle w:val="normal0"/>
        <w:spacing w:before="10" w:line="240" w:lineRule="auto"/>
        <w:rPr>
          <w:rFonts w:asciiTheme="majorHAnsi" w:hAnsiTheme="majorHAnsi" w:cstheme="majorHAnsi"/>
        </w:rPr>
      </w:pPr>
      <w:r w:rsidRPr="00FF114B">
        <w:rPr>
          <w:rFonts w:asciiTheme="majorHAnsi" w:hAnsiTheme="majorHAnsi" w:cstheme="majorHAnsi"/>
        </w:rPr>
        <w:t xml:space="preserve">Pearce, C., &amp; Durham, H., </w:t>
      </w:r>
      <w:r w:rsidRPr="00FF114B">
        <w:rPr>
          <w:rFonts w:asciiTheme="majorHAnsi" w:hAnsiTheme="majorHAnsi" w:cstheme="majorHAnsi"/>
          <w:i/>
        </w:rPr>
        <w:t>Patterns of Dissent in Britain during the First World War. War &amp; Society,</w:t>
      </w:r>
      <w:r w:rsidRPr="00FF114B">
        <w:rPr>
          <w:rFonts w:asciiTheme="majorHAnsi" w:hAnsiTheme="majorHAnsi" w:cstheme="majorHAnsi"/>
        </w:rPr>
        <w:t xml:space="preserve"> </w:t>
      </w:r>
      <w:r w:rsidRPr="00FF114B">
        <w:rPr>
          <w:rFonts w:asciiTheme="majorHAnsi" w:hAnsiTheme="majorHAnsi" w:cstheme="majorHAnsi"/>
          <w:i/>
        </w:rPr>
        <w:t>34</w:t>
      </w:r>
      <w:r w:rsidRPr="00FF114B">
        <w:rPr>
          <w:rFonts w:asciiTheme="majorHAnsi" w:hAnsiTheme="majorHAnsi" w:cstheme="majorHAnsi"/>
        </w:rPr>
        <w:t>(2), (2015)</w:t>
      </w:r>
    </w:p>
    <w:p w:rsidR="007A3DAF" w:rsidRPr="00FF114B" w:rsidRDefault="00F23D82">
      <w:pPr>
        <w:pStyle w:val="normal0"/>
        <w:spacing w:before="10" w:after="0" w:line="240" w:lineRule="auto"/>
        <w:rPr>
          <w:rFonts w:asciiTheme="majorHAnsi" w:hAnsiTheme="majorHAnsi" w:cstheme="majorHAnsi"/>
        </w:rPr>
      </w:pPr>
      <w:r w:rsidRPr="00FF114B">
        <w:rPr>
          <w:rFonts w:asciiTheme="majorHAnsi" w:hAnsiTheme="majorHAnsi" w:cstheme="majorHAnsi"/>
        </w:rPr>
        <w:t xml:space="preserve">Pearce, C., </w:t>
      </w:r>
      <w:r w:rsidR="008F1D9B" w:rsidRPr="00FF114B">
        <w:rPr>
          <w:rFonts w:asciiTheme="majorHAnsi" w:hAnsiTheme="majorHAnsi" w:cstheme="majorHAnsi"/>
          <w:i/>
        </w:rPr>
        <w:t>War Resisters in</w:t>
      </w:r>
      <w:r w:rsidR="008F1D9B" w:rsidRPr="00FF114B">
        <w:rPr>
          <w:rFonts w:asciiTheme="majorHAnsi" w:hAnsiTheme="majorHAnsi" w:cstheme="majorHAnsi"/>
          <w:i/>
        </w:rPr>
        <w:t xml:space="preserve"> Britain, 1914-1918: an introduction to the British Online Archives edition</w:t>
      </w:r>
      <w:r w:rsidR="008F1D9B" w:rsidRPr="00FF114B">
        <w:rPr>
          <w:rFonts w:asciiTheme="majorHAnsi" w:hAnsiTheme="majorHAnsi" w:cstheme="majorHAnsi"/>
        </w:rPr>
        <w:t>, https://boa.microfo</w:t>
      </w:r>
      <w:r w:rsidRPr="00FF114B">
        <w:rPr>
          <w:rFonts w:asciiTheme="majorHAnsi" w:hAnsiTheme="majorHAnsi" w:cstheme="majorHAnsi"/>
        </w:rPr>
        <w:t xml:space="preserve">rm.digital/collections/55/view, (2014), </w:t>
      </w:r>
      <w:r w:rsidR="00105535" w:rsidRPr="00FF114B">
        <w:rPr>
          <w:rFonts w:asciiTheme="majorHAnsi" w:hAnsiTheme="majorHAnsi" w:cstheme="majorHAnsi"/>
        </w:rPr>
        <w:t>30 September 2014, [accessed 20 April 2018]</w:t>
      </w:r>
    </w:p>
    <w:p w:rsidR="007A3DAF" w:rsidRPr="00FF114B" w:rsidRDefault="007A3DAF">
      <w:pPr>
        <w:pStyle w:val="normal0"/>
        <w:spacing w:before="10" w:after="0" w:line="240" w:lineRule="auto"/>
        <w:rPr>
          <w:rFonts w:asciiTheme="majorHAnsi" w:hAnsiTheme="majorHAnsi" w:cstheme="majorHAnsi"/>
        </w:rPr>
      </w:pPr>
    </w:p>
    <w:p w:rsidR="007A3DAF" w:rsidRPr="00FF114B" w:rsidRDefault="000616E0">
      <w:pPr>
        <w:pStyle w:val="normal0"/>
        <w:spacing w:before="10"/>
        <w:rPr>
          <w:rFonts w:asciiTheme="majorHAnsi" w:hAnsiTheme="majorHAnsi" w:cstheme="majorHAnsi"/>
        </w:rPr>
      </w:pPr>
      <w:r w:rsidRPr="00FF114B">
        <w:rPr>
          <w:rFonts w:asciiTheme="majorHAnsi" w:hAnsiTheme="majorHAnsi" w:cstheme="majorHAnsi"/>
        </w:rPr>
        <w:t>Rae, J.</w:t>
      </w:r>
      <w:r w:rsidR="00F23D82" w:rsidRPr="00FF114B">
        <w:rPr>
          <w:rFonts w:asciiTheme="majorHAnsi" w:hAnsiTheme="majorHAnsi" w:cstheme="majorHAnsi"/>
        </w:rPr>
        <w:t xml:space="preserve">, </w:t>
      </w:r>
      <w:r w:rsidR="008F1D9B" w:rsidRPr="00FF114B">
        <w:rPr>
          <w:rFonts w:asciiTheme="majorHAnsi" w:hAnsiTheme="majorHAnsi" w:cstheme="majorHAnsi"/>
          <w:i/>
        </w:rPr>
        <w:t>Conscience and Politics: The British Government and the Conscientious Objecto</w:t>
      </w:r>
      <w:r w:rsidR="008F1D9B" w:rsidRPr="00FF114B">
        <w:rPr>
          <w:rFonts w:asciiTheme="majorHAnsi" w:hAnsiTheme="majorHAnsi" w:cstheme="majorHAnsi"/>
          <w:i/>
        </w:rPr>
        <w:t>r</w:t>
      </w:r>
      <w:r w:rsidR="00F23D82" w:rsidRPr="00FF114B">
        <w:rPr>
          <w:rFonts w:asciiTheme="majorHAnsi" w:hAnsiTheme="majorHAnsi" w:cstheme="majorHAnsi"/>
          <w:i/>
        </w:rPr>
        <w:t xml:space="preserve"> to Military Service 1916–1919</w:t>
      </w:r>
      <w:r w:rsidR="00F23D82" w:rsidRPr="00FF114B">
        <w:rPr>
          <w:rFonts w:asciiTheme="majorHAnsi" w:hAnsiTheme="majorHAnsi" w:cstheme="majorHAnsi"/>
        </w:rPr>
        <w:t>, (</w:t>
      </w:r>
      <w:r w:rsidR="008F1D9B" w:rsidRPr="00FF114B">
        <w:rPr>
          <w:rFonts w:asciiTheme="majorHAnsi" w:hAnsiTheme="majorHAnsi" w:cstheme="majorHAnsi"/>
        </w:rPr>
        <w:t>London: Oxford University Press</w:t>
      </w:r>
      <w:r w:rsidR="00F23D82" w:rsidRPr="00FF114B">
        <w:rPr>
          <w:rFonts w:asciiTheme="majorHAnsi" w:hAnsiTheme="majorHAnsi" w:cstheme="majorHAnsi"/>
        </w:rPr>
        <w:t>, 1970)</w:t>
      </w:r>
      <w:r w:rsidR="008F1D9B" w:rsidRPr="00FF114B">
        <w:rPr>
          <w:rFonts w:asciiTheme="majorHAnsi" w:hAnsiTheme="majorHAnsi" w:cstheme="majorHAnsi"/>
        </w:rPr>
        <w:t xml:space="preserve"> </w:t>
      </w:r>
    </w:p>
    <w:p w:rsidR="007A3DAF" w:rsidRPr="00FF114B" w:rsidRDefault="008F1D9B">
      <w:pPr>
        <w:pStyle w:val="normal0"/>
        <w:spacing w:before="10"/>
        <w:rPr>
          <w:rFonts w:asciiTheme="majorHAnsi" w:hAnsiTheme="majorHAnsi" w:cstheme="majorHAnsi"/>
        </w:rPr>
      </w:pPr>
      <w:r w:rsidRPr="00FF114B">
        <w:rPr>
          <w:rFonts w:asciiTheme="majorHAnsi" w:hAnsiTheme="majorHAnsi" w:cstheme="majorHAnsi"/>
        </w:rPr>
        <w:lastRenderedPageBreak/>
        <w:t>Tomlinson</w:t>
      </w:r>
      <w:r w:rsidRPr="00FF114B">
        <w:rPr>
          <w:rFonts w:asciiTheme="majorHAnsi" w:hAnsiTheme="majorHAnsi" w:cstheme="majorHAnsi"/>
        </w:rPr>
        <w:t xml:space="preserve">, </w:t>
      </w:r>
      <w:r w:rsidR="000616E0" w:rsidRPr="00FF114B">
        <w:rPr>
          <w:rFonts w:asciiTheme="majorHAnsi" w:hAnsiTheme="majorHAnsi" w:cstheme="majorHAnsi"/>
        </w:rPr>
        <w:t xml:space="preserve">C. </w:t>
      </w:r>
      <w:r w:rsidRPr="00FF114B">
        <w:rPr>
          <w:rFonts w:asciiTheme="majorHAnsi" w:hAnsiTheme="majorHAnsi" w:cstheme="majorHAnsi"/>
          <w:i/>
        </w:rPr>
        <w:t>First World War attitudes to consci</w:t>
      </w:r>
      <w:r w:rsidRPr="00FF114B">
        <w:rPr>
          <w:rFonts w:asciiTheme="majorHAnsi" w:hAnsiTheme="majorHAnsi" w:cstheme="majorHAnsi"/>
          <w:i/>
        </w:rPr>
        <w:t>entious objectors</w:t>
      </w:r>
      <w:r w:rsidRPr="00FF114B">
        <w:rPr>
          <w:rFonts w:asciiTheme="majorHAnsi" w:hAnsiTheme="majorHAnsi" w:cstheme="majorHAnsi"/>
        </w:rPr>
        <w:t>, Richmond Castle, (2016), &lt;</w:t>
      </w:r>
      <w:hyperlink r:id="rId9">
        <w:r w:rsidRPr="00FF114B">
          <w:rPr>
            <w:rFonts w:asciiTheme="majorHAnsi" w:hAnsiTheme="majorHAnsi" w:cstheme="majorHAnsi"/>
          </w:rPr>
          <w:t>http://www.english-heritage.org.uk/visit/places/richmond-castle/richmond-graffiti/attitudes-to</w:t>
        </w:r>
        <w:r w:rsidRPr="00FF114B">
          <w:rPr>
            <w:rFonts w:asciiTheme="majorHAnsi" w:hAnsiTheme="majorHAnsi" w:cstheme="majorHAnsi"/>
          </w:rPr>
          <w:t>-cos/</w:t>
        </w:r>
      </w:hyperlink>
      <w:r w:rsidRPr="00FF114B">
        <w:rPr>
          <w:rFonts w:asciiTheme="majorHAnsi" w:hAnsiTheme="majorHAnsi" w:cstheme="majorHAnsi"/>
        </w:rPr>
        <w:t>&gt;, [accessed 5 January 2018]</w:t>
      </w:r>
    </w:p>
    <w:p w:rsidR="007A3DAF" w:rsidRPr="00FF114B" w:rsidRDefault="008F1D9B">
      <w:pPr>
        <w:pStyle w:val="normal0"/>
        <w:spacing w:before="10"/>
        <w:rPr>
          <w:rFonts w:asciiTheme="majorHAnsi" w:hAnsiTheme="majorHAnsi" w:cstheme="majorHAnsi"/>
        </w:rPr>
      </w:pPr>
      <w:r w:rsidRPr="00FF114B">
        <w:rPr>
          <w:rFonts w:asciiTheme="majorHAnsi" w:hAnsiTheme="majorHAnsi" w:cstheme="majorHAnsi"/>
        </w:rPr>
        <w:t xml:space="preserve">Hughes, E., </w:t>
      </w:r>
      <w:r w:rsidRPr="00FF114B">
        <w:rPr>
          <w:rFonts w:asciiTheme="majorHAnsi" w:hAnsiTheme="majorHAnsi" w:cstheme="majorHAnsi"/>
          <w:i/>
        </w:rPr>
        <w:t>Welsh Voices</w:t>
      </w:r>
      <w:r w:rsidRPr="00FF114B">
        <w:rPr>
          <w:rFonts w:asciiTheme="majorHAnsi" w:hAnsiTheme="majorHAnsi" w:cstheme="majorHAnsi"/>
        </w:rPr>
        <w:t>, &lt;https://wciavoices.wordpress.com/2016/03/07/emrys-hughes-2.</w:t>
      </w:r>
      <w:r w:rsidRPr="00FF114B">
        <w:rPr>
          <w:rFonts w:asciiTheme="majorHAnsi" w:hAnsiTheme="majorHAnsi" w:cstheme="majorHAnsi"/>
        </w:rPr>
        <w:t>&gt;, [accessed 3 January 2018]</w:t>
      </w:r>
    </w:p>
    <w:p w:rsidR="007A3DAF" w:rsidRPr="00FF114B" w:rsidRDefault="008F1D9B">
      <w:pPr>
        <w:pStyle w:val="normal0"/>
        <w:spacing w:before="10"/>
        <w:rPr>
          <w:rFonts w:asciiTheme="majorHAnsi" w:hAnsiTheme="majorHAnsi" w:cstheme="majorHAnsi"/>
        </w:rPr>
      </w:pPr>
      <w:r w:rsidRPr="00FF114B">
        <w:rPr>
          <w:rFonts w:asciiTheme="majorHAnsi" w:hAnsiTheme="majorHAnsi" w:cstheme="majorHAnsi"/>
        </w:rPr>
        <w:t xml:space="preserve">Simkin J., </w:t>
      </w:r>
      <w:r w:rsidRPr="00FF114B">
        <w:rPr>
          <w:rFonts w:asciiTheme="majorHAnsi" w:hAnsiTheme="majorHAnsi" w:cstheme="majorHAnsi"/>
          <w:i/>
        </w:rPr>
        <w:t>No-Conscription Fellowship</w:t>
      </w:r>
      <w:r w:rsidRPr="00FF114B">
        <w:rPr>
          <w:rFonts w:asciiTheme="majorHAnsi" w:hAnsiTheme="majorHAnsi" w:cstheme="majorHAnsi"/>
        </w:rPr>
        <w:t>, &lt;http://spartacus-educational.com/FWWncf.htm&gt;, [accessed 8 January 2018]</w:t>
      </w:r>
    </w:p>
    <w:p w:rsidR="007A3DAF" w:rsidRPr="00FF114B" w:rsidRDefault="00105535">
      <w:pPr>
        <w:pStyle w:val="normal0"/>
        <w:spacing w:before="10"/>
        <w:rPr>
          <w:rFonts w:asciiTheme="majorHAnsi" w:hAnsiTheme="majorHAnsi" w:cstheme="majorHAnsi"/>
        </w:rPr>
      </w:pPr>
      <w:r w:rsidRPr="00FF114B">
        <w:rPr>
          <w:rFonts w:asciiTheme="majorHAnsi" w:hAnsiTheme="majorHAnsi" w:cstheme="majorHAnsi"/>
        </w:rPr>
        <w:t>Image, &lt;</w:t>
      </w:r>
      <w:r w:rsidR="008F1D9B" w:rsidRPr="00FF114B">
        <w:rPr>
          <w:rFonts w:asciiTheme="majorHAnsi" w:hAnsiTheme="majorHAnsi" w:cstheme="majorHAnsi"/>
        </w:rPr>
        <w:t>https://www.iwm.org.uk/collections/item/object/205133178</w:t>
      </w:r>
      <w:r w:rsidRPr="00FF114B">
        <w:rPr>
          <w:rFonts w:asciiTheme="majorHAnsi" w:hAnsiTheme="majorHAnsi" w:cstheme="majorHAnsi"/>
        </w:rPr>
        <w:t>&gt;, [accessed 18 April 2018]</w:t>
      </w:r>
    </w:p>
    <w:sectPr w:rsidR="007A3DAF" w:rsidRPr="00FF114B" w:rsidSect="007A3DAF">
      <w:pgSz w:w="11906" w:h="16838"/>
      <w:pgMar w:top="1440" w:right="1440" w:bottom="1440" w:left="1440" w:header="708" w:footer="708"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F1D9B" w:rsidRDefault="008F1D9B" w:rsidP="007A3DAF">
      <w:pPr>
        <w:spacing w:after="0" w:line="240" w:lineRule="auto"/>
      </w:pPr>
      <w:r>
        <w:separator/>
      </w:r>
    </w:p>
  </w:endnote>
  <w:endnote w:type="continuationSeparator" w:id="1">
    <w:p w:rsidR="008F1D9B" w:rsidRDefault="008F1D9B" w:rsidP="007A3DA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F1D9B" w:rsidRDefault="008F1D9B" w:rsidP="007A3DAF">
      <w:pPr>
        <w:spacing w:after="0" w:line="240" w:lineRule="auto"/>
      </w:pPr>
      <w:r>
        <w:separator/>
      </w:r>
    </w:p>
  </w:footnote>
  <w:footnote w:type="continuationSeparator" w:id="1">
    <w:p w:rsidR="008F1D9B" w:rsidRDefault="008F1D9B" w:rsidP="007A3DAF">
      <w:pPr>
        <w:spacing w:after="0" w:line="240" w:lineRule="auto"/>
      </w:pPr>
      <w:r>
        <w:continuationSeparator/>
      </w:r>
    </w:p>
  </w:footnote>
  <w:footnote w:id="2">
    <w:p w:rsidR="007A3DAF" w:rsidRPr="00105535" w:rsidRDefault="008F1D9B">
      <w:pPr>
        <w:pStyle w:val="normal0"/>
        <w:pBdr>
          <w:top w:val="nil"/>
          <w:left w:val="nil"/>
          <w:bottom w:val="nil"/>
          <w:right w:val="nil"/>
          <w:between w:val="nil"/>
        </w:pBdr>
        <w:spacing w:after="0" w:line="240" w:lineRule="auto"/>
        <w:rPr>
          <w:rFonts w:asciiTheme="majorHAnsi" w:hAnsiTheme="majorHAnsi" w:cstheme="majorHAnsi"/>
          <w:sz w:val="20"/>
          <w:szCs w:val="20"/>
        </w:rPr>
      </w:pPr>
      <w:r>
        <w:rPr>
          <w:vertAlign w:val="superscript"/>
        </w:rPr>
        <w:footnoteRef/>
      </w:r>
      <w:r>
        <w:rPr>
          <w:sz w:val="20"/>
          <w:szCs w:val="20"/>
        </w:rPr>
        <w:t xml:space="preserve"> Liponski Wojciech, </w:t>
      </w:r>
      <w:r>
        <w:rPr>
          <w:i/>
          <w:sz w:val="20"/>
          <w:szCs w:val="20"/>
        </w:rPr>
        <w:t>History of the British culture</w:t>
      </w:r>
      <w:r>
        <w:rPr>
          <w:sz w:val="20"/>
          <w:szCs w:val="20"/>
        </w:rPr>
        <w:t xml:space="preserve">, </w:t>
      </w:r>
      <w:r w:rsidRPr="00105535">
        <w:rPr>
          <w:rFonts w:asciiTheme="majorHAnsi" w:hAnsiTheme="majorHAnsi" w:cstheme="majorHAnsi"/>
          <w:sz w:val="20"/>
          <w:szCs w:val="20"/>
        </w:rPr>
        <w:t>(Wars</w:t>
      </w:r>
      <w:r w:rsidRPr="00105535">
        <w:rPr>
          <w:rFonts w:asciiTheme="majorHAnsi" w:hAnsiTheme="majorHAnsi" w:cstheme="majorHAnsi"/>
          <w:sz w:val="20"/>
          <w:szCs w:val="20"/>
        </w:rPr>
        <w:t>aw, PWN, 2011) p.11</w:t>
      </w:r>
    </w:p>
  </w:footnote>
  <w:footnote w:id="3">
    <w:p w:rsidR="007A3DAF" w:rsidRPr="00105535" w:rsidRDefault="008F1D9B">
      <w:pPr>
        <w:pStyle w:val="normal0"/>
        <w:spacing w:after="0" w:line="240" w:lineRule="auto"/>
        <w:rPr>
          <w:rFonts w:asciiTheme="majorHAnsi" w:hAnsiTheme="majorHAnsi" w:cstheme="majorHAnsi"/>
          <w:sz w:val="20"/>
          <w:szCs w:val="20"/>
        </w:rPr>
      </w:pPr>
      <w:r w:rsidRPr="00105535">
        <w:rPr>
          <w:rFonts w:asciiTheme="majorHAnsi" w:hAnsiTheme="majorHAnsi" w:cstheme="majorHAnsi"/>
          <w:sz w:val="20"/>
          <w:szCs w:val="20"/>
          <w:vertAlign w:val="superscript"/>
        </w:rPr>
        <w:footnoteRef/>
      </w:r>
      <w:r w:rsidRPr="00105535">
        <w:rPr>
          <w:rFonts w:asciiTheme="majorHAnsi" w:hAnsiTheme="majorHAnsi" w:cstheme="majorHAnsi"/>
          <w:sz w:val="20"/>
          <w:szCs w:val="20"/>
        </w:rPr>
        <w:t xml:space="preserve">Brooks Margaret, </w:t>
      </w:r>
      <w:r w:rsidRPr="00105535">
        <w:rPr>
          <w:rFonts w:asciiTheme="majorHAnsi" w:hAnsiTheme="majorHAnsi" w:cstheme="majorHAnsi"/>
          <w:i/>
          <w:sz w:val="20"/>
          <w:szCs w:val="20"/>
        </w:rPr>
        <w:t>Conscientious objectors in their own word,</w:t>
      </w:r>
      <w:r w:rsidRPr="00105535">
        <w:rPr>
          <w:rFonts w:asciiTheme="majorHAnsi" w:hAnsiTheme="majorHAnsi" w:cstheme="majorHAnsi"/>
          <w:sz w:val="20"/>
          <w:szCs w:val="20"/>
        </w:rPr>
        <w:t xml:space="preserve"> (1988), &lt;</w:t>
      </w:r>
      <w:hyperlink r:id="rId1">
        <w:r w:rsidRPr="00105535">
          <w:rPr>
            <w:rFonts w:asciiTheme="majorHAnsi" w:hAnsiTheme="majorHAnsi" w:cstheme="majorHAnsi"/>
            <w:sz w:val="20"/>
            <w:szCs w:val="20"/>
          </w:rPr>
          <w:t>http://www.iwm.org.uk/history/conscientious-objectors-in-their-own-words</w:t>
        </w:r>
      </w:hyperlink>
      <w:r w:rsidRPr="00105535">
        <w:rPr>
          <w:rFonts w:asciiTheme="majorHAnsi" w:hAnsiTheme="majorHAnsi" w:cstheme="majorHAnsi"/>
          <w:sz w:val="20"/>
          <w:szCs w:val="20"/>
        </w:rPr>
        <w:t>&gt;, [</w:t>
      </w:r>
      <w:r w:rsidRPr="00105535">
        <w:rPr>
          <w:rFonts w:asciiTheme="majorHAnsi" w:hAnsiTheme="majorHAnsi" w:cstheme="majorHAnsi"/>
          <w:sz w:val="20"/>
          <w:szCs w:val="20"/>
        </w:rPr>
        <w:t>accessed 2 January 2018]</w:t>
      </w:r>
    </w:p>
  </w:footnote>
  <w:footnote w:id="4">
    <w:p w:rsidR="007A3DAF" w:rsidRPr="00105535" w:rsidRDefault="008F1D9B">
      <w:pPr>
        <w:pStyle w:val="normal0"/>
        <w:spacing w:after="0" w:line="240" w:lineRule="auto"/>
        <w:rPr>
          <w:rFonts w:asciiTheme="majorHAnsi" w:hAnsiTheme="majorHAnsi" w:cstheme="majorHAnsi"/>
          <w:sz w:val="20"/>
          <w:szCs w:val="20"/>
        </w:rPr>
      </w:pPr>
      <w:r w:rsidRPr="00105535">
        <w:rPr>
          <w:rFonts w:asciiTheme="majorHAnsi" w:hAnsiTheme="majorHAnsi" w:cstheme="majorHAnsi"/>
          <w:sz w:val="20"/>
          <w:szCs w:val="20"/>
          <w:vertAlign w:val="superscript"/>
        </w:rPr>
        <w:footnoteRef/>
      </w:r>
      <w:r w:rsidR="009B3A8C" w:rsidRPr="00105535">
        <w:rPr>
          <w:rFonts w:asciiTheme="majorHAnsi" w:hAnsiTheme="majorHAnsi" w:cstheme="majorHAnsi"/>
          <w:sz w:val="20"/>
          <w:szCs w:val="20"/>
        </w:rPr>
        <w:t xml:space="preserve">Pearce, Cyril, </w:t>
      </w:r>
      <w:r w:rsidRPr="00105535">
        <w:rPr>
          <w:rFonts w:asciiTheme="majorHAnsi" w:hAnsiTheme="majorHAnsi" w:cstheme="majorHAnsi"/>
          <w:i/>
          <w:sz w:val="20"/>
          <w:szCs w:val="20"/>
        </w:rPr>
        <w:t>War Resisters in Britain, 1914-1918: an introduction to the British Online Archives edition</w:t>
      </w:r>
      <w:r w:rsidRPr="00105535">
        <w:rPr>
          <w:rFonts w:asciiTheme="majorHAnsi" w:hAnsiTheme="majorHAnsi" w:cstheme="majorHAnsi"/>
          <w:sz w:val="20"/>
          <w:szCs w:val="20"/>
        </w:rPr>
        <w:t>, https://boa.microform.digital/col</w:t>
      </w:r>
      <w:r w:rsidR="009B3A8C" w:rsidRPr="00105535">
        <w:rPr>
          <w:rFonts w:asciiTheme="majorHAnsi" w:hAnsiTheme="majorHAnsi" w:cstheme="majorHAnsi"/>
          <w:sz w:val="20"/>
          <w:szCs w:val="20"/>
        </w:rPr>
        <w:t>lections/55/view, 30 September 2014, [accessed 20 April 2018]</w:t>
      </w:r>
    </w:p>
  </w:footnote>
  <w:footnote w:id="5">
    <w:p w:rsidR="007A3DAF" w:rsidRPr="00105535" w:rsidRDefault="008F1D9B">
      <w:pPr>
        <w:pStyle w:val="normal0"/>
        <w:spacing w:after="0" w:line="240" w:lineRule="auto"/>
        <w:rPr>
          <w:rFonts w:asciiTheme="majorHAnsi" w:hAnsiTheme="majorHAnsi" w:cstheme="majorHAnsi"/>
          <w:sz w:val="20"/>
          <w:szCs w:val="20"/>
        </w:rPr>
      </w:pPr>
      <w:r w:rsidRPr="00105535">
        <w:rPr>
          <w:rFonts w:asciiTheme="majorHAnsi" w:hAnsiTheme="majorHAnsi" w:cstheme="majorHAnsi"/>
          <w:sz w:val="20"/>
          <w:szCs w:val="20"/>
          <w:vertAlign w:val="superscript"/>
        </w:rPr>
        <w:footnoteRef/>
      </w:r>
      <w:r w:rsidRPr="00105535">
        <w:rPr>
          <w:rFonts w:asciiTheme="majorHAnsi" w:hAnsiTheme="majorHAnsi" w:cstheme="majorHAnsi"/>
          <w:sz w:val="20"/>
          <w:szCs w:val="20"/>
        </w:rPr>
        <w:t xml:space="preserve"> </w:t>
      </w:r>
      <w:r w:rsidR="009B3A8C" w:rsidRPr="00105535">
        <w:rPr>
          <w:rFonts w:asciiTheme="majorHAnsi" w:hAnsiTheme="majorHAnsi" w:cstheme="majorHAnsi"/>
          <w:sz w:val="20"/>
          <w:szCs w:val="20"/>
        </w:rPr>
        <w:t>Ibid.</w:t>
      </w:r>
    </w:p>
  </w:footnote>
  <w:footnote w:id="6">
    <w:p w:rsidR="007A3DAF" w:rsidRPr="00105535" w:rsidRDefault="008F1D9B">
      <w:pPr>
        <w:pStyle w:val="normal0"/>
        <w:spacing w:after="0" w:line="240" w:lineRule="auto"/>
        <w:rPr>
          <w:rFonts w:asciiTheme="majorHAnsi" w:hAnsiTheme="majorHAnsi" w:cstheme="majorHAnsi"/>
          <w:sz w:val="20"/>
          <w:szCs w:val="20"/>
        </w:rPr>
      </w:pPr>
      <w:r w:rsidRPr="00105535">
        <w:rPr>
          <w:rFonts w:asciiTheme="majorHAnsi" w:hAnsiTheme="majorHAnsi" w:cstheme="majorHAnsi"/>
          <w:sz w:val="20"/>
          <w:szCs w:val="20"/>
          <w:vertAlign w:val="superscript"/>
        </w:rPr>
        <w:footnoteRef/>
      </w:r>
      <w:r w:rsidRPr="00105535">
        <w:rPr>
          <w:rFonts w:asciiTheme="majorHAnsi" w:hAnsiTheme="majorHAnsi" w:cstheme="majorHAnsi"/>
          <w:sz w:val="20"/>
          <w:szCs w:val="20"/>
        </w:rPr>
        <w:t>Hancock</w:t>
      </w:r>
      <w:r w:rsidR="009B3A8C" w:rsidRPr="00105535">
        <w:rPr>
          <w:rFonts w:asciiTheme="majorHAnsi" w:hAnsiTheme="majorHAnsi" w:cstheme="majorHAnsi"/>
          <w:sz w:val="20"/>
          <w:szCs w:val="20"/>
        </w:rPr>
        <w:t>,</w:t>
      </w:r>
      <w:r w:rsidRPr="00105535">
        <w:rPr>
          <w:rFonts w:asciiTheme="majorHAnsi" w:hAnsiTheme="majorHAnsi" w:cstheme="majorHAnsi"/>
          <w:sz w:val="20"/>
          <w:szCs w:val="20"/>
        </w:rPr>
        <w:t xml:space="preserve"> Judith, </w:t>
      </w:r>
      <w:r w:rsidRPr="00105535">
        <w:rPr>
          <w:rFonts w:asciiTheme="majorHAnsi" w:hAnsiTheme="majorHAnsi" w:cstheme="majorHAnsi"/>
          <w:i/>
          <w:sz w:val="20"/>
          <w:szCs w:val="20"/>
        </w:rPr>
        <w:t>Conscientious objectors during WW1</w:t>
      </w:r>
      <w:r w:rsidRPr="00105535">
        <w:rPr>
          <w:rFonts w:asciiTheme="majorHAnsi" w:hAnsiTheme="majorHAnsi" w:cstheme="majorHAnsi"/>
          <w:sz w:val="20"/>
          <w:szCs w:val="20"/>
        </w:rPr>
        <w:t>, (2016), &lt;</w:t>
      </w:r>
      <w:hyperlink r:id="rId2">
        <w:r w:rsidRPr="00105535">
          <w:rPr>
            <w:rFonts w:asciiTheme="majorHAnsi" w:hAnsiTheme="majorHAnsi" w:cstheme="majorHAnsi"/>
            <w:sz w:val="20"/>
            <w:szCs w:val="20"/>
          </w:rPr>
          <w:t>https://owlcation.com/humanities/Conscientious-Objectors-During-World-War-1</w:t>
        </w:r>
      </w:hyperlink>
      <w:r w:rsidRPr="00105535">
        <w:rPr>
          <w:rFonts w:asciiTheme="majorHAnsi" w:hAnsiTheme="majorHAnsi" w:cstheme="majorHAnsi"/>
          <w:sz w:val="20"/>
          <w:szCs w:val="20"/>
        </w:rPr>
        <w:t>&gt; [accessed 2 January 2018]</w:t>
      </w:r>
    </w:p>
  </w:footnote>
  <w:footnote w:id="7">
    <w:p w:rsidR="007A3DAF" w:rsidRPr="00105535" w:rsidRDefault="008F1D9B">
      <w:pPr>
        <w:pStyle w:val="normal0"/>
        <w:spacing w:after="0" w:line="240" w:lineRule="auto"/>
        <w:rPr>
          <w:rFonts w:asciiTheme="majorHAnsi" w:hAnsiTheme="majorHAnsi" w:cstheme="majorHAnsi"/>
          <w:sz w:val="20"/>
          <w:szCs w:val="20"/>
        </w:rPr>
      </w:pPr>
      <w:r w:rsidRPr="00105535">
        <w:rPr>
          <w:rFonts w:asciiTheme="majorHAnsi" w:hAnsiTheme="majorHAnsi" w:cstheme="majorHAnsi"/>
          <w:sz w:val="20"/>
          <w:szCs w:val="20"/>
          <w:vertAlign w:val="superscript"/>
        </w:rPr>
        <w:footnoteRef/>
      </w:r>
      <w:r w:rsidRPr="00105535">
        <w:rPr>
          <w:rFonts w:asciiTheme="majorHAnsi" w:hAnsiTheme="majorHAnsi" w:cstheme="majorHAnsi"/>
          <w:sz w:val="20"/>
          <w:szCs w:val="20"/>
        </w:rPr>
        <w:t xml:space="preserve"> </w:t>
      </w:r>
      <w:r w:rsidR="009B3A8C" w:rsidRPr="00105535">
        <w:rPr>
          <w:rFonts w:asciiTheme="majorHAnsi" w:hAnsiTheme="majorHAnsi" w:cstheme="majorHAnsi"/>
          <w:sz w:val="20"/>
          <w:szCs w:val="20"/>
        </w:rPr>
        <w:t xml:space="preserve">Pearce, Cyril, </w:t>
      </w:r>
      <w:r w:rsidR="009B3A8C" w:rsidRPr="00105535">
        <w:rPr>
          <w:rFonts w:asciiTheme="majorHAnsi" w:hAnsiTheme="majorHAnsi" w:cstheme="majorHAnsi"/>
          <w:i/>
          <w:sz w:val="20"/>
          <w:szCs w:val="20"/>
        </w:rPr>
        <w:t>War Resisters in Britain, 1914-1918: an introduction to the British Online Archives edition</w:t>
      </w:r>
      <w:r w:rsidR="009B3A8C" w:rsidRPr="00105535">
        <w:rPr>
          <w:rFonts w:asciiTheme="majorHAnsi" w:hAnsiTheme="majorHAnsi" w:cstheme="majorHAnsi"/>
          <w:sz w:val="20"/>
          <w:szCs w:val="20"/>
        </w:rPr>
        <w:t>, https://boa.microform.digital/collections/55/view, 30 September 2014, [accessed 20 April 2018]</w:t>
      </w:r>
    </w:p>
  </w:footnote>
  <w:footnote w:id="8">
    <w:p w:rsidR="007A3DAF" w:rsidRPr="00105535" w:rsidRDefault="008F1D9B">
      <w:pPr>
        <w:pStyle w:val="normal0"/>
        <w:spacing w:after="0" w:line="240" w:lineRule="auto"/>
        <w:rPr>
          <w:rFonts w:asciiTheme="majorHAnsi" w:hAnsiTheme="majorHAnsi" w:cstheme="majorHAnsi"/>
          <w:sz w:val="20"/>
          <w:szCs w:val="20"/>
        </w:rPr>
      </w:pPr>
      <w:r w:rsidRPr="00105535">
        <w:rPr>
          <w:rFonts w:asciiTheme="majorHAnsi" w:hAnsiTheme="majorHAnsi" w:cstheme="majorHAnsi"/>
          <w:sz w:val="20"/>
          <w:szCs w:val="20"/>
          <w:vertAlign w:val="superscript"/>
        </w:rPr>
        <w:footnoteRef/>
      </w:r>
      <w:r w:rsidRPr="00105535">
        <w:rPr>
          <w:rFonts w:asciiTheme="majorHAnsi" w:hAnsiTheme="majorHAnsi" w:cstheme="majorHAnsi"/>
          <w:sz w:val="20"/>
          <w:szCs w:val="20"/>
        </w:rPr>
        <w:t xml:space="preserve"> </w:t>
      </w:r>
      <w:r w:rsidR="009B3A8C" w:rsidRPr="00105535">
        <w:rPr>
          <w:rFonts w:asciiTheme="majorHAnsi" w:hAnsiTheme="majorHAnsi" w:cstheme="majorHAnsi"/>
          <w:sz w:val="20"/>
          <w:szCs w:val="20"/>
        </w:rPr>
        <w:t>Ibid.</w:t>
      </w:r>
    </w:p>
  </w:footnote>
  <w:footnote w:id="9">
    <w:p w:rsidR="007A3DAF" w:rsidRPr="00105535" w:rsidRDefault="008F1D9B">
      <w:pPr>
        <w:pStyle w:val="normal0"/>
        <w:spacing w:after="0" w:line="240" w:lineRule="auto"/>
        <w:rPr>
          <w:rFonts w:asciiTheme="majorHAnsi" w:hAnsiTheme="majorHAnsi" w:cstheme="majorHAnsi"/>
          <w:sz w:val="20"/>
          <w:szCs w:val="20"/>
        </w:rPr>
      </w:pPr>
      <w:r w:rsidRPr="00105535">
        <w:rPr>
          <w:rFonts w:asciiTheme="majorHAnsi" w:hAnsiTheme="majorHAnsi" w:cstheme="majorHAnsi"/>
          <w:sz w:val="20"/>
          <w:szCs w:val="20"/>
          <w:vertAlign w:val="superscript"/>
        </w:rPr>
        <w:footnoteRef/>
      </w:r>
      <w:r w:rsidRPr="00105535">
        <w:rPr>
          <w:rFonts w:asciiTheme="majorHAnsi" w:hAnsiTheme="majorHAnsi" w:cstheme="majorHAnsi"/>
          <w:sz w:val="20"/>
          <w:szCs w:val="20"/>
        </w:rPr>
        <w:t xml:space="preserve"> Pearce, C</w:t>
      </w:r>
      <w:r w:rsidR="004F4A7D" w:rsidRPr="00105535">
        <w:rPr>
          <w:rFonts w:asciiTheme="majorHAnsi" w:hAnsiTheme="majorHAnsi" w:cstheme="majorHAnsi"/>
          <w:sz w:val="20"/>
          <w:szCs w:val="20"/>
        </w:rPr>
        <w:t>yril, &amp; Durham, Helen</w:t>
      </w:r>
      <w:r w:rsidR="009B3A8C" w:rsidRPr="00105535">
        <w:rPr>
          <w:rFonts w:asciiTheme="majorHAnsi" w:hAnsiTheme="majorHAnsi" w:cstheme="majorHAnsi"/>
          <w:sz w:val="20"/>
          <w:szCs w:val="20"/>
        </w:rPr>
        <w:t xml:space="preserve">, </w:t>
      </w:r>
      <w:r w:rsidRPr="00105535">
        <w:rPr>
          <w:rFonts w:asciiTheme="majorHAnsi" w:hAnsiTheme="majorHAnsi" w:cstheme="majorHAnsi"/>
          <w:i/>
          <w:sz w:val="20"/>
          <w:szCs w:val="20"/>
        </w:rPr>
        <w:t xml:space="preserve">Patterns of Dissent in Britain during the First World War. </w:t>
      </w:r>
      <w:r w:rsidRPr="00105535">
        <w:rPr>
          <w:rFonts w:asciiTheme="majorHAnsi" w:hAnsiTheme="majorHAnsi" w:cstheme="majorHAnsi"/>
          <w:i/>
          <w:sz w:val="20"/>
          <w:szCs w:val="20"/>
        </w:rPr>
        <w:t>War &amp; Society</w:t>
      </w:r>
      <w:r w:rsidRPr="00105535">
        <w:rPr>
          <w:rFonts w:asciiTheme="majorHAnsi" w:hAnsiTheme="majorHAnsi" w:cstheme="majorHAnsi"/>
          <w:i/>
          <w:sz w:val="20"/>
          <w:szCs w:val="20"/>
        </w:rPr>
        <w:t>,</w:t>
      </w:r>
      <w:r w:rsidRPr="00105535">
        <w:rPr>
          <w:rFonts w:asciiTheme="majorHAnsi" w:hAnsiTheme="majorHAnsi" w:cstheme="majorHAnsi"/>
          <w:sz w:val="20"/>
          <w:szCs w:val="20"/>
        </w:rPr>
        <w:t xml:space="preserve"> </w:t>
      </w:r>
      <w:r w:rsidRPr="00105535">
        <w:rPr>
          <w:rFonts w:asciiTheme="majorHAnsi" w:hAnsiTheme="majorHAnsi" w:cstheme="majorHAnsi"/>
          <w:i/>
          <w:sz w:val="20"/>
          <w:szCs w:val="20"/>
        </w:rPr>
        <w:t>34</w:t>
      </w:r>
      <w:r w:rsidRPr="00105535">
        <w:rPr>
          <w:rFonts w:asciiTheme="majorHAnsi" w:hAnsiTheme="majorHAnsi" w:cstheme="majorHAnsi"/>
          <w:sz w:val="20"/>
          <w:szCs w:val="20"/>
        </w:rPr>
        <w:t>(2),</w:t>
      </w:r>
      <w:r w:rsidR="009B3A8C" w:rsidRPr="00105535">
        <w:rPr>
          <w:rFonts w:asciiTheme="majorHAnsi" w:hAnsiTheme="majorHAnsi" w:cstheme="majorHAnsi"/>
          <w:sz w:val="20"/>
          <w:szCs w:val="20"/>
        </w:rPr>
        <w:t xml:space="preserve"> (2015), pp.</w:t>
      </w:r>
      <w:r w:rsidRPr="00105535">
        <w:rPr>
          <w:rFonts w:asciiTheme="majorHAnsi" w:hAnsiTheme="majorHAnsi" w:cstheme="majorHAnsi"/>
          <w:sz w:val="20"/>
          <w:szCs w:val="20"/>
        </w:rPr>
        <w:t xml:space="preserve"> 140-159.</w:t>
      </w:r>
    </w:p>
  </w:footnote>
  <w:footnote w:id="10">
    <w:p w:rsidR="007A3DAF" w:rsidRPr="00105535" w:rsidRDefault="008F1D9B">
      <w:pPr>
        <w:pStyle w:val="normal0"/>
        <w:spacing w:after="0" w:line="240" w:lineRule="auto"/>
        <w:rPr>
          <w:rFonts w:asciiTheme="majorHAnsi" w:hAnsiTheme="majorHAnsi" w:cstheme="majorHAnsi"/>
          <w:sz w:val="20"/>
          <w:szCs w:val="20"/>
        </w:rPr>
      </w:pPr>
      <w:r w:rsidRPr="00105535">
        <w:rPr>
          <w:rFonts w:asciiTheme="majorHAnsi" w:hAnsiTheme="majorHAnsi" w:cstheme="majorHAnsi"/>
          <w:sz w:val="20"/>
          <w:szCs w:val="20"/>
          <w:vertAlign w:val="superscript"/>
        </w:rPr>
        <w:footnoteRef/>
      </w:r>
      <w:r w:rsidR="004F4A7D" w:rsidRPr="00105535">
        <w:rPr>
          <w:rFonts w:asciiTheme="majorHAnsi" w:hAnsiTheme="majorHAnsi" w:cstheme="majorHAnsi"/>
          <w:sz w:val="20"/>
          <w:szCs w:val="20"/>
        </w:rPr>
        <w:t xml:space="preserve"> Bibbings, Lois</w:t>
      </w:r>
      <w:r w:rsidR="009B3A8C" w:rsidRPr="00105535">
        <w:rPr>
          <w:rFonts w:asciiTheme="majorHAnsi" w:hAnsiTheme="majorHAnsi" w:cstheme="majorHAnsi"/>
          <w:sz w:val="20"/>
          <w:szCs w:val="20"/>
        </w:rPr>
        <w:t xml:space="preserve">, </w:t>
      </w:r>
      <w:r w:rsidRPr="00105535">
        <w:rPr>
          <w:rFonts w:asciiTheme="majorHAnsi" w:hAnsiTheme="majorHAnsi" w:cstheme="majorHAnsi"/>
          <w:i/>
          <w:sz w:val="20"/>
          <w:szCs w:val="20"/>
        </w:rPr>
        <w:t>Images of manliness: The portrayal of s</w:t>
      </w:r>
      <w:r w:rsidRPr="00105535">
        <w:rPr>
          <w:rFonts w:asciiTheme="majorHAnsi" w:hAnsiTheme="majorHAnsi" w:cstheme="majorHAnsi"/>
          <w:i/>
          <w:sz w:val="20"/>
          <w:szCs w:val="20"/>
        </w:rPr>
        <w:t xml:space="preserve">oldiers and conscientious objectors in the Great War. </w:t>
      </w:r>
      <w:r w:rsidRPr="00105535">
        <w:rPr>
          <w:rFonts w:asciiTheme="majorHAnsi" w:hAnsiTheme="majorHAnsi" w:cstheme="majorHAnsi"/>
          <w:i/>
          <w:sz w:val="20"/>
          <w:szCs w:val="20"/>
        </w:rPr>
        <w:t>Social &amp; Legal Studies</w:t>
      </w:r>
      <w:r w:rsidRPr="00105535">
        <w:rPr>
          <w:rFonts w:asciiTheme="majorHAnsi" w:hAnsiTheme="majorHAnsi" w:cstheme="majorHAnsi"/>
          <w:sz w:val="20"/>
          <w:szCs w:val="20"/>
        </w:rPr>
        <w:t xml:space="preserve">, </w:t>
      </w:r>
      <w:r w:rsidRPr="00105535">
        <w:rPr>
          <w:rFonts w:asciiTheme="majorHAnsi" w:hAnsiTheme="majorHAnsi" w:cstheme="majorHAnsi"/>
          <w:i/>
          <w:sz w:val="20"/>
          <w:szCs w:val="20"/>
        </w:rPr>
        <w:t>12</w:t>
      </w:r>
      <w:r w:rsidRPr="00105535">
        <w:rPr>
          <w:rFonts w:asciiTheme="majorHAnsi" w:hAnsiTheme="majorHAnsi" w:cstheme="majorHAnsi"/>
          <w:sz w:val="20"/>
          <w:szCs w:val="20"/>
        </w:rPr>
        <w:t>(3),</w:t>
      </w:r>
      <w:r w:rsidR="009B3A8C" w:rsidRPr="00105535">
        <w:rPr>
          <w:rFonts w:asciiTheme="majorHAnsi" w:hAnsiTheme="majorHAnsi" w:cstheme="majorHAnsi"/>
          <w:sz w:val="20"/>
          <w:szCs w:val="20"/>
        </w:rPr>
        <w:t xml:space="preserve"> (2003), pp.</w:t>
      </w:r>
      <w:r w:rsidRPr="00105535">
        <w:rPr>
          <w:rFonts w:asciiTheme="majorHAnsi" w:hAnsiTheme="majorHAnsi" w:cstheme="majorHAnsi"/>
          <w:sz w:val="20"/>
          <w:szCs w:val="20"/>
        </w:rPr>
        <w:t xml:space="preserve"> 335-358.</w:t>
      </w:r>
    </w:p>
  </w:footnote>
  <w:footnote w:id="11">
    <w:p w:rsidR="007A3DAF" w:rsidRPr="00105535" w:rsidRDefault="008F1D9B">
      <w:pPr>
        <w:pStyle w:val="normal0"/>
        <w:spacing w:after="0" w:line="240" w:lineRule="auto"/>
        <w:rPr>
          <w:rFonts w:asciiTheme="majorHAnsi" w:hAnsiTheme="majorHAnsi" w:cstheme="majorHAnsi"/>
          <w:sz w:val="20"/>
          <w:szCs w:val="20"/>
        </w:rPr>
      </w:pPr>
      <w:r w:rsidRPr="00105535">
        <w:rPr>
          <w:rFonts w:asciiTheme="majorHAnsi" w:hAnsiTheme="majorHAnsi" w:cstheme="majorHAnsi"/>
          <w:sz w:val="20"/>
          <w:szCs w:val="20"/>
          <w:vertAlign w:val="superscript"/>
        </w:rPr>
        <w:footnoteRef/>
      </w:r>
      <w:r w:rsidRPr="00105535">
        <w:rPr>
          <w:rFonts w:asciiTheme="majorHAnsi" w:hAnsiTheme="majorHAnsi" w:cstheme="majorHAnsi"/>
          <w:sz w:val="20"/>
          <w:szCs w:val="20"/>
        </w:rPr>
        <w:t xml:space="preserve"> Brooks Margaret, </w:t>
      </w:r>
      <w:r w:rsidRPr="00105535">
        <w:rPr>
          <w:rFonts w:asciiTheme="majorHAnsi" w:hAnsiTheme="majorHAnsi" w:cstheme="majorHAnsi"/>
          <w:i/>
          <w:sz w:val="20"/>
          <w:szCs w:val="20"/>
        </w:rPr>
        <w:t>Conscientious objectors in their own words</w:t>
      </w:r>
      <w:r w:rsidRPr="00105535">
        <w:rPr>
          <w:rFonts w:asciiTheme="majorHAnsi" w:hAnsiTheme="majorHAnsi" w:cstheme="majorHAnsi"/>
          <w:sz w:val="20"/>
          <w:szCs w:val="20"/>
        </w:rPr>
        <w:t>, (1988),  &lt;</w:t>
      </w:r>
      <w:hyperlink r:id="rId3">
        <w:r w:rsidRPr="00105535">
          <w:rPr>
            <w:rFonts w:asciiTheme="majorHAnsi" w:hAnsiTheme="majorHAnsi" w:cstheme="majorHAnsi"/>
            <w:sz w:val="20"/>
            <w:szCs w:val="20"/>
          </w:rPr>
          <w:t>http://www.iwm.org.uk/history/conscientious-objectors-in-their-own-words</w:t>
        </w:r>
      </w:hyperlink>
      <w:r w:rsidRPr="00105535">
        <w:rPr>
          <w:rFonts w:asciiTheme="majorHAnsi" w:hAnsiTheme="majorHAnsi" w:cstheme="majorHAnsi"/>
          <w:sz w:val="20"/>
          <w:szCs w:val="20"/>
        </w:rPr>
        <w:t>&gt;, [accessed 2 January 2018]</w:t>
      </w:r>
    </w:p>
  </w:footnote>
  <w:footnote w:id="12">
    <w:p w:rsidR="007A3DAF" w:rsidRPr="00105535" w:rsidRDefault="008F1D9B">
      <w:pPr>
        <w:pStyle w:val="normal0"/>
        <w:spacing w:after="0" w:line="240" w:lineRule="auto"/>
        <w:rPr>
          <w:rFonts w:asciiTheme="majorHAnsi" w:hAnsiTheme="majorHAnsi" w:cstheme="majorHAnsi"/>
          <w:sz w:val="20"/>
          <w:szCs w:val="20"/>
        </w:rPr>
      </w:pPr>
      <w:r w:rsidRPr="00105535">
        <w:rPr>
          <w:rFonts w:asciiTheme="majorHAnsi" w:hAnsiTheme="majorHAnsi" w:cstheme="majorHAnsi"/>
          <w:sz w:val="20"/>
          <w:szCs w:val="20"/>
          <w:vertAlign w:val="superscript"/>
        </w:rPr>
        <w:footnoteRef/>
      </w:r>
      <w:r w:rsidR="004F4A7D" w:rsidRPr="00105535">
        <w:rPr>
          <w:rFonts w:asciiTheme="majorHAnsi" w:hAnsiTheme="majorHAnsi" w:cstheme="majorHAnsi"/>
          <w:sz w:val="20"/>
          <w:szCs w:val="20"/>
        </w:rPr>
        <w:t xml:space="preserve"> Bibbings, Lois</w:t>
      </w:r>
      <w:r w:rsidR="009B3A8C" w:rsidRPr="00105535">
        <w:rPr>
          <w:rFonts w:asciiTheme="majorHAnsi" w:hAnsiTheme="majorHAnsi" w:cstheme="majorHAnsi"/>
          <w:sz w:val="20"/>
          <w:szCs w:val="20"/>
        </w:rPr>
        <w:t>,</w:t>
      </w:r>
      <w:r w:rsidRPr="00105535">
        <w:rPr>
          <w:rFonts w:asciiTheme="majorHAnsi" w:hAnsiTheme="majorHAnsi" w:cstheme="majorHAnsi"/>
          <w:sz w:val="20"/>
          <w:szCs w:val="20"/>
        </w:rPr>
        <w:t xml:space="preserve"> </w:t>
      </w:r>
      <w:r w:rsidRPr="00105535">
        <w:rPr>
          <w:rFonts w:asciiTheme="majorHAnsi" w:hAnsiTheme="majorHAnsi" w:cstheme="majorHAnsi"/>
          <w:i/>
          <w:sz w:val="20"/>
          <w:szCs w:val="20"/>
        </w:rPr>
        <w:t xml:space="preserve">Images of manliness: The portrayal of soldiers and conscientious objectors in the Great War. </w:t>
      </w:r>
      <w:r w:rsidRPr="00105535">
        <w:rPr>
          <w:rFonts w:asciiTheme="majorHAnsi" w:hAnsiTheme="majorHAnsi" w:cstheme="majorHAnsi"/>
          <w:i/>
          <w:sz w:val="20"/>
          <w:szCs w:val="20"/>
        </w:rPr>
        <w:t>Social &amp; Legal Studies</w:t>
      </w:r>
      <w:r w:rsidRPr="00105535">
        <w:rPr>
          <w:rFonts w:asciiTheme="majorHAnsi" w:hAnsiTheme="majorHAnsi" w:cstheme="majorHAnsi"/>
          <w:sz w:val="20"/>
          <w:szCs w:val="20"/>
        </w:rPr>
        <w:t xml:space="preserve">, </w:t>
      </w:r>
      <w:r w:rsidRPr="00105535">
        <w:rPr>
          <w:rFonts w:asciiTheme="majorHAnsi" w:hAnsiTheme="majorHAnsi" w:cstheme="majorHAnsi"/>
          <w:i/>
          <w:sz w:val="20"/>
          <w:szCs w:val="20"/>
        </w:rPr>
        <w:t>12</w:t>
      </w:r>
      <w:r w:rsidRPr="00105535">
        <w:rPr>
          <w:rFonts w:asciiTheme="majorHAnsi" w:hAnsiTheme="majorHAnsi" w:cstheme="majorHAnsi"/>
          <w:sz w:val="20"/>
          <w:szCs w:val="20"/>
        </w:rPr>
        <w:t>(3),</w:t>
      </w:r>
      <w:r w:rsidR="007F2D5A" w:rsidRPr="00105535">
        <w:rPr>
          <w:rFonts w:asciiTheme="majorHAnsi" w:hAnsiTheme="majorHAnsi" w:cstheme="majorHAnsi"/>
          <w:sz w:val="20"/>
          <w:szCs w:val="20"/>
        </w:rPr>
        <w:t xml:space="preserve"> (2003), pp.</w:t>
      </w:r>
      <w:r w:rsidRPr="00105535">
        <w:rPr>
          <w:rFonts w:asciiTheme="majorHAnsi" w:hAnsiTheme="majorHAnsi" w:cstheme="majorHAnsi"/>
          <w:sz w:val="20"/>
          <w:szCs w:val="20"/>
        </w:rPr>
        <w:t xml:space="preserve"> 335-358</w:t>
      </w:r>
      <w:r w:rsidRPr="00105535">
        <w:rPr>
          <w:rFonts w:asciiTheme="majorHAnsi" w:hAnsiTheme="majorHAnsi" w:cstheme="majorHAnsi"/>
          <w:sz w:val="20"/>
          <w:szCs w:val="20"/>
        </w:rPr>
        <w:t>.</w:t>
      </w:r>
    </w:p>
  </w:footnote>
  <w:footnote w:id="13">
    <w:p w:rsidR="007A3DAF" w:rsidRPr="00105535" w:rsidRDefault="008F1D9B">
      <w:pPr>
        <w:pStyle w:val="normal0"/>
        <w:spacing w:after="0" w:line="240" w:lineRule="auto"/>
        <w:rPr>
          <w:rFonts w:asciiTheme="majorHAnsi" w:hAnsiTheme="majorHAnsi" w:cstheme="majorHAnsi"/>
          <w:sz w:val="20"/>
          <w:szCs w:val="20"/>
        </w:rPr>
      </w:pPr>
      <w:r w:rsidRPr="00105535">
        <w:rPr>
          <w:rFonts w:asciiTheme="majorHAnsi" w:hAnsiTheme="majorHAnsi" w:cstheme="majorHAnsi"/>
          <w:sz w:val="20"/>
          <w:szCs w:val="20"/>
          <w:vertAlign w:val="superscript"/>
        </w:rPr>
        <w:footnoteRef/>
      </w:r>
      <w:r w:rsidR="007F2D5A" w:rsidRPr="00105535">
        <w:rPr>
          <w:rFonts w:asciiTheme="majorHAnsi" w:hAnsiTheme="majorHAnsi" w:cstheme="majorHAnsi"/>
          <w:sz w:val="20"/>
          <w:szCs w:val="20"/>
        </w:rPr>
        <w:t xml:space="preserve"> Rae, John</w:t>
      </w:r>
      <w:r w:rsidR="007F2D5A" w:rsidRPr="00105535">
        <w:rPr>
          <w:rFonts w:asciiTheme="majorHAnsi" w:hAnsiTheme="majorHAnsi" w:cstheme="majorHAnsi"/>
          <w:i/>
          <w:sz w:val="20"/>
          <w:szCs w:val="20"/>
        </w:rPr>
        <w:t xml:space="preserve">, </w:t>
      </w:r>
      <w:r w:rsidRPr="00105535">
        <w:rPr>
          <w:rFonts w:asciiTheme="majorHAnsi" w:hAnsiTheme="majorHAnsi" w:cstheme="majorHAnsi"/>
          <w:i/>
          <w:sz w:val="20"/>
          <w:szCs w:val="20"/>
        </w:rPr>
        <w:t>Conscience and Politics: The British Government and the Conscientious Objecto</w:t>
      </w:r>
      <w:r w:rsidR="007F2D5A" w:rsidRPr="00105535">
        <w:rPr>
          <w:rFonts w:asciiTheme="majorHAnsi" w:hAnsiTheme="majorHAnsi" w:cstheme="majorHAnsi"/>
          <w:i/>
          <w:sz w:val="20"/>
          <w:szCs w:val="20"/>
        </w:rPr>
        <w:t>r to Military Service 1916–1919</w:t>
      </w:r>
      <w:r w:rsidR="007F2D5A" w:rsidRPr="00105535">
        <w:rPr>
          <w:rFonts w:asciiTheme="majorHAnsi" w:hAnsiTheme="majorHAnsi" w:cstheme="majorHAnsi"/>
          <w:sz w:val="20"/>
          <w:szCs w:val="20"/>
        </w:rPr>
        <w:t>,</w:t>
      </w:r>
      <w:r w:rsidRPr="00105535">
        <w:rPr>
          <w:rFonts w:asciiTheme="majorHAnsi" w:hAnsiTheme="majorHAnsi" w:cstheme="majorHAnsi"/>
          <w:sz w:val="20"/>
          <w:szCs w:val="20"/>
        </w:rPr>
        <w:t xml:space="preserve"> </w:t>
      </w:r>
      <w:r w:rsidR="007F2D5A" w:rsidRPr="00105535">
        <w:rPr>
          <w:rFonts w:asciiTheme="majorHAnsi" w:hAnsiTheme="majorHAnsi" w:cstheme="majorHAnsi"/>
          <w:sz w:val="20"/>
          <w:szCs w:val="20"/>
        </w:rPr>
        <w:t>(</w:t>
      </w:r>
      <w:r w:rsidRPr="00105535">
        <w:rPr>
          <w:rFonts w:asciiTheme="majorHAnsi" w:hAnsiTheme="majorHAnsi" w:cstheme="majorHAnsi"/>
          <w:sz w:val="20"/>
          <w:szCs w:val="20"/>
        </w:rPr>
        <w:t>London: Oxford University Press</w:t>
      </w:r>
      <w:r w:rsidR="007F2D5A" w:rsidRPr="00105535">
        <w:rPr>
          <w:rFonts w:asciiTheme="majorHAnsi" w:hAnsiTheme="majorHAnsi" w:cstheme="majorHAnsi"/>
          <w:sz w:val="20"/>
          <w:szCs w:val="20"/>
        </w:rPr>
        <w:t>, 1970)</w:t>
      </w:r>
    </w:p>
  </w:footnote>
  <w:footnote w:id="14">
    <w:p w:rsidR="007A3DAF" w:rsidRPr="00105535" w:rsidRDefault="008F1D9B">
      <w:pPr>
        <w:pStyle w:val="normal0"/>
        <w:spacing w:after="0" w:line="240" w:lineRule="auto"/>
        <w:rPr>
          <w:rFonts w:asciiTheme="majorHAnsi" w:hAnsiTheme="majorHAnsi" w:cstheme="majorHAnsi"/>
          <w:sz w:val="20"/>
          <w:szCs w:val="20"/>
        </w:rPr>
      </w:pPr>
      <w:r w:rsidRPr="00105535">
        <w:rPr>
          <w:rFonts w:asciiTheme="majorHAnsi" w:hAnsiTheme="majorHAnsi" w:cstheme="majorHAnsi"/>
          <w:sz w:val="20"/>
          <w:szCs w:val="20"/>
          <w:vertAlign w:val="superscript"/>
        </w:rPr>
        <w:footnoteRef/>
      </w:r>
      <w:r w:rsidR="004F4A7D" w:rsidRPr="00105535">
        <w:rPr>
          <w:rFonts w:asciiTheme="majorHAnsi" w:hAnsiTheme="majorHAnsi" w:cstheme="majorHAnsi"/>
          <w:sz w:val="20"/>
          <w:szCs w:val="20"/>
        </w:rPr>
        <w:t xml:space="preserve">  Bibbings, Lois</w:t>
      </w:r>
      <w:r w:rsidR="007F2D5A" w:rsidRPr="00105535">
        <w:rPr>
          <w:rFonts w:asciiTheme="majorHAnsi" w:hAnsiTheme="majorHAnsi" w:cstheme="majorHAnsi"/>
          <w:sz w:val="20"/>
          <w:szCs w:val="20"/>
        </w:rPr>
        <w:t xml:space="preserve">, </w:t>
      </w:r>
      <w:r w:rsidRPr="00105535">
        <w:rPr>
          <w:rFonts w:asciiTheme="majorHAnsi" w:hAnsiTheme="majorHAnsi" w:cstheme="majorHAnsi"/>
          <w:i/>
          <w:sz w:val="20"/>
          <w:szCs w:val="20"/>
        </w:rPr>
        <w:t xml:space="preserve">Images of manliness: The portrayal of soldiers and conscientious objectors in the Great War. </w:t>
      </w:r>
      <w:r w:rsidRPr="00105535">
        <w:rPr>
          <w:rFonts w:asciiTheme="majorHAnsi" w:hAnsiTheme="majorHAnsi" w:cstheme="majorHAnsi"/>
          <w:i/>
          <w:sz w:val="20"/>
          <w:szCs w:val="20"/>
        </w:rPr>
        <w:t>Social &amp; Legal Studies</w:t>
      </w:r>
      <w:r w:rsidRPr="00105535">
        <w:rPr>
          <w:rFonts w:asciiTheme="majorHAnsi" w:hAnsiTheme="majorHAnsi" w:cstheme="majorHAnsi"/>
          <w:i/>
          <w:sz w:val="20"/>
          <w:szCs w:val="20"/>
        </w:rPr>
        <w:t>,</w:t>
      </w:r>
      <w:r w:rsidRPr="00105535">
        <w:rPr>
          <w:rFonts w:asciiTheme="majorHAnsi" w:hAnsiTheme="majorHAnsi" w:cstheme="majorHAnsi"/>
          <w:sz w:val="20"/>
          <w:szCs w:val="20"/>
        </w:rPr>
        <w:t xml:space="preserve"> </w:t>
      </w:r>
      <w:r w:rsidRPr="00105535">
        <w:rPr>
          <w:rFonts w:asciiTheme="majorHAnsi" w:hAnsiTheme="majorHAnsi" w:cstheme="majorHAnsi"/>
          <w:i/>
          <w:sz w:val="20"/>
          <w:szCs w:val="20"/>
        </w:rPr>
        <w:t>12</w:t>
      </w:r>
      <w:r w:rsidRPr="00105535">
        <w:rPr>
          <w:rFonts w:asciiTheme="majorHAnsi" w:hAnsiTheme="majorHAnsi" w:cstheme="majorHAnsi"/>
          <w:sz w:val="20"/>
          <w:szCs w:val="20"/>
        </w:rPr>
        <w:t>(3),</w:t>
      </w:r>
      <w:r w:rsidR="007F2D5A" w:rsidRPr="00105535">
        <w:rPr>
          <w:rFonts w:asciiTheme="majorHAnsi" w:hAnsiTheme="majorHAnsi" w:cstheme="majorHAnsi"/>
          <w:sz w:val="20"/>
          <w:szCs w:val="20"/>
        </w:rPr>
        <w:t xml:space="preserve"> (2003), pp.</w:t>
      </w:r>
      <w:r w:rsidRPr="00105535">
        <w:rPr>
          <w:rFonts w:asciiTheme="majorHAnsi" w:hAnsiTheme="majorHAnsi" w:cstheme="majorHAnsi"/>
          <w:sz w:val="20"/>
          <w:szCs w:val="20"/>
        </w:rPr>
        <w:t xml:space="preserve"> 335-358.</w:t>
      </w:r>
    </w:p>
  </w:footnote>
  <w:footnote w:id="15">
    <w:p w:rsidR="007A3DAF" w:rsidRPr="00105535" w:rsidRDefault="008F1D9B">
      <w:pPr>
        <w:pStyle w:val="normal0"/>
        <w:spacing w:after="0" w:line="240" w:lineRule="auto"/>
        <w:rPr>
          <w:rFonts w:asciiTheme="majorHAnsi" w:hAnsiTheme="majorHAnsi" w:cstheme="majorHAnsi"/>
          <w:sz w:val="20"/>
          <w:szCs w:val="20"/>
        </w:rPr>
      </w:pPr>
      <w:r w:rsidRPr="00105535">
        <w:rPr>
          <w:rFonts w:asciiTheme="majorHAnsi" w:hAnsiTheme="majorHAnsi" w:cstheme="majorHAnsi"/>
          <w:sz w:val="20"/>
          <w:szCs w:val="20"/>
          <w:vertAlign w:val="superscript"/>
        </w:rPr>
        <w:footnoteRef/>
      </w:r>
      <w:r w:rsidRPr="00105535">
        <w:rPr>
          <w:rFonts w:asciiTheme="majorHAnsi" w:hAnsiTheme="majorHAnsi" w:cstheme="majorHAnsi"/>
          <w:sz w:val="20"/>
          <w:szCs w:val="20"/>
        </w:rPr>
        <w:t xml:space="preserve"> Brooks Margaret, </w:t>
      </w:r>
      <w:r w:rsidRPr="00105535">
        <w:rPr>
          <w:rFonts w:asciiTheme="majorHAnsi" w:hAnsiTheme="majorHAnsi" w:cstheme="majorHAnsi"/>
          <w:i/>
          <w:sz w:val="20"/>
          <w:szCs w:val="20"/>
        </w:rPr>
        <w:t>Conscientious objectors in their own words,</w:t>
      </w:r>
      <w:r w:rsidRPr="00105535">
        <w:rPr>
          <w:rFonts w:asciiTheme="majorHAnsi" w:hAnsiTheme="majorHAnsi" w:cstheme="majorHAnsi"/>
          <w:sz w:val="20"/>
          <w:szCs w:val="20"/>
        </w:rPr>
        <w:t xml:space="preserve"> (1988), &lt;</w:t>
      </w:r>
      <w:hyperlink r:id="rId4">
        <w:r w:rsidRPr="00105535">
          <w:rPr>
            <w:rFonts w:asciiTheme="majorHAnsi" w:hAnsiTheme="majorHAnsi" w:cstheme="majorHAnsi"/>
            <w:sz w:val="20"/>
            <w:szCs w:val="20"/>
          </w:rPr>
          <w:t>http://www.iwm.org.uk/history/conscientious-objectors-in-their-own-words</w:t>
        </w:r>
      </w:hyperlink>
      <w:r w:rsidRPr="00105535">
        <w:rPr>
          <w:rFonts w:asciiTheme="majorHAnsi" w:hAnsiTheme="majorHAnsi" w:cstheme="majorHAnsi"/>
          <w:sz w:val="20"/>
          <w:szCs w:val="20"/>
        </w:rPr>
        <w:t>&gt; [accessed 2 January 2018]</w:t>
      </w:r>
    </w:p>
  </w:footnote>
  <w:footnote w:id="16">
    <w:p w:rsidR="007A3DAF" w:rsidRPr="00105535" w:rsidRDefault="008F1D9B">
      <w:pPr>
        <w:pStyle w:val="normal0"/>
        <w:spacing w:after="0" w:line="240" w:lineRule="auto"/>
        <w:rPr>
          <w:rFonts w:asciiTheme="majorHAnsi" w:hAnsiTheme="majorHAnsi" w:cstheme="majorHAnsi"/>
          <w:sz w:val="20"/>
          <w:szCs w:val="20"/>
        </w:rPr>
      </w:pPr>
      <w:r w:rsidRPr="00105535">
        <w:rPr>
          <w:rFonts w:asciiTheme="majorHAnsi" w:hAnsiTheme="majorHAnsi" w:cstheme="majorHAnsi"/>
          <w:sz w:val="20"/>
          <w:szCs w:val="20"/>
          <w:vertAlign w:val="superscript"/>
        </w:rPr>
        <w:footnoteRef/>
      </w:r>
      <w:r w:rsidRPr="00105535">
        <w:rPr>
          <w:rFonts w:asciiTheme="majorHAnsi" w:hAnsiTheme="majorHAnsi" w:cstheme="majorHAnsi"/>
          <w:sz w:val="20"/>
          <w:szCs w:val="20"/>
        </w:rPr>
        <w:t xml:space="preserve"> </w:t>
      </w:r>
      <w:r w:rsidR="004F4A7D" w:rsidRPr="00105535">
        <w:rPr>
          <w:rFonts w:asciiTheme="majorHAnsi" w:hAnsiTheme="majorHAnsi" w:cstheme="majorHAnsi"/>
          <w:sz w:val="20"/>
          <w:szCs w:val="20"/>
        </w:rPr>
        <w:t xml:space="preserve">O'Brien, Ann, </w:t>
      </w:r>
      <w:r w:rsidR="007F2D5A" w:rsidRPr="00105535">
        <w:rPr>
          <w:rFonts w:asciiTheme="majorHAnsi" w:hAnsiTheme="majorHAnsi" w:cstheme="majorHAnsi"/>
          <w:sz w:val="20"/>
          <w:szCs w:val="20"/>
        </w:rPr>
        <w:t>&lt;</w:t>
      </w:r>
      <w:r w:rsidRPr="00105535">
        <w:rPr>
          <w:rFonts w:asciiTheme="majorHAnsi" w:hAnsiTheme="majorHAnsi" w:cstheme="majorHAnsi"/>
          <w:sz w:val="20"/>
          <w:szCs w:val="20"/>
        </w:rPr>
        <w:t>http://lewishamfww.wikidot.com/prison</w:t>
      </w:r>
      <w:r w:rsidR="007F2D5A" w:rsidRPr="00105535">
        <w:rPr>
          <w:rFonts w:asciiTheme="majorHAnsi" w:hAnsiTheme="majorHAnsi" w:cstheme="majorHAnsi"/>
          <w:sz w:val="20"/>
          <w:szCs w:val="20"/>
        </w:rPr>
        <w:t>&gt;, (2014), [accessed 18 April 2018]</w:t>
      </w:r>
    </w:p>
  </w:footnote>
  <w:footnote w:id="17">
    <w:p w:rsidR="007A3DAF" w:rsidRPr="00105535" w:rsidRDefault="008F1D9B">
      <w:pPr>
        <w:pStyle w:val="normal0"/>
        <w:spacing w:after="0" w:line="240" w:lineRule="auto"/>
        <w:rPr>
          <w:rFonts w:asciiTheme="majorHAnsi" w:hAnsiTheme="majorHAnsi" w:cstheme="majorHAnsi"/>
          <w:sz w:val="20"/>
          <w:szCs w:val="20"/>
        </w:rPr>
      </w:pPr>
      <w:r w:rsidRPr="00105535">
        <w:rPr>
          <w:rFonts w:asciiTheme="majorHAnsi" w:hAnsiTheme="majorHAnsi" w:cstheme="majorHAnsi"/>
          <w:sz w:val="20"/>
          <w:szCs w:val="20"/>
          <w:vertAlign w:val="superscript"/>
        </w:rPr>
        <w:footnoteRef/>
      </w:r>
      <w:r w:rsidRPr="00105535">
        <w:rPr>
          <w:rFonts w:asciiTheme="majorHAnsi" w:hAnsiTheme="majorHAnsi" w:cstheme="majorHAnsi"/>
          <w:sz w:val="20"/>
          <w:szCs w:val="20"/>
        </w:rPr>
        <w:t xml:space="preserve"> </w:t>
      </w:r>
      <w:r w:rsidRPr="00105535">
        <w:rPr>
          <w:rFonts w:asciiTheme="majorHAnsi" w:eastAsia="Arial" w:hAnsiTheme="majorHAnsi" w:cstheme="majorHAnsi"/>
          <w:color w:val="222222"/>
          <w:sz w:val="20"/>
          <w:szCs w:val="20"/>
          <w:highlight w:val="white"/>
        </w:rPr>
        <w:t>De Groot, G</w:t>
      </w:r>
      <w:r w:rsidR="004F4A7D" w:rsidRPr="00105535">
        <w:rPr>
          <w:rFonts w:asciiTheme="majorHAnsi" w:eastAsia="Arial" w:hAnsiTheme="majorHAnsi" w:cstheme="majorHAnsi"/>
          <w:color w:val="222222"/>
          <w:sz w:val="20"/>
          <w:szCs w:val="20"/>
          <w:highlight w:val="white"/>
        </w:rPr>
        <w:t>erald</w:t>
      </w:r>
      <w:r w:rsidR="007F2D5A" w:rsidRPr="00105535">
        <w:rPr>
          <w:rFonts w:asciiTheme="majorHAnsi" w:eastAsia="Arial" w:hAnsiTheme="majorHAnsi" w:cstheme="majorHAnsi"/>
          <w:color w:val="222222"/>
          <w:sz w:val="20"/>
          <w:szCs w:val="20"/>
          <w:highlight w:val="white"/>
        </w:rPr>
        <w:t xml:space="preserve">, </w:t>
      </w:r>
      <w:r w:rsidRPr="00105535">
        <w:rPr>
          <w:rFonts w:asciiTheme="majorHAnsi" w:eastAsia="Arial" w:hAnsiTheme="majorHAnsi" w:cstheme="majorHAnsi"/>
          <w:i/>
          <w:color w:val="222222"/>
          <w:sz w:val="20"/>
          <w:szCs w:val="20"/>
          <w:highlight w:val="white"/>
        </w:rPr>
        <w:t>Blighty: British Society in the era of the Great War</w:t>
      </w:r>
      <w:r w:rsidRPr="00105535">
        <w:rPr>
          <w:rFonts w:asciiTheme="majorHAnsi" w:eastAsia="Arial" w:hAnsiTheme="majorHAnsi" w:cstheme="majorHAnsi"/>
          <w:color w:val="222222"/>
          <w:sz w:val="20"/>
          <w:szCs w:val="20"/>
          <w:highlight w:val="white"/>
        </w:rPr>
        <w:t xml:space="preserve">. </w:t>
      </w:r>
      <w:r w:rsidR="007F2D5A" w:rsidRPr="00105535">
        <w:rPr>
          <w:rFonts w:asciiTheme="majorHAnsi" w:eastAsia="Arial" w:hAnsiTheme="majorHAnsi" w:cstheme="majorHAnsi"/>
          <w:color w:val="222222"/>
          <w:sz w:val="20"/>
          <w:szCs w:val="20"/>
          <w:highlight w:val="white"/>
        </w:rPr>
        <w:t>(Addison-Wesley Longman</w:t>
      </w:r>
      <w:r w:rsidR="007F2D5A" w:rsidRPr="00105535">
        <w:rPr>
          <w:rFonts w:asciiTheme="majorHAnsi" w:eastAsia="Arial" w:hAnsiTheme="majorHAnsi" w:cstheme="majorHAnsi"/>
          <w:color w:val="222222"/>
          <w:sz w:val="20"/>
          <w:szCs w:val="20"/>
        </w:rPr>
        <w:t>, 1996)</w:t>
      </w:r>
    </w:p>
  </w:footnote>
  <w:footnote w:id="18">
    <w:p w:rsidR="00F47E30" w:rsidRPr="00105535" w:rsidRDefault="00F47E30">
      <w:pPr>
        <w:pStyle w:val="normal0"/>
        <w:spacing w:after="0" w:line="240" w:lineRule="auto"/>
        <w:rPr>
          <w:rFonts w:asciiTheme="majorHAnsi" w:hAnsiTheme="majorHAnsi" w:cstheme="majorHAnsi"/>
          <w:sz w:val="20"/>
          <w:szCs w:val="20"/>
        </w:rPr>
      </w:pPr>
      <w:r w:rsidRPr="00105535">
        <w:rPr>
          <w:rFonts w:asciiTheme="majorHAnsi" w:hAnsiTheme="majorHAnsi" w:cstheme="majorHAnsi"/>
          <w:sz w:val="20"/>
          <w:szCs w:val="20"/>
          <w:vertAlign w:val="superscript"/>
        </w:rPr>
        <w:footnoteRef/>
      </w:r>
      <w:r w:rsidR="004F4A7D" w:rsidRPr="00105535">
        <w:rPr>
          <w:rFonts w:asciiTheme="majorHAnsi" w:hAnsiTheme="majorHAnsi" w:cstheme="majorHAnsi"/>
          <w:sz w:val="20"/>
          <w:szCs w:val="20"/>
        </w:rPr>
        <w:t xml:space="preserve"> Levi, Margaret</w:t>
      </w:r>
      <w:r w:rsidR="007F2D5A" w:rsidRPr="00105535">
        <w:rPr>
          <w:rFonts w:asciiTheme="majorHAnsi" w:hAnsiTheme="majorHAnsi" w:cstheme="majorHAnsi"/>
          <w:sz w:val="20"/>
          <w:szCs w:val="20"/>
        </w:rPr>
        <w:t xml:space="preserve">, </w:t>
      </w:r>
      <w:r w:rsidRPr="00105535">
        <w:rPr>
          <w:rFonts w:asciiTheme="majorHAnsi" w:hAnsiTheme="majorHAnsi" w:cstheme="majorHAnsi"/>
          <w:i/>
          <w:sz w:val="20"/>
          <w:szCs w:val="20"/>
        </w:rPr>
        <w:t>The institution of conscription. Social Science History,</w:t>
      </w:r>
      <w:r w:rsidRPr="00105535">
        <w:rPr>
          <w:rFonts w:asciiTheme="majorHAnsi" w:hAnsiTheme="majorHAnsi" w:cstheme="majorHAnsi"/>
          <w:sz w:val="20"/>
          <w:szCs w:val="20"/>
        </w:rPr>
        <w:t xml:space="preserve"> </w:t>
      </w:r>
      <w:r w:rsidRPr="00105535">
        <w:rPr>
          <w:rFonts w:asciiTheme="majorHAnsi" w:hAnsiTheme="majorHAnsi" w:cstheme="majorHAnsi"/>
          <w:i/>
          <w:sz w:val="20"/>
          <w:szCs w:val="20"/>
        </w:rPr>
        <w:t>20</w:t>
      </w:r>
      <w:r w:rsidRPr="00105535">
        <w:rPr>
          <w:rFonts w:asciiTheme="majorHAnsi" w:hAnsiTheme="majorHAnsi" w:cstheme="majorHAnsi"/>
          <w:sz w:val="20"/>
          <w:szCs w:val="20"/>
        </w:rPr>
        <w:t>(1),</w:t>
      </w:r>
      <w:r w:rsidR="007F2D5A" w:rsidRPr="00105535">
        <w:rPr>
          <w:rFonts w:asciiTheme="majorHAnsi" w:hAnsiTheme="majorHAnsi" w:cstheme="majorHAnsi"/>
          <w:sz w:val="20"/>
          <w:szCs w:val="20"/>
        </w:rPr>
        <w:t xml:space="preserve"> (1996), p.</w:t>
      </w:r>
      <w:r w:rsidRPr="00105535">
        <w:rPr>
          <w:rFonts w:asciiTheme="majorHAnsi" w:hAnsiTheme="majorHAnsi" w:cstheme="majorHAnsi"/>
          <w:sz w:val="20"/>
          <w:szCs w:val="20"/>
        </w:rPr>
        <w:t xml:space="preserve"> 142.</w:t>
      </w:r>
    </w:p>
  </w:footnote>
  <w:footnote w:id="19">
    <w:p w:rsidR="007A3DAF" w:rsidRPr="00105535" w:rsidRDefault="008F1D9B">
      <w:pPr>
        <w:pStyle w:val="normal0"/>
        <w:spacing w:after="0" w:line="240" w:lineRule="auto"/>
        <w:rPr>
          <w:rFonts w:asciiTheme="majorHAnsi" w:hAnsiTheme="majorHAnsi" w:cstheme="majorHAnsi"/>
          <w:sz w:val="20"/>
          <w:szCs w:val="20"/>
        </w:rPr>
      </w:pPr>
      <w:r w:rsidRPr="00105535">
        <w:rPr>
          <w:rFonts w:asciiTheme="majorHAnsi" w:hAnsiTheme="majorHAnsi" w:cstheme="majorHAnsi"/>
          <w:sz w:val="20"/>
          <w:szCs w:val="20"/>
          <w:vertAlign w:val="superscript"/>
        </w:rPr>
        <w:footnoteRef/>
      </w:r>
      <w:r w:rsidR="007F2D5A" w:rsidRPr="00105535">
        <w:rPr>
          <w:rFonts w:asciiTheme="majorHAnsi" w:hAnsiTheme="majorHAnsi" w:cstheme="majorHAnsi"/>
          <w:sz w:val="20"/>
          <w:szCs w:val="20"/>
        </w:rPr>
        <w:t>Ibid. p. 137</w:t>
      </w:r>
    </w:p>
  </w:footnote>
  <w:footnote w:id="20">
    <w:p w:rsidR="007A3DAF" w:rsidRPr="00105535" w:rsidRDefault="008F1D9B">
      <w:pPr>
        <w:pStyle w:val="normal0"/>
        <w:spacing w:after="0" w:line="240" w:lineRule="auto"/>
        <w:rPr>
          <w:rFonts w:asciiTheme="majorHAnsi" w:hAnsiTheme="majorHAnsi" w:cstheme="majorHAnsi"/>
          <w:sz w:val="20"/>
          <w:szCs w:val="20"/>
        </w:rPr>
      </w:pPr>
      <w:r w:rsidRPr="00105535">
        <w:rPr>
          <w:rFonts w:asciiTheme="majorHAnsi" w:hAnsiTheme="majorHAnsi" w:cstheme="majorHAnsi"/>
          <w:sz w:val="20"/>
          <w:szCs w:val="20"/>
          <w:vertAlign w:val="superscript"/>
        </w:rPr>
        <w:footnoteRef/>
      </w:r>
      <w:r w:rsidR="004F4A7D" w:rsidRPr="00105535">
        <w:rPr>
          <w:rFonts w:asciiTheme="majorHAnsi" w:hAnsiTheme="majorHAnsi" w:cstheme="majorHAnsi"/>
          <w:sz w:val="20"/>
          <w:szCs w:val="20"/>
        </w:rPr>
        <w:t xml:space="preserve"> Kramer, Ann</w:t>
      </w:r>
      <w:r w:rsidR="007F2D5A" w:rsidRPr="00105535">
        <w:rPr>
          <w:rFonts w:asciiTheme="majorHAnsi" w:hAnsiTheme="majorHAnsi" w:cstheme="majorHAnsi"/>
          <w:sz w:val="20"/>
          <w:szCs w:val="20"/>
        </w:rPr>
        <w:t>,</w:t>
      </w:r>
      <w:r w:rsidRPr="00105535">
        <w:rPr>
          <w:rFonts w:asciiTheme="majorHAnsi" w:hAnsiTheme="majorHAnsi" w:cstheme="majorHAnsi"/>
          <w:sz w:val="20"/>
          <w:szCs w:val="20"/>
        </w:rPr>
        <w:t xml:space="preserve"> </w:t>
      </w:r>
      <w:r w:rsidRPr="00105535">
        <w:rPr>
          <w:rFonts w:asciiTheme="majorHAnsi" w:hAnsiTheme="majorHAnsi" w:cstheme="majorHAnsi"/>
          <w:i/>
          <w:sz w:val="20"/>
          <w:szCs w:val="20"/>
        </w:rPr>
        <w:t>Conscientious Objectors of the First World Wa</w:t>
      </w:r>
      <w:r w:rsidRPr="00105535">
        <w:rPr>
          <w:rFonts w:asciiTheme="majorHAnsi" w:hAnsiTheme="majorHAnsi" w:cstheme="majorHAnsi"/>
          <w:i/>
          <w:sz w:val="20"/>
          <w:szCs w:val="20"/>
        </w:rPr>
        <w:t>r: A Determined Resistance</w:t>
      </w:r>
      <w:r w:rsidR="007F2D5A" w:rsidRPr="00105535">
        <w:rPr>
          <w:rFonts w:asciiTheme="majorHAnsi" w:hAnsiTheme="majorHAnsi" w:cstheme="majorHAnsi"/>
          <w:sz w:val="20"/>
          <w:szCs w:val="20"/>
        </w:rPr>
        <w:t>,</w:t>
      </w:r>
      <w:r w:rsidRPr="00105535">
        <w:rPr>
          <w:rFonts w:asciiTheme="majorHAnsi" w:hAnsiTheme="majorHAnsi" w:cstheme="majorHAnsi"/>
          <w:sz w:val="20"/>
          <w:szCs w:val="20"/>
        </w:rPr>
        <w:t xml:space="preserve"> </w:t>
      </w:r>
      <w:r w:rsidR="007F2D5A" w:rsidRPr="00105535">
        <w:rPr>
          <w:rFonts w:asciiTheme="majorHAnsi" w:hAnsiTheme="majorHAnsi" w:cstheme="majorHAnsi"/>
          <w:sz w:val="20"/>
          <w:szCs w:val="20"/>
        </w:rPr>
        <w:t>(</w:t>
      </w:r>
      <w:r w:rsidRPr="00105535">
        <w:rPr>
          <w:rFonts w:asciiTheme="majorHAnsi" w:hAnsiTheme="majorHAnsi" w:cstheme="majorHAnsi"/>
          <w:sz w:val="20"/>
          <w:szCs w:val="20"/>
        </w:rPr>
        <w:t>Pen and Sword,</w:t>
      </w:r>
      <w:r w:rsidR="007F2D5A" w:rsidRPr="00105535">
        <w:rPr>
          <w:rFonts w:asciiTheme="majorHAnsi" w:hAnsiTheme="majorHAnsi" w:cstheme="majorHAnsi"/>
          <w:sz w:val="20"/>
          <w:szCs w:val="20"/>
        </w:rPr>
        <w:t xml:space="preserve"> 2014), pp.</w:t>
      </w:r>
      <w:r w:rsidRPr="00105535">
        <w:rPr>
          <w:rFonts w:asciiTheme="majorHAnsi" w:hAnsiTheme="majorHAnsi" w:cstheme="majorHAnsi"/>
          <w:sz w:val="20"/>
          <w:szCs w:val="20"/>
        </w:rPr>
        <w:t xml:space="preserve"> 129-131.</w:t>
      </w:r>
    </w:p>
  </w:footnote>
  <w:footnote w:id="21">
    <w:p w:rsidR="007A3DAF" w:rsidRPr="00105535" w:rsidRDefault="008F1D9B">
      <w:pPr>
        <w:pStyle w:val="normal0"/>
        <w:spacing w:after="0" w:line="240" w:lineRule="auto"/>
        <w:rPr>
          <w:rFonts w:asciiTheme="majorHAnsi" w:hAnsiTheme="majorHAnsi" w:cstheme="majorHAnsi"/>
          <w:sz w:val="20"/>
          <w:szCs w:val="20"/>
        </w:rPr>
      </w:pPr>
      <w:r w:rsidRPr="00105535">
        <w:rPr>
          <w:rFonts w:asciiTheme="majorHAnsi" w:hAnsiTheme="majorHAnsi" w:cstheme="majorHAnsi"/>
          <w:sz w:val="20"/>
          <w:szCs w:val="20"/>
          <w:vertAlign w:val="superscript"/>
        </w:rPr>
        <w:footnoteRef/>
      </w:r>
      <w:r w:rsidR="004F4A7D" w:rsidRPr="00105535">
        <w:rPr>
          <w:rFonts w:asciiTheme="majorHAnsi" w:hAnsiTheme="majorHAnsi" w:cstheme="majorHAnsi"/>
          <w:sz w:val="20"/>
          <w:szCs w:val="20"/>
        </w:rPr>
        <w:t xml:space="preserve"> </w:t>
      </w:r>
      <w:r w:rsidR="007F2D5A" w:rsidRPr="00105535">
        <w:rPr>
          <w:rFonts w:asciiTheme="majorHAnsi" w:hAnsiTheme="majorHAnsi" w:cstheme="majorHAnsi"/>
          <w:sz w:val="20"/>
          <w:szCs w:val="20"/>
        </w:rPr>
        <w:t xml:space="preserve">Levi, Margaret, </w:t>
      </w:r>
      <w:r w:rsidR="007F2D5A" w:rsidRPr="00105535">
        <w:rPr>
          <w:rFonts w:asciiTheme="majorHAnsi" w:hAnsiTheme="majorHAnsi" w:cstheme="majorHAnsi"/>
          <w:i/>
          <w:sz w:val="20"/>
          <w:szCs w:val="20"/>
        </w:rPr>
        <w:t>The institution of conscription. Social Science History,</w:t>
      </w:r>
      <w:r w:rsidR="007F2D5A" w:rsidRPr="00105535">
        <w:rPr>
          <w:rFonts w:asciiTheme="majorHAnsi" w:hAnsiTheme="majorHAnsi" w:cstheme="majorHAnsi"/>
          <w:sz w:val="20"/>
          <w:szCs w:val="20"/>
        </w:rPr>
        <w:t xml:space="preserve"> </w:t>
      </w:r>
      <w:r w:rsidR="007F2D5A" w:rsidRPr="00105535">
        <w:rPr>
          <w:rFonts w:asciiTheme="majorHAnsi" w:hAnsiTheme="majorHAnsi" w:cstheme="majorHAnsi"/>
          <w:i/>
          <w:sz w:val="20"/>
          <w:szCs w:val="20"/>
        </w:rPr>
        <w:t>20</w:t>
      </w:r>
      <w:r w:rsidR="007F2D5A" w:rsidRPr="00105535">
        <w:rPr>
          <w:rFonts w:asciiTheme="majorHAnsi" w:hAnsiTheme="majorHAnsi" w:cstheme="majorHAnsi"/>
          <w:sz w:val="20"/>
          <w:szCs w:val="20"/>
        </w:rPr>
        <w:t xml:space="preserve">(1), (1996), p. </w:t>
      </w:r>
      <w:r w:rsidRPr="00105535">
        <w:rPr>
          <w:rFonts w:asciiTheme="majorHAnsi" w:hAnsiTheme="majorHAnsi" w:cstheme="majorHAnsi"/>
          <w:sz w:val="20"/>
          <w:szCs w:val="20"/>
        </w:rPr>
        <w:t>137.</w:t>
      </w:r>
    </w:p>
  </w:footnote>
  <w:footnote w:id="22">
    <w:p w:rsidR="007A3DAF" w:rsidRPr="00105535" w:rsidRDefault="008F1D9B">
      <w:pPr>
        <w:pStyle w:val="normal0"/>
        <w:spacing w:after="0" w:line="240" w:lineRule="auto"/>
        <w:rPr>
          <w:rFonts w:asciiTheme="majorHAnsi" w:hAnsiTheme="majorHAnsi" w:cstheme="majorHAnsi"/>
          <w:sz w:val="20"/>
          <w:szCs w:val="20"/>
        </w:rPr>
      </w:pPr>
      <w:r w:rsidRPr="00105535">
        <w:rPr>
          <w:rFonts w:asciiTheme="majorHAnsi" w:hAnsiTheme="majorHAnsi" w:cstheme="majorHAnsi"/>
          <w:sz w:val="20"/>
          <w:szCs w:val="20"/>
          <w:vertAlign w:val="superscript"/>
        </w:rPr>
        <w:footnoteRef/>
      </w:r>
      <w:r w:rsidR="004F4A7D" w:rsidRPr="00105535">
        <w:rPr>
          <w:rFonts w:asciiTheme="majorHAnsi" w:hAnsiTheme="majorHAnsi" w:cstheme="majorHAnsi"/>
          <w:sz w:val="20"/>
          <w:szCs w:val="20"/>
        </w:rPr>
        <w:t>Bibbings, Lois</w:t>
      </w:r>
      <w:r w:rsidR="007F2D5A" w:rsidRPr="00105535">
        <w:rPr>
          <w:rFonts w:asciiTheme="majorHAnsi" w:hAnsiTheme="majorHAnsi" w:cstheme="majorHAnsi"/>
          <w:sz w:val="20"/>
          <w:szCs w:val="20"/>
        </w:rPr>
        <w:t>,</w:t>
      </w:r>
      <w:r w:rsidRPr="00105535">
        <w:rPr>
          <w:rFonts w:asciiTheme="majorHAnsi" w:hAnsiTheme="majorHAnsi" w:cstheme="majorHAnsi"/>
          <w:sz w:val="20"/>
          <w:szCs w:val="20"/>
        </w:rPr>
        <w:t xml:space="preserve"> </w:t>
      </w:r>
      <w:r w:rsidRPr="00105535">
        <w:rPr>
          <w:rFonts w:asciiTheme="majorHAnsi" w:hAnsiTheme="majorHAnsi" w:cstheme="majorHAnsi"/>
          <w:i/>
          <w:sz w:val="20"/>
          <w:szCs w:val="20"/>
        </w:rPr>
        <w:t>Images of manliness: The portrayal of soldiers and conscientious objectors in the Great War</w:t>
      </w:r>
      <w:r w:rsidRPr="00105535">
        <w:rPr>
          <w:rFonts w:asciiTheme="majorHAnsi" w:hAnsiTheme="majorHAnsi" w:cstheme="majorHAnsi"/>
          <w:i/>
          <w:sz w:val="20"/>
          <w:szCs w:val="20"/>
        </w:rPr>
        <w:t xml:space="preserve">. </w:t>
      </w:r>
      <w:r w:rsidRPr="00105535">
        <w:rPr>
          <w:rFonts w:asciiTheme="majorHAnsi" w:hAnsiTheme="majorHAnsi" w:cstheme="majorHAnsi"/>
          <w:i/>
          <w:sz w:val="20"/>
          <w:szCs w:val="20"/>
        </w:rPr>
        <w:t>Social &amp; Legal Studies</w:t>
      </w:r>
      <w:r w:rsidRPr="00105535">
        <w:rPr>
          <w:rFonts w:asciiTheme="majorHAnsi" w:hAnsiTheme="majorHAnsi" w:cstheme="majorHAnsi"/>
          <w:sz w:val="20"/>
          <w:szCs w:val="20"/>
        </w:rPr>
        <w:t xml:space="preserve">, </w:t>
      </w:r>
      <w:r w:rsidRPr="00105535">
        <w:rPr>
          <w:rFonts w:asciiTheme="majorHAnsi" w:hAnsiTheme="majorHAnsi" w:cstheme="majorHAnsi"/>
          <w:i/>
          <w:sz w:val="20"/>
          <w:szCs w:val="20"/>
        </w:rPr>
        <w:t>12</w:t>
      </w:r>
      <w:r w:rsidRPr="00105535">
        <w:rPr>
          <w:rFonts w:asciiTheme="majorHAnsi" w:hAnsiTheme="majorHAnsi" w:cstheme="majorHAnsi"/>
          <w:sz w:val="20"/>
          <w:szCs w:val="20"/>
        </w:rPr>
        <w:t>(3),</w:t>
      </w:r>
      <w:r w:rsidR="007F2D5A" w:rsidRPr="00105535">
        <w:rPr>
          <w:rFonts w:asciiTheme="majorHAnsi" w:hAnsiTheme="majorHAnsi" w:cstheme="majorHAnsi"/>
          <w:sz w:val="20"/>
          <w:szCs w:val="20"/>
        </w:rPr>
        <w:t xml:space="preserve"> (2003), pp.</w:t>
      </w:r>
      <w:r w:rsidRPr="00105535">
        <w:rPr>
          <w:rFonts w:asciiTheme="majorHAnsi" w:hAnsiTheme="majorHAnsi" w:cstheme="majorHAnsi"/>
          <w:sz w:val="20"/>
          <w:szCs w:val="20"/>
        </w:rPr>
        <w:t xml:space="preserve"> 346-347.</w:t>
      </w:r>
    </w:p>
  </w:footnote>
  <w:footnote w:id="23">
    <w:p w:rsidR="007A3DAF" w:rsidRPr="00105535" w:rsidRDefault="008F1D9B">
      <w:pPr>
        <w:pStyle w:val="normal0"/>
        <w:spacing w:after="0" w:line="240" w:lineRule="auto"/>
        <w:rPr>
          <w:rFonts w:asciiTheme="majorHAnsi" w:hAnsiTheme="majorHAnsi" w:cstheme="majorHAnsi"/>
          <w:sz w:val="20"/>
          <w:szCs w:val="20"/>
        </w:rPr>
      </w:pPr>
      <w:r w:rsidRPr="00105535">
        <w:rPr>
          <w:rFonts w:asciiTheme="majorHAnsi" w:hAnsiTheme="majorHAnsi" w:cstheme="majorHAnsi"/>
          <w:sz w:val="20"/>
          <w:szCs w:val="20"/>
          <w:vertAlign w:val="superscript"/>
        </w:rPr>
        <w:footnoteRef/>
      </w:r>
      <w:r w:rsidRPr="00105535">
        <w:rPr>
          <w:rFonts w:asciiTheme="majorHAnsi" w:hAnsiTheme="majorHAnsi" w:cstheme="majorHAnsi"/>
          <w:sz w:val="20"/>
          <w:szCs w:val="20"/>
        </w:rPr>
        <w:t xml:space="preserve"> </w:t>
      </w:r>
      <w:r w:rsidR="007F2D5A" w:rsidRPr="00105535">
        <w:rPr>
          <w:rFonts w:asciiTheme="majorHAnsi" w:hAnsiTheme="majorHAnsi" w:cstheme="majorHAnsi"/>
          <w:sz w:val="20"/>
          <w:szCs w:val="20"/>
        </w:rPr>
        <w:t>Image, &lt;</w:t>
      </w:r>
      <w:r w:rsidRPr="00105535">
        <w:rPr>
          <w:rFonts w:asciiTheme="majorHAnsi" w:hAnsiTheme="majorHAnsi" w:cstheme="majorHAnsi"/>
          <w:sz w:val="20"/>
          <w:szCs w:val="20"/>
        </w:rPr>
        <w:t>https://www.iwm.org.uk/collections/item/object/205133178</w:t>
      </w:r>
      <w:r w:rsidR="007F2D5A" w:rsidRPr="00105535">
        <w:rPr>
          <w:rFonts w:asciiTheme="majorHAnsi" w:hAnsiTheme="majorHAnsi" w:cstheme="majorHAnsi"/>
          <w:sz w:val="20"/>
          <w:szCs w:val="20"/>
        </w:rPr>
        <w:t>&gt; [accessed 18 April 2018]</w:t>
      </w:r>
    </w:p>
  </w:footnote>
  <w:footnote w:id="24">
    <w:p w:rsidR="007A3DAF" w:rsidRPr="00105535" w:rsidRDefault="008F1D9B">
      <w:pPr>
        <w:pStyle w:val="normal0"/>
        <w:pBdr>
          <w:top w:val="nil"/>
          <w:left w:val="nil"/>
          <w:bottom w:val="nil"/>
          <w:right w:val="nil"/>
          <w:between w:val="nil"/>
        </w:pBdr>
        <w:spacing w:after="0" w:line="240" w:lineRule="auto"/>
        <w:rPr>
          <w:rFonts w:asciiTheme="majorHAnsi" w:hAnsiTheme="majorHAnsi" w:cstheme="majorHAnsi"/>
          <w:sz w:val="20"/>
          <w:szCs w:val="20"/>
        </w:rPr>
      </w:pPr>
      <w:r w:rsidRPr="00105535">
        <w:rPr>
          <w:rFonts w:asciiTheme="majorHAnsi" w:hAnsiTheme="majorHAnsi" w:cstheme="majorHAnsi"/>
          <w:sz w:val="20"/>
          <w:szCs w:val="20"/>
          <w:vertAlign w:val="superscript"/>
        </w:rPr>
        <w:footnoteRef/>
      </w:r>
      <w:r w:rsidRPr="00105535">
        <w:rPr>
          <w:rFonts w:asciiTheme="majorHAnsi" w:hAnsiTheme="majorHAnsi" w:cstheme="majorHAnsi"/>
          <w:sz w:val="20"/>
          <w:szCs w:val="20"/>
        </w:rPr>
        <w:t>Tomlinson</w:t>
      </w:r>
      <w:r w:rsidR="007F2D5A" w:rsidRPr="00105535">
        <w:rPr>
          <w:rFonts w:asciiTheme="majorHAnsi" w:hAnsiTheme="majorHAnsi" w:cstheme="majorHAnsi"/>
          <w:sz w:val="20"/>
          <w:szCs w:val="20"/>
        </w:rPr>
        <w:t>,</w:t>
      </w:r>
      <w:r w:rsidRPr="00105535">
        <w:rPr>
          <w:rFonts w:asciiTheme="majorHAnsi" w:hAnsiTheme="majorHAnsi" w:cstheme="majorHAnsi"/>
          <w:sz w:val="20"/>
          <w:szCs w:val="20"/>
        </w:rPr>
        <w:t xml:space="preserve"> Charlotte, </w:t>
      </w:r>
      <w:r w:rsidRPr="00105535">
        <w:rPr>
          <w:rFonts w:asciiTheme="majorHAnsi" w:hAnsiTheme="majorHAnsi" w:cstheme="majorHAnsi"/>
          <w:i/>
          <w:sz w:val="20"/>
          <w:szCs w:val="20"/>
        </w:rPr>
        <w:t>First World War attitudes to conscientious objectors</w:t>
      </w:r>
      <w:r w:rsidRPr="00105535">
        <w:rPr>
          <w:rFonts w:asciiTheme="majorHAnsi" w:hAnsiTheme="majorHAnsi" w:cstheme="majorHAnsi"/>
          <w:sz w:val="20"/>
          <w:szCs w:val="20"/>
        </w:rPr>
        <w:t>, Richmond Castle, (2016), &lt;</w:t>
      </w:r>
      <w:hyperlink r:id="rId5">
        <w:r w:rsidRPr="00105535">
          <w:rPr>
            <w:rFonts w:asciiTheme="majorHAnsi" w:hAnsiTheme="majorHAnsi" w:cstheme="majorHAnsi"/>
            <w:sz w:val="20"/>
            <w:szCs w:val="20"/>
          </w:rPr>
          <w:t>http://www.english-heritage.org.uk/visit/places/richmond-castle/richmond-graffiti/attitudes-to-cos/</w:t>
        </w:r>
      </w:hyperlink>
      <w:r w:rsidRPr="00105535">
        <w:rPr>
          <w:rFonts w:asciiTheme="majorHAnsi" w:hAnsiTheme="majorHAnsi" w:cstheme="majorHAnsi"/>
          <w:sz w:val="20"/>
          <w:szCs w:val="20"/>
        </w:rPr>
        <w:t>&gt;, [accessed 5 January 2018]</w:t>
      </w:r>
    </w:p>
  </w:footnote>
  <w:footnote w:id="25">
    <w:p w:rsidR="007A3DAF" w:rsidRPr="00105535" w:rsidRDefault="008F1D9B">
      <w:pPr>
        <w:pStyle w:val="normal0"/>
        <w:spacing w:after="0" w:line="240" w:lineRule="auto"/>
        <w:rPr>
          <w:rFonts w:asciiTheme="majorHAnsi" w:hAnsiTheme="majorHAnsi" w:cstheme="majorHAnsi"/>
          <w:sz w:val="20"/>
          <w:szCs w:val="20"/>
        </w:rPr>
      </w:pPr>
      <w:r w:rsidRPr="00105535">
        <w:rPr>
          <w:rFonts w:asciiTheme="majorHAnsi" w:hAnsiTheme="majorHAnsi" w:cstheme="majorHAnsi"/>
          <w:sz w:val="20"/>
          <w:szCs w:val="20"/>
          <w:vertAlign w:val="superscript"/>
        </w:rPr>
        <w:footnoteRef/>
      </w:r>
      <w:r w:rsidR="004F4A7D" w:rsidRPr="00105535">
        <w:rPr>
          <w:rFonts w:asciiTheme="majorHAnsi" w:hAnsiTheme="majorHAnsi" w:cstheme="majorHAnsi"/>
          <w:sz w:val="20"/>
          <w:szCs w:val="20"/>
        </w:rPr>
        <w:t xml:space="preserve"> </w:t>
      </w:r>
      <w:r w:rsidR="00F23D82" w:rsidRPr="00105535">
        <w:rPr>
          <w:rFonts w:asciiTheme="majorHAnsi" w:hAnsiTheme="majorHAnsi" w:cstheme="majorHAnsi"/>
          <w:sz w:val="20"/>
          <w:szCs w:val="20"/>
        </w:rPr>
        <w:t xml:space="preserve">Bibbings, Lois, </w:t>
      </w:r>
      <w:r w:rsidR="00F23D82" w:rsidRPr="00105535">
        <w:rPr>
          <w:rFonts w:asciiTheme="majorHAnsi" w:hAnsiTheme="majorHAnsi" w:cstheme="majorHAnsi"/>
          <w:i/>
          <w:sz w:val="20"/>
          <w:szCs w:val="20"/>
        </w:rPr>
        <w:t>Images of manliness: The portrayal of soldiers and conscientious objectors in the Great War. Social &amp; Legal Studies</w:t>
      </w:r>
      <w:r w:rsidR="00F23D82" w:rsidRPr="00105535">
        <w:rPr>
          <w:rFonts w:asciiTheme="majorHAnsi" w:hAnsiTheme="majorHAnsi" w:cstheme="majorHAnsi"/>
          <w:sz w:val="20"/>
          <w:szCs w:val="20"/>
        </w:rPr>
        <w:t xml:space="preserve">, </w:t>
      </w:r>
      <w:r w:rsidR="00F23D82" w:rsidRPr="00105535">
        <w:rPr>
          <w:rFonts w:asciiTheme="majorHAnsi" w:hAnsiTheme="majorHAnsi" w:cstheme="majorHAnsi"/>
          <w:i/>
          <w:sz w:val="20"/>
          <w:szCs w:val="20"/>
        </w:rPr>
        <w:t>12</w:t>
      </w:r>
      <w:r w:rsidR="00F23D82" w:rsidRPr="00105535">
        <w:rPr>
          <w:rFonts w:asciiTheme="majorHAnsi" w:hAnsiTheme="majorHAnsi" w:cstheme="majorHAnsi"/>
          <w:sz w:val="20"/>
          <w:szCs w:val="20"/>
        </w:rPr>
        <w:t>(3), (2003), pp. 346-347.</w:t>
      </w:r>
    </w:p>
  </w:footnote>
  <w:footnote w:id="26">
    <w:p w:rsidR="007A3DAF" w:rsidRPr="00105535" w:rsidRDefault="008F1D9B">
      <w:pPr>
        <w:pStyle w:val="normal0"/>
        <w:pBdr>
          <w:top w:val="nil"/>
          <w:left w:val="nil"/>
          <w:bottom w:val="nil"/>
          <w:right w:val="nil"/>
          <w:between w:val="nil"/>
        </w:pBdr>
        <w:spacing w:after="0" w:line="240" w:lineRule="auto"/>
        <w:rPr>
          <w:rFonts w:asciiTheme="majorHAnsi" w:hAnsiTheme="majorHAnsi" w:cstheme="majorHAnsi"/>
          <w:sz w:val="20"/>
          <w:szCs w:val="20"/>
        </w:rPr>
      </w:pPr>
      <w:r w:rsidRPr="00105535">
        <w:rPr>
          <w:rFonts w:asciiTheme="majorHAnsi" w:hAnsiTheme="majorHAnsi" w:cstheme="majorHAnsi"/>
          <w:sz w:val="20"/>
          <w:szCs w:val="20"/>
          <w:vertAlign w:val="superscript"/>
        </w:rPr>
        <w:footnoteRef/>
      </w:r>
      <w:r w:rsidRPr="00105535">
        <w:rPr>
          <w:rFonts w:asciiTheme="majorHAnsi" w:hAnsiTheme="majorHAnsi" w:cstheme="majorHAnsi"/>
          <w:sz w:val="20"/>
          <w:szCs w:val="20"/>
        </w:rPr>
        <w:t xml:space="preserve">Tomlinson Charlotte, </w:t>
      </w:r>
      <w:r w:rsidRPr="00105535">
        <w:rPr>
          <w:rFonts w:asciiTheme="majorHAnsi" w:hAnsiTheme="majorHAnsi" w:cstheme="majorHAnsi"/>
          <w:i/>
          <w:sz w:val="20"/>
          <w:szCs w:val="20"/>
        </w:rPr>
        <w:t>First World War attitudes to conscientious objectors</w:t>
      </w:r>
      <w:r w:rsidRPr="00105535">
        <w:rPr>
          <w:rFonts w:asciiTheme="majorHAnsi" w:hAnsiTheme="majorHAnsi" w:cstheme="majorHAnsi"/>
          <w:sz w:val="20"/>
          <w:szCs w:val="20"/>
        </w:rPr>
        <w:t>, Richmond Castle, (2016), &lt;</w:t>
      </w:r>
      <w:hyperlink r:id="rId6">
        <w:r w:rsidRPr="00105535">
          <w:rPr>
            <w:rFonts w:asciiTheme="majorHAnsi" w:hAnsiTheme="majorHAnsi" w:cstheme="majorHAnsi"/>
            <w:sz w:val="20"/>
            <w:szCs w:val="20"/>
          </w:rPr>
          <w:t>http://www.english-heritage.org.uk/visit/places/richmond-castle/richmond-graffiti/attitudes-to-cos/</w:t>
        </w:r>
      </w:hyperlink>
      <w:r w:rsidRPr="00105535">
        <w:rPr>
          <w:rFonts w:asciiTheme="majorHAnsi" w:hAnsiTheme="majorHAnsi" w:cstheme="majorHAnsi"/>
          <w:sz w:val="20"/>
          <w:szCs w:val="20"/>
        </w:rPr>
        <w:t>&gt;, [accessed 5 January 2018]</w:t>
      </w:r>
    </w:p>
  </w:footnote>
  <w:footnote w:id="27">
    <w:p w:rsidR="007A3DAF" w:rsidRPr="00105535" w:rsidRDefault="008F1D9B">
      <w:pPr>
        <w:pStyle w:val="normal0"/>
        <w:spacing w:after="0"/>
        <w:rPr>
          <w:rFonts w:asciiTheme="majorHAnsi" w:hAnsiTheme="majorHAnsi" w:cstheme="majorHAnsi"/>
          <w:sz w:val="20"/>
          <w:szCs w:val="20"/>
        </w:rPr>
      </w:pPr>
      <w:r w:rsidRPr="00105535">
        <w:rPr>
          <w:rFonts w:asciiTheme="majorHAnsi" w:hAnsiTheme="majorHAnsi" w:cstheme="majorHAnsi"/>
          <w:sz w:val="20"/>
          <w:szCs w:val="20"/>
          <w:vertAlign w:val="superscript"/>
        </w:rPr>
        <w:footnoteRef/>
      </w:r>
      <w:r w:rsidR="004F4A7D" w:rsidRPr="00105535">
        <w:rPr>
          <w:rFonts w:asciiTheme="majorHAnsi" w:hAnsiTheme="majorHAnsi" w:cstheme="majorHAnsi"/>
          <w:sz w:val="20"/>
          <w:szCs w:val="20"/>
        </w:rPr>
        <w:t xml:space="preserve"> </w:t>
      </w:r>
      <w:r w:rsidRPr="00105535">
        <w:rPr>
          <w:rFonts w:asciiTheme="majorHAnsi" w:hAnsiTheme="majorHAnsi" w:cstheme="majorHAnsi"/>
          <w:sz w:val="20"/>
          <w:szCs w:val="20"/>
        </w:rPr>
        <w:t>Emrys</w:t>
      </w:r>
      <w:r w:rsidR="00F23D82" w:rsidRPr="00105535">
        <w:rPr>
          <w:rFonts w:asciiTheme="majorHAnsi" w:hAnsiTheme="majorHAnsi" w:cstheme="majorHAnsi"/>
          <w:sz w:val="20"/>
          <w:szCs w:val="20"/>
        </w:rPr>
        <w:t>,</w:t>
      </w:r>
      <w:r w:rsidRPr="00105535">
        <w:rPr>
          <w:rFonts w:asciiTheme="majorHAnsi" w:hAnsiTheme="majorHAnsi" w:cstheme="majorHAnsi"/>
          <w:sz w:val="20"/>
          <w:szCs w:val="20"/>
        </w:rPr>
        <w:t xml:space="preserve"> Hughes</w:t>
      </w:r>
      <w:r w:rsidRPr="00105535">
        <w:rPr>
          <w:rFonts w:asciiTheme="majorHAnsi" w:hAnsiTheme="majorHAnsi" w:cstheme="majorHAnsi"/>
          <w:sz w:val="20"/>
          <w:szCs w:val="20"/>
        </w:rPr>
        <w:t xml:space="preserve">, </w:t>
      </w:r>
      <w:r w:rsidR="004F4A7D" w:rsidRPr="00105535">
        <w:rPr>
          <w:rFonts w:asciiTheme="majorHAnsi" w:hAnsiTheme="majorHAnsi" w:cstheme="majorHAnsi"/>
          <w:i/>
          <w:sz w:val="20"/>
          <w:szCs w:val="20"/>
        </w:rPr>
        <w:t>Welsh Voices</w:t>
      </w:r>
      <w:r w:rsidR="004F4A7D" w:rsidRPr="00105535">
        <w:rPr>
          <w:rFonts w:asciiTheme="majorHAnsi" w:hAnsiTheme="majorHAnsi" w:cstheme="majorHAnsi"/>
          <w:sz w:val="20"/>
          <w:szCs w:val="20"/>
        </w:rPr>
        <w:t xml:space="preserve"> </w:t>
      </w:r>
      <w:r w:rsidRPr="00105535">
        <w:rPr>
          <w:rFonts w:asciiTheme="majorHAnsi" w:hAnsiTheme="majorHAnsi" w:cstheme="majorHAnsi"/>
          <w:sz w:val="20"/>
          <w:szCs w:val="20"/>
        </w:rPr>
        <w:t>&lt;https://wciavoices.wordpress.com/2016/03/0</w:t>
      </w:r>
      <w:r w:rsidRPr="00105535">
        <w:rPr>
          <w:rFonts w:asciiTheme="majorHAnsi" w:hAnsiTheme="majorHAnsi" w:cstheme="majorHAnsi"/>
          <w:sz w:val="20"/>
          <w:szCs w:val="20"/>
        </w:rPr>
        <w:t>7/emrys-hughes-2.&gt;, [accessed 3 January 2018]</w:t>
      </w:r>
    </w:p>
  </w:footnote>
  <w:footnote w:id="28">
    <w:p w:rsidR="007A3DAF" w:rsidRPr="00105535" w:rsidRDefault="008F1D9B">
      <w:pPr>
        <w:pStyle w:val="normal0"/>
        <w:pBdr>
          <w:top w:val="nil"/>
          <w:left w:val="nil"/>
          <w:bottom w:val="nil"/>
          <w:right w:val="nil"/>
          <w:between w:val="nil"/>
        </w:pBdr>
        <w:spacing w:after="0" w:line="240" w:lineRule="auto"/>
        <w:rPr>
          <w:rFonts w:asciiTheme="majorHAnsi" w:hAnsiTheme="majorHAnsi" w:cstheme="majorHAnsi"/>
          <w:sz w:val="20"/>
          <w:szCs w:val="20"/>
        </w:rPr>
      </w:pPr>
      <w:r w:rsidRPr="00105535">
        <w:rPr>
          <w:rFonts w:asciiTheme="majorHAnsi" w:hAnsiTheme="majorHAnsi" w:cstheme="majorHAnsi"/>
          <w:sz w:val="20"/>
          <w:szCs w:val="20"/>
          <w:vertAlign w:val="superscript"/>
        </w:rPr>
        <w:footnoteRef/>
      </w:r>
      <w:r w:rsidR="004F4A7D" w:rsidRPr="00105535">
        <w:rPr>
          <w:rFonts w:asciiTheme="majorHAnsi" w:hAnsiTheme="majorHAnsi" w:cstheme="majorHAnsi"/>
          <w:sz w:val="20"/>
          <w:szCs w:val="20"/>
        </w:rPr>
        <w:t xml:space="preserve"> Simkin</w:t>
      </w:r>
      <w:r w:rsidR="00F23D82" w:rsidRPr="00105535">
        <w:rPr>
          <w:rFonts w:asciiTheme="majorHAnsi" w:hAnsiTheme="majorHAnsi" w:cstheme="majorHAnsi"/>
          <w:sz w:val="20"/>
          <w:szCs w:val="20"/>
        </w:rPr>
        <w:t>,</w:t>
      </w:r>
      <w:r w:rsidR="004F4A7D" w:rsidRPr="00105535">
        <w:rPr>
          <w:rFonts w:asciiTheme="majorHAnsi" w:hAnsiTheme="majorHAnsi" w:cstheme="majorHAnsi"/>
          <w:sz w:val="20"/>
          <w:szCs w:val="20"/>
        </w:rPr>
        <w:t xml:space="preserve"> John</w:t>
      </w:r>
      <w:r w:rsidRPr="00105535">
        <w:rPr>
          <w:rFonts w:asciiTheme="majorHAnsi" w:hAnsiTheme="majorHAnsi" w:cstheme="majorHAnsi"/>
          <w:sz w:val="20"/>
          <w:szCs w:val="20"/>
        </w:rPr>
        <w:t xml:space="preserve">, </w:t>
      </w:r>
      <w:r w:rsidRPr="00105535">
        <w:rPr>
          <w:rFonts w:asciiTheme="majorHAnsi" w:hAnsiTheme="majorHAnsi" w:cstheme="majorHAnsi"/>
          <w:i/>
          <w:sz w:val="20"/>
          <w:szCs w:val="20"/>
        </w:rPr>
        <w:t>No-Conscription Fellowship</w:t>
      </w:r>
      <w:r w:rsidRPr="00105535">
        <w:rPr>
          <w:rFonts w:asciiTheme="majorHAnsi" w:hAnsiTheme="majorHAnsi" w:cstheme="majorHAnsi"/>
          <w:sz w:val="20"/>
          <w:szCs w:val="20"/>
        </w:rPr>
        <w:t>, &lt;http://spartacus-educational.com/FWWncf.htm&gt;, [accessed 8 January 2018]</w:t>
      </w:r>
    </w:p>
  </w:footnote>
  <w:footnote w:id="29">
    <w:p w:rsidR="007A3DAF" w:rsidRPr="00105535" w:rsidRDefault="008F1D9B">
      <w:pPr>
        <w:pStyle w:val="normal0"/>
        <w:pBdr>
          <w:top w:val="nil"/>
          <w:left w:val="nil"/>
          <w:bottom w:val="nil"/>
          <w:right w:val="nil"/>
          <w:between w:val="nil"/>
        </w:pBdr>
        <w:spacing w:after="0" w:line="240" w:lineRule="auto"/>
        <w:rPr>
          <w:rFonts w:asciiTheme="majorHAnsi" w:hAnsiTheme="majorHAnsi" w:cstheme="majorHAnsi"/>
          <w:sz w:val="20"/>
          <w:szCs w:val="20"/>
        </w:rPr>
      </w:pPr>
      <w:r w:rsidRPr="00105535">
        <w:rPr>
          <w:rFonts w:asciiTheme="majorHAnsi" w:hAnsiTheme="majorHAnsi" w:cstheme="majorHAnsi"/>
          <w:sz w:val="20"/>
          <w:szCs w:val="20"/>
          <w:vertAlign w:val="superscript"/>
        </w:rPr>
        <w:footnoteRef/>
      </w:r>
      <w:r w:rsidR="004F4A7D" w:rsidRPr="00105535">
        <w:rPr>
          <w:rFonts w:asciiTheme="majorHAnsi" w:hAnsiTheme="majorHAnsi" w:cstheme="majorHAnsi"/>
          <w:sz w:val="20"/>
          <w:szCs w:val="20"/>
        </w:rPr>
        <w:t xml:space="preserve"> Simkin</w:t>
      </w:r>
      <w:r w:rsidR="00F23D82" w:rsidRPr="00105535">
        <w:rPr>
          <w:rFonts w:asciiTheme="majorHAnsi" w:hAnsiTheme="majorHAnsi" w:cstheme="majorHAnsi"/>
          <w:sz w:val="20"/>
          <w:szCs w:val="20"/>
        </w:rPr>
        <w:t>,</w:t>
      </w:r>
      <w:r w:rsidR="004F4A7D" w:rsidRPr="00105535">
        <w:rPr>
          <w:rFonts w:asciiTheme="majorHAnsi" w:hAnsiTheme="majorHAnsi" w:cstheme="majorHAnsi"/>
          <w:sz w:val="20"/>
          <w:szCs w:val="20"/>
        </w:rPr>
        <w:t xml:space="preserve"> John</w:t>
      </w:r>
      <w:r w:rsidRPr="00105535">
        <w:rPr>
          <w:rFonts w:asciiTheme="majorHAnsi" w:hAnsiTheme="majorHAnsi" w:cstheme="majorHAnsi"/>
          <w:sz w:val="20"/>
          <w:szCs w:val="20"/>
        </w:rPr>
        <w:t xml:space="preserve">, </w:t>
      </w:r>
      <w:r w:rsidRPr="00105535">
        <w:rPr>
          <w:rFonts w:asciiTheme="majorHAnsi" w:hAnsiTheme="majorHAnsi" w:cstheme="majorHAnsi"/>
          <w:i/>
          <w:sz w:val="20"/>
          <w:szCs w:val="20"/>
        </w:rPr>
        <w:t>No-Conscription Fellowship</w:t>
      </w:r>
      <w:r w:rsidRPr="00105535">
        <w:rPr>
          <w:rFonts w:asciiTheme="majorHAnsi" w:hAnsiTheme="majorHAnsi" w:cstheme="majorHAnsi"/>
          <w:sz w:val="20"/>
          <w:szCs w:val="20"/>
        </w:rPr>
        <w:t>, &lt;http://spartacus-educational.com/FWWncf.htm&gt;, [accesse</w:t>
      </w:r>
      <w:r w:rsidRPr="00105535">
        <w:rPr>
          <w:rFonts w:asciiTheme="majorHAnsi" w:hAnsiTheme="majorHAnsi" w:cstheme="majorHAnsi"/>
          <w:sz w:val="20"/>
          <w:szCs w:val="20"/>
        </w:rPr>
        <w:t>d 8 January 2018]</w:t>
      </w:r>
    </w:p>
  </w:footnote>
  <w:footnote w:id="30">
    <w:p w:rsidR="007A3DAF" w:rsidRPr="00105535" w:rsidRDefault="008F1D9B">
      <w:pPr>
        <w:pStyle w:val="normal0"/>
        <w:spacing w:after="0" w:line="240" w:lineRule="auto"/>
        <w:rPr>
          <w:rFonts w:asciiTheme="majorHAnsi" w:hAnsiTheme="majorHAnsi" w:cstheme="majorHAnsi"/>
          <w:sz w:val="20"/>
          <w:szCs w:val="20"/>
        </w:rPr>
      </w:pPr>
      <w:r w:rsidRPr="00105535">
        <w:rPr>
          <w:rFonts w:asciiTheme="majorHAnsi" w:hAnsiTheme="majorHAnsi" w:cstheme="majorHAnsi"/>
          <w:sz w:val="20"/>
          <w:szCs w:val="20"/>
          <w:vertAlign w:val="superscript"/>
        </w:rPr>
        <w:footnoteRef/>
      </w:r>
      <w:r w:rsidR="004F4A7D" w:rsidRPr="00105535">
        <w:rPr>
          <w:rFonts w:asciiTheme="majorHAnsi" w:hAnsiTheme="majorHAnsi" w:cstheme="majorHAnsi"/>
          <w:sz w:val="20"/>
          <w:szCs w:val="20"/>
        </w:rPr>
        <w:t xml:space="preserve">  Simkin</w:t>
      </w:r>
      <w:r w:rsidR="00F23D82" w:rsidRPr="00105535">
        <w:rPr>
          <w:rFonts w:asciiTheme="majorHAnsi" w:hAnsiTheme="majorHAnsi" w:cstheme="majorHAnsi"/>
          <w:sz w:val="20"/>
          <w:szCs w:val="20"/>
        </w:rPr>
        <w:t>,</w:t>
      </w:r>
      <w:r w:rsidR="004F4A7D" w:rsidRPr="00105535">
        <w:rPr>
          <w:rFonts w:asciiTheme="majorHAnsi" w:hAnsiTheme="majorHAnsi" w:cstheme="majorHAnsi"/>
          <w:sz w:val="20"/>
          <w:szCs w:val="20"/>
        </w:rPr>
        <w:t xml:space="preserve"> John</w:t>
      </w:r>
      <w:r w:rsidRPr="00105535">
        <w:rPr>
          <w:rFonts w:asciiTheme="majorHAnsi" w:hAnsiTheme="majorHAnsi" w:cstheme="majorHAnsi"/>
          <w:sz w:val="20"/>
          <w:szCs w:val="20"/>
        </w:rPr>
        <w:t xml:space="preserve">, </w:t>
      </w:r>
      <w:r w:rsidRPr="00105535">
        <w:rPr>
          <w:rFonts w:asciiTheme="majorHAnsi" w:hAnsiTheme="majorHAnsi" w:cstheme="majorHAnsi"/>
          <w:i/>
          <w:sz w:val="20"/>
          <w:szCs w:val="20"/>
        </w:rPr>
        <w:t>No-Conscription Fellowship</w:t>
      </w:r>
      <w:r w:rsidRPr="00105535">
        <w:rPr>
          <w:rFonts w:asciiTheme="majorHAnsi" w:hAnsiTheme="majorHAnsi" w:cstheme="majorHAnsi"/>
          <w:sz w:val="20"/>
          <w:szCs w:val="20"/>
        </w:rPr>
        <w:t>, &lt;http://spartacus-educational.com/</w:t>
      </w:r>
      <w:r w:rsidRPr="00105535">
        <w:rPr>
          <w:rFonts w:asciiTheme="majorHAnsi" w:hAnsiTheme="majorHAnsi" w:cstheme="majorHAnsi"/>
          <w:sz w:val="20"/>
          <w:szCs w:val="20"/>
        </w:rPr>
        <w:t>FWWncf.htm&gt;, [accessed 8 January 2018]</w:t>
      </w:r>
    </w:p>
  </w:footnote>
  <w:footnote w:id="31">
    <w:p w:rsidR="007A3DAF" w:rsidRPr="00105535" w:rsidRDefault="008F1D9B">
      <w:pPr>
        <w:pStyle w:val="normal0"/>
        <w:spacing w:after="0" w:line="240" w:lineRule="auto"/>
        <w:rPr>
          <w:rFonts w:asciiTheme="majorHAnsi" w:hAnsiTheme="majorHAnsi" w:cstheme="majorHAnsi"/>
          <w:sz w:val="20"/>
          <w:szCs w:val="20"/>
        </w:rPr>
      </w:pPr>
      <w:r w:rsidRPr="00105535">
        <w:rPr>
          <w:rFonts w:asciiTheme="majorHAnsi" w:hAnsiTheme="majorHAnsi" w:cstheme="majorHAnsi"/>
          <w:sz w:val="20"/>
          <w:szCs w:val="20"/>
          <w:vertAlign w:val="superscript"/>
        </w:rPr>
        <w:footnoteRef/>
      </w:r>
      <w:r w:rsidR="00F23D82" w:rsidRPr="00105535">
        <w:rPr>
          <w:rFonts w:asciiTheme="majorHAnsi" w:hAnsiTheme="majorHAnsi" w:cstheme="majorHAnsi"/>
          <w:sz w:val="20"/>
          <w:szCs w:val="20"/>
        </w:rPr>
        <w:t xml:space="preserve">Bibbings, Lois, </w:t>
      </w:r>
      <w:r w:rsidR="00F23D82" w:rsidRPr="00105535">
        <w:rPr>
          <w:rFonts w:asciiTheme="majorHAnsi" w:hAnsiTheme="majorHAnsi" w:cstheme="majorHAnsi"/>
          <w:i/>
          <w:sz w:val="20"/>
          <w:szCs w:val="20"/>
        </w:rPr>
        <w:t>Images of manliness: The portrayal of soldiers and conscientious objectors in the Great War. Social &amp; Legal Studies</w:t>
      </w:r>
      <w:r w:rsidR="00F23D82" w:rsidRPr="00105535">
        <w:rPr>
          <w:rFonts w:asciiTheme="majorHAnsi" w:hAnsiTheme="majorHAnsi" w:cstheme="majorHAnsi"/>
          <w:sz w:val="20"/>
          <w:szCs w:val="20"/>
        </w:rPr>
        <w:t xml:space="preserve">, </w:t>
      </w:r>
      <w:r w:rsidR="00F23D82" w:rsidRPr="00105535">
        <w:rPr>
          <w:rFonts w:asciiTheme="majorHAnsi" w:hAnsiTheme="majorHAnsi" w:cstheme="majorHAnsi"/>
          <w:i/>
          <w:sz w:val="20"/>
          <w:szCs w:val="20"/>
        </w:rPr>
        <w:t>12</w:t>
      </w:r>
      <w:r w:rsidR="00F23D82" w:rsidRPr="00105535">
        <w:rPr>
          <w:rFonts w:asciiTheme="majorHAnsi" w:hAnsiTheme="majorHAnsi" w:cstheme="majorHAnsi"/>
          <w:sz w:val="20"/>
          <w:szCs w:val="20"/>
        </w:rPr>
        <w:t>(3), (2003), p.</w:t>
      </w:r>
      <w:r w:rsidR="004F4A7D" w:rsidRPr="00105535">
        <w:rPr>
          <w:rFonts w:asciiTheme="majorHAnsi" w:hAnsiTheme="majorHAnsi" w:cstheme="majorHAnsi"/>
          <w:sz w:val="20"/>
          <w:szCs w:val="20"/>
        </w:rPr>
        <w:t xml:space="preserve"> </w:t>
      </w:r>
      <w:r w:rsidRPr="00105535">
        <w:rPr>
          <w:rFonts w:asciiTheme="majorHAnsi" w:hAnsiTheme="majorHAnsi" w:cstheme="majorHAnsi"/>
          <w:sz w:val="20"/>
          <w:szCs w:val="20"/>
        </w:rPr>
        <w:t>324.</w:t>
      </w:r>
    </w:p>
  </w:footnote>
  <w:footnote w:id="32">
    <w:p w:rsidR="007A3DAF" w:rsidRPr="00105535" w:rsidRDefault="008F1D9B">
      <w:pPr>
        <w:pStyle w:val="normal0"/>
        <w:spacing w:after="0" w:line="240" w:lineRule="auto"/>
        <w:rPr>
          <w:rFonts w:asciiTheme="majorHAnsi" w:hAnsiTheme="majorHAnsi" w:cstheme="majorHAnsi"/>
          <w:sz w:val="20"/>
          <w:szCs w:val="20"/>
        </w:rPr>
      </w:pPr>
      <w:r w:rsidRPr="00105535">
        <w:rPr>
          <w:rFonts w:asciiTheme="majorHAnsi" w:hAnsiTheme="majorHAnsi" w:cstheme="majorHAnsi"/>
          <w:sz w:val="20"/>
          <w:szCs w:val="20"/>
          <w:vertAlign w:val="superscript"/>
        </w:rPr>
        <w:footnoteRef/>
      </w:r>
      <w:r w:rsidR="004F4A7D" w:rsidRPr="00105535">
        <w:rPr>
          <w:rFonts w:asciiTheme="majorHAnsi" w:hAnsiTheme="majorHAnsi" w:cstheme="majorHAnsi"/>
          <w:sz w:val="20"/>
          <w:szCs w:val="20"/>
        </w:rPr>
        <w:t xml:space="preserve">  Bibbings, Lois</w:t>
      </w:r>
      <w:r w:rsidR="006F041F" w:rsidRPr="00105535">
        <w:rPr>
          <w:rFonts w:asciiTheme="majorHAnsi" w:hAnsiTheme="majorHAnsi" w:cstheme="majorHAnsi"/>
          <w:sz w:val="20"/>
          <w:szCs w:val="20"/>
        </w:rPr>
        <w:t xml:space="preserve">, </w:t>
      </w:r>
      <w:r w:rsidRPr="00105535">
        <w:rPr>
          <w:rFonts w:asciiTheme="majorHAnsi" w:hAnsiTheme="majorHAnsi" w:cstheme="majorHAnsi"/>
          <w:i/>
          <w:sz w:val="20"/>
          <w:szCs w:val="20"/>
        </w:rPr>
        <w:t>Images of manliness: The portrayal of sol</w:t>
      </w:r>
      <w:r w:rsidRPr="00105535">
        <w:rPr>
          <w:rFonts w:asciiTheme="majorHAnsi" w:hAnsiTheme="majorHAnsi" w:cstheme="majorHAnsi"/>
          <w:i/>
          <w:sz w:val="20"/>
          <w:szCs w:val="20"/>
        </w:rPr>
        <w:t>diers and conscientious objectors in the Great War.</w:t>
      </w:r>
      <w:r w:rsidRPr="00105535">
        <w:rPr>
          <w:rFonts w:asciiTheme="majorHAnsi" w:hAnsiTheme="majorHAnsi" w:cstheme="majorHAnsi"/>
          <w:sz w:val="20"/>
          <w:szCs w:val="20"/>
        </w:rPr>
        <w:t xml:space="preserve"> </w:t>
      </w:r>
      <w:r w:rsidRPr="00105535">
        <w:rPr>
          <w:rFonts w:asciiTheme="majorHAnsi" w:hAnsiTheme="majorHAnsi" w:cstheme="majorHAnsi"/>
          <w:i/>
          <w:sz w:val="20"/>
          <w:szCs w:val="20"/>
        </w:rPr>
        <w:t>Social &amp; Legal Studies</w:t>
      </w:r>
      <w:r w:rsidR="006F041F" w:rsidRPr="00105535">
        <w:rPr>
          <w:rFonts w:asciiTheme="majorHAnsi" w:hAnsiTheme="majorHAnsi" w:cstheme="majorHAnsi"/>
          <w:sz w:val="20"/>
          <w:szCs w:val="20"/>
        </w:rPr>
        <w:t xml:space="preserve">, </w:t>
      </w:r>
      <w:r w:rsidRPr="00105535">
        <w:rPr>
          <w:rFonts w:asciiTheme="majorHAnsi" w:hAnsiTheme="majorHAnsi" w:cstheme="majorHAnsi"/>
          <w:i/>
          <w:sz w:val="20"/>
          <w:szCs w:val="20"/>
        </w:rPr>
        <w:t>12</w:t>
      </w:r>
      <w:r w:rsidRPr="00105535">
        <w:rPr>
          <w:rFonts w:asciiTheme="majorHAnsi" w:hAnsiTheme="majorHAnsi" w:cstheme="majorHAnsi"/>
          <w:sz w:val="20"/>
          <w:szCs w:val="20"/>
        </w:rPr>
        <w:t>(3)</w:t>
      </w:r>
      <w:r w:rsidR="006F041F" w:rsidRPr="00105535">
        <w:rPr>
          <w:rFonts w:asciiTheme="majorHAnsi" w:hAnsiTheme="majorHAnsi" w:cstheme="majorHAnsi"/>
          <w:sz w:val="20"/>
          <w:szCs w:val="20"/>
        </w:rPr>
        <w:t xml:space="preserve"> (2003)</w:t>
      </w:r>
      <w:r w:rsidRPr="00105535">
        <w:rPr>
          <w:rFonts w:asciiTheme="majorHAnsi" w:hAnsiTheme="majorHAnsi" w:cstheme="majorHAnsi"/>
          <w:sz w:val="20"/>
          <w:szCs w:val="20"/>
        </w:rPr>
        <w:t xml:space="preserve">, </w:t>
      </w:r>
      <w:r w:rsidR="006F041F" w:rsidRPr="00105535">
        <w:rPr>
          <w:rFonts w:asciiTheme="majorHAnsi" w:hAnsiTheme="majorHAnsi" w:cstheme="majorHAnsi"/>
          <w:sz w:val="20"/>
          <w:szCs w:val="20"/>
        </w:rPr>
        <w:t>p.</w:t>
      </w:r>
      <w:r w:rsidRPr="00105535">
        <w:rPr>
          <w:rFonts w:asciiTheme="majorHAnsi" w:hAnsiTheme="majorHAnsi" w:cstheme="majorHAnsi"/>
          <w:sz w:val="20"/>
          <w:szCs w:val="20"/>
        </w:rPr>
        <w:t>324.</w:t>
      </w:r>
    </w:p>
  </w:footnote>
  <w:footnote w:id="33">
    <w:p w:rsidR="007A3DAF" w:rsidRPr="00105535" w:rsidRDefault="008F1D9B">
      <w:pPr>
        <w:pStyle w:val="normal0"/>
        <w:spacing w:after="0" w:line="240" w:lineRule="auto"/>
        <w:rPr>
          <w:rFonts w:asciiTheme="majorHAnsi" w:hAnsiTheme="majorHAnsi" w:cstheme="majorHAnsi"/>
          <w:sz w:val="20"/>
          <w:szCs w:val="20"/>
        </w:rPr>
      </w:pPr>
      <w:r w:rsidRPr="00105535">
        <w:rPr>
          <w:rFonts w:asciiTheme="majorHAnsi" w:hAnsiTheme="majorHAnsi" w:cstheme="majorHAnsi"/>
          <w:sz w:val="20"/>
          <w:szCs w:val="20"/>
          <w:vertAlign w:val="superscript"/>
        </w:rPr>
        <w:footnoteRef/>
      </w:r>
      <w:r w:rsidR="00F23D82" w:rsidRPr="00105535">
        <w:rPr>
          <w:rFonts w:asciiTheme="majorHAnsi" w:hAnsiTheme="majorHAnsi" w:cstheme="majorHAnsi"/>
          <w:sz w:val="20"/>
          <w:szCs w:val="20"/>
        </w:rPr>
        <w:t xml:space="preserve">  Ibid. p. 324</w:t>
      </w:r>
    </w:p>
  </w:footnote>
  <w:footnote w:id="34">
    <w:p w:rsidR="007A3DAF" w:rsidRPr="00105535" w:rsidRDefault="008F1D9B">
      <w:pPr>
        <w:pStyle w:val="normal0"/>
        <w:spacing w:after="0" w:line="240" w:lineRule="auto"/>
        <w:rPr>
          <w:rFonts w:asciiTheme="majorHAnsi" w:hAnsiTheme="majorHAnsi" w:cstheme="majorHAnsi"/>
          <w:sz w:val="20"/>
          <w:szCs w:val="20"/>
        </w:rPr>
      </w:pPr>
      <w:r w:rsidRPr="00105535">
        <w:rPr>
          <w:rFonts w:asciiTheme="majorHAnsi" w:hAnsiTheme="majorHAnsi" w:cstheme="majorHAnsi"/>
          <w:sz w:val="20"/>
          <w:szCs w:val="20"/>
          <w:vertAlign w:val="superscript"/>
        </w:rPr>
        <w:footnoteRef/>
      </w:r>
      <w:r w:rsidR="00E84BB5" w:rsidRPr="00105535">
        <w:rPr>
          <w:rFonts w:asciiTheme="majorHAnsi" w:hAnsiTheme="majorHAnsi" w:cstheme="majorHAnsi"/>
          <w:sz w:val="20"/>
          <w:szCs w:val="20"/>
        </w:rPr>
        <w:t xml:space="preserve">  </w:t>
      </w:r>
      <w:r w:rsidR="00F23D82" w:rsidRPr="00105535">
        <w:rPr>
          <w:rFonts w:asciiTheme="majorHAnsi" w:hAnsiTheme="majorHAnsi" w:cstheme="majorHAnsi"/>
          <w:sz w:val="20"/>
          <w:szCs w:val="20"/>
        </w:rPr>
        <w:t>Ibid. p. 324</w:t>
      </w:r>
    </w:p>
  </w:footnote>
  <w:footnote w:id="35">
    <w:p w:rsidR="007A3DAF" w:rsidRPr="00105535" w:rsidRDefault="008F1D9B">
      <w:pPr>
        <w:pStyle w:val="normal0"/>
        <w:spacing w:after="0" w:line="240" w:lineRule="auto"/>
        <w:rPr>
          <w:rFonts w:asciiTheme="majorHAnsi" w:hAnsiTheme="majorHAnsi" w:cstheme="majorHAnsi"/>
          <w:sz w:val="20"/>
          <w:szCs w:val="20"/>
        </w:rPr>
      </w:pPr>
      <w:r w:rsidRPr="00105535">
        <w:rPr>
          <w:rFonts w:asciiTheme="majorHAnsi" w:hAnsiTheme="majorHAnsi" w:cstheme="majorHAnsi"/>
          <w:sz w:val="20"/>
          <w:szCs w:val="20"/>
          <w:vertAlign w:val="superscript"/>
        </w:rPr>
        <w:footnoteRef/>
      </w:r>
      <w:r w:rsidRPr="00105535">
        <w:rPr>
          <w:rFonts w:asciiTheme="majorHAnsi" w:hAnsiTheme="majorHAnsi" w:cstheme="majorHAnsi"/>
          <w:sz w:val="20"/>
          <w:szCs w:val="20"/>
        </w:rPr>
        <w:t xml:space="preserve"> </w:t>
      </w:r>
      <w:r w:rsidRPr="00105535">
        <w:rPr>
          <w:rFonts w:asciiTheme="majorHAnsi" w:eastAsia="Arial" w:hAnsiTheme="majorHAnsi" w:cstheme="majorHAnsi"/>
          <w:color w:val="222222"/>
          <w:sz w:val="20"/>
          <w:szCs w:val="20"/>
          <w:highlight w:val="white"/>
        </w:rPr>
        <w:t xml:space="preserve">Gregory, </w:t>
      </w:r>
      <w:r w:rsidR="004F4A7D" w:rsidRPr="00105535">
        <w:rPr>
          <w:rFonts w:asciiTheme="majorHAnsi" w:eastAsia="Arial" w:hAnsiTheme="majorHAnsi" w:cstheme="majorHAnsi"/>
          <w:color w:val="222222"/>
          <w:sz w:val="20"/>
          <w:szCs w:val="20"/>
          <w:highlight w:val="white"/>
        </w:rPr>
        <w:t>Adrian</w:t>
      </w:r>
      <w:r w:rsidR="006F041F" w:rsidRPr="00105535">
        <w:rPr>
          <w:rFonts w:asciiTheme="majorHAnsi" w:eastAsia="Arial" w:hAnsiTheme="majorHAnsi" w:cstheme="majorHAnsi"/>
          <w:color w:val="222222"/>
          <w:sz w:val="20"/>
          <w:szCs w:val="20"/>
          <w:highlight w:val="white"/>
        </w:rPr>
        <w:t xml:space="preserve">, </w:t>
      </w:r>
      <w:r w:rsidRPr="00105535">
        <w:rPr>
          <w:rFonts w:asciiTheme="majorHAnsi" w:eastAsia="Arial" w:hAnsiTheme="majorHAnsi" w:cstheme="majorHAnsi"/>
          <w:i/>
          <w:color w:val="222222"/>
          <w:sz w:val="20"/>
          <w:szCs w:val="20"/>
          <w:highlight w:val="white"/>
        </w:rPr>
        <w:t>The last great war: British society and the first world war</w:t>
      </w:r>
      <w:r w:rsidR="006F041F" w:rsidRPr="00105535">
        <w:rPr>
          <w:rFonts w:asciiTheme="majorHAnsi" w:eastAsia="Arial" w:hAnsiTheme="majorHAnsi" w:cstheme="majorHAnsi"/>
          <w:color w:val="222222"/>
          <w:sz w:val="20"/>
          <w:szCs w:val="20"/>
          <w:highlight w:val="white"/>
        </w:rPr>
        <w:t>,</w:t>
      </w:r>
      <w:r w:rsidRPr="00105535">
        <w:rPr>
          <w:rFonts w:asciiTheme="majorHAnsi" w:eastAsia="Arial" w:hAnsiTheme="majorHAnsi" w:cstheme="majorHAnsi"/>
          <w:color w:val="222222"/>
          <w:sz w:val="20"/>
          <w:szCs w:val="20"/>
          <w:highlight w:val="white"/>
        </w:rPr>
        <w:t xml:space="preserve"> </w:t>
      </w:r>
      <w:r w:rsidR="006F041F" w:rsidRPr="00105535">
        <w:rPr>
          <w:rFonts w:asciiTheme="majorHAnsi" w:eastAsia="Arial" w:hAnsiTheme="majorHAnsi" w:cstheme="majorHAnsi"/>
          <w:color w:val="222222"/>
          <w:sz w:val="20"/>
          <w:szCs w:val="20"/>
          <w:highlight w:val="white"/>
        </w:rPr>
        <w:t>(</w:t>
      </w:r>
      <w:r w:rsidRPr="00105535">
        <w:rPr>
          <w:rFonts w:asciiTheme="majorHAnsi" w:eastAsia="Arial" w:hAnsiTheme="majorHAnsi" w:cstheme="majorHAnsi"/>
          <w:color w:val="222222"/>
          <w:sz w:val="20"/>
          <w:szCs w:val="20"/>
          <w:highlight w:val="white"/>
        </w:rPr>
        <w:t>Cambridge</w:t>
      </w:r>
      <w:r w:rsidR="006F041F" w:rsidRPr="00105535">
        <w:rPr>
          <w:rFonts w:asciiTheme="majorHAnsi" w:eastAsia="Arial" w:hAnsiTheme="majorHAnsi" w:cstheme="majorHAnsi"/>
          <w:color w:val="222222"/>
          <w:sz w:val="20"/>
          <w:szCs w:val="20"/>
          <w:highlight w:val="white"/>
        </w:rPr>
        <w:t>: University Press</w:t>
      </w:r>
      <w:r w:rsidR="006F041F" w:rsidRPr="00105535">
        <w:rPr>
          <w:rFonts w:asciiTheme="majorHAnsi" w:eastAsia="Arial" w:hAnsiTheme="majorHAnsi" w:cstheme="majorHAnsi"/>
          <w:color w:val="222222"/>
          <w:sz w:val="20"/>
          <w:szCs w:val="20"/>
        </w:rPr>
        <w:t>, 2008)</w:t>
      </w:r>
    </w:p>
  </w:footnote>
  <w:footnote w:id="36">
    <w:p w:rsidR="007A3DAF" w:rsidRPr="00105535" w:rsidRDefault="008F1D9B">
      <w:pPr>
        <w:pStyle w:val="normal0"/>
        <w:spacing w:after="0" w:line="240" w:lineRule="auto"/>
        <w:rPr>
          <w:rFonts w:asciiTheme="majorHAnsi" w:hAnsiTheme="majorHAnsi" w:cstheme="majorHAnsi"/>
          <w:sz w:val="20"/>
          <w:szCs w:val="20"/>
        </w:rPr>
      </w:pPr>
      <w:r w:rsidRPr="00105535">
        <w:rPr>
          <w:rFonts w:asciiTheme="majorHAnsi" w:hAnsiTheme="majorHAnsi" w:cstheme="majorHAnsi"/>
          <w:sz w:val="20"/>
          <w:szCs w:val="20"/>
          <w:vertAlign w:val="superscript"/>
        </w:rPr>
        <w:footnoteRef/>
      </w:r>
      <w:r w:rsidRPr="00105535">
        <w:rPr>
          <w:rFonts w:asciiTheme="majorHAnsi" w:hAnsiTheme="majorHAnsi" w:cstheme="majorHAnsi"/>
          <w:sz w:val="20"/>
          <w:szCs w:val="20"/>
        </w:rPr>
        <w:t xml:space="preserve"> </w:t>
      </w:r>
      <w:r w:rsidR="004F4A7D" w:rsidRPr="00105535">
        <w:rPr>
          <w:rFonts w:asciiTheme="majorHAnsi" w:eastAsia="Arial" w:hAnsiTheme="majorHAnsi" w:cstheme="majorHAnsi"/>
          <w:color w:val="222222"/>
          <w:sz w:val="20"/>
          <w:szCs w:val="20"/>
          <w:highlight w:val="white"/>
        </w:rPr>
        <w:t>Bibbings, Lois</w:t>
      </w:r>
      <w:r w:rsidR="006F041F" w:rsidRPr="00105535">
        <w:rPr>
          <w:rFonts w:asciiTheme="majorHAnsi" w:eastAsia="Arial" w:hAnsiTheme="majorHAnsi" w:cstheme="majorHAnsi"/>
          <w:color w:val="222222"/>
          <w:sz w:val="20"/>
          <w:szCs w:val="20"/>
          <w:highlight w:val="white"/>
        </w:rPr>
        <w:t xml:space="preserve">, </w:t>
      </w:r>
      <w:r w:rsidRPr="00105535">
        <w:rPr>
          <w:rFonts w:asciiTheme="majorHAnsi" w:eastAsia="Arial" w:hAnsiTheme="majorHAnsi" w:cstheme="majorHAnsi"/>
          <w:i/>
          <w:color w:val="222222"/>
          <w:sz w:val="20"/>
          <w:szCs w:val="20"/>
          <w:highlight w:val="white"/>
        </w:rPr>
        <w:t>Telling tales about men: conceptions of conscientious objectors to military service during the First World War</w:t>
      </w:r>
      <w:r w:rsidR="006F041F" w:rsidRPr="00105535">
        <w:rPr>
          <w:rFonts w:asciiTheme="majorHAnsi" w:eastAsia="Arial" w:hAnsiTheme="majorHAnsi" w:cstheme="majorHAnsi"/>
          <w:color w:val="222222"/>
          <w:sz w:val="20"/>
          <w:szCs w:val="20"/>
          <w:highlight w:val="white"/>
        </w:rPr>
        <w:t>,</w:t>
      </w:r>
      <w:r w:rsidRPr="00105535">
        <w:rPr>
          <w:rFonts w:asciiTheme="majorHAnsi" w:eastAsia="Arial" w:hAnsiTheme="majorHAnsi" w:cstheme="majorHAnsi"/>
          <w:color w:val="222222"/>
          <w:sz w:val="20"/>
          <w:szCs w:val="20"/>
          <w:highlight w:val="white"/>
        </w:rPr>
        <w:t xml:space="preserve"> </w:t>
      </w:r>
      <w:r w:rsidR="006F041F" w:rsidRPr="00105535">
        <w:rPr>
          <w:rFonts w:asciiTheme="majorHAnsi" w:eastAsia="Arial" w:hAnsiTheme="majorHAnsi" w:cstheme="majorHAnsi"/>
          <w:color w:val="222222"/>
          <w:sz w:val="20"/>
          <w:szCs w:val="20"/>
          <w:highlight w:val="white"/>
        </w:rPr>
        <w:t>(Manchester University Press</w:t>
      </w:r>
      <w:r w:rsidR="006F041F" w:rsidRPr="00105535">
        <w:rPr>
          <w:rFonts w:asciiTheme="majorHAnsi" w:eastAsia="Arial" w:hAnsiTheme="majorHAnsi" w:cstheme="majorHAnsi"/>
          <w:color w:val="222222"/>
          <w:sz w:val="20"/>
          <w:szCs w:val="20"/>
        </w:rPr>
        <w:t>, 2009)</w:t>
      </w:r>
    </w:p>
  </w:footnote>
  <w:footnote w:id="37">
    <w:p w:rsidR="007A3DAF" w:rsidRPr="00105535" w:rsidRDefault="008F1D9B">
      <w:pPr>
        <w:pStyle w:val="normal0"/>
        <w:spacing w:after="0" w:line="240" w:lineRule="auto"/>
        <w:rPr>
          <w:rFonts w:asciiTheme="majorHAnsi" w:hAnsiTheme="majorHAnsi" w:cstheme="majorHAnsi"/>
          <w:sz w:val="20"/>
          <w:szCs w:val="20"/>
        </w:rPr>
      </w:pPr>
      <w:r w:rsidRPr="00105535">
        <w:rPr>
          <w:rFonts w:asciiTheme="majorHAnsi" w:hAnsiTheme="majorHAnsi" w:cstheme="majorHAnsi"/>
          <w:sz w:val="20"/>
          <w:szCs w:val="20"/>
          <w:vertAlign w:val="superscript"/>
        </w:rPr>
        <w:footnoteRef/>
      </w:r>
      <w:r w:rsidR="004F4A7D" w:rsidRPr="00105535">
        <w:rPr>
          <w:rFonts w:asciiTheme="majorHAnsi" w:hAnsiTheme="majorHAnsi" w:cstheme="majorHAnsi"/>
          <w:sz w:val="20"/>
          <w:szCs w:val="20"/>
        </w:rPr>
        <w:t xml:space="preserve"> Bibbings, Lois</w:t>
      </w:r>
      <w:r w:rsidR="006F041F" w:rsidRPr="00105535">
        <w:rPr>
          <w:rFonts w:asciiTheme="majorHAnsi" w:hAnsiTheme="majorHAnsi" w:cstheme="majorHAnsi"/>
          <w:sz w:val="20"/>
          <w:szCs w:val="20"/>
        </w:rPr>
        <w:t xml:space="preserve">, </w:t>
      </w:r>
      <w:r w:rsidRPr="00105535">
        <w:rPr>
          <w:rFonts w:asciiTheme="majorHAnsi" w:hAnsiTheme="majorHAnsi" w:cstheme="majorHAnsi"/>
          <w:i/>
          <w:sz w:val="20"/>
          <w:szCs w:val="20"/>
        </w:rPr>
        <w:t xml:space="preserve">Images of manliness: The portrayal of soldiers and conscientious objectors in the Great War. </w:t>
      </w:r>
      <w:r w:rsidRPr="00105535">
        <w:rPr>
          <w:rFonts w:asciiTheme="majorHAnsi" w:hAnsiTheme="majorHAnsi" w:cstheme="majorHAnsi"/>
          <w:i/>
          <w:sz w:val="20"/>
          <w:szCs w:val="20"/>
        </w:rPr>
        <w:t>Social &amp; Legal Studies</w:t>
      </w:r>
      <w:r w:rsidRPr="00105535">
        <w:rPr>
          <w:rFonts w:asciiTheme="majorHAnsi" w:hAnsiTheme="majorHAnsi" w:cstheme="majorHAnsi"/>
          <w:i/>
          <w:sz w:val="20"/>
          <w:szCs w:val="20"/>
        </w:rPr>
        <w:t>,</w:t>
      </w:r>
      <w:r w:rsidRPr="00105535">
        <w:rPr>
          <w:rFonts w:asciiTheme="majorHAnsi" w:hAnsiTheme="majorHAnsi" w:cstheme="majorHAnsi"/>
          <w:sz w:val="20"/>
          <w:szCs w:val="20"/>
        </w:rPr>
        <w:t xml:space="preserve"> </w:t>
      </w:r>
      <w:r w:rsidRPr="00105535">
        <w:rPr>
          <w:rFonts w:asciiTheme="majorHAnsi" w:hAnsiTheme="majorHAnsi" w:cstheme="majorHAnsi"/>
          <w:i/>
          <w:sz w:val="20"/>
          <w:szCs w:val="20"/>
        </w:rPr>
        <w:t>12</w:t>
      </w:r>
      <w:r w:rsidRPr="00105535">
        <w:rPr>
          <w:rFonts w:asciiTheme="majorHAnsi" w:hAnsiTheme="majorHAnsi" w:cstheme="majorHAnsi"/>
          <w:sz w:val="20"/>
          <w:szCs w:val="20"/>
        </w:rPr>
        <w:t>(3),</w:t>
      </w:r>
      <w:r w:rsidR="006F041F" w:rsidRPr="00105535">
        <w:rPr>
          <w:rFonts w:asciiTheme="majorHAnsi" w:hAnsiTheme="majorHAnsi" w:cstheme="majorHAnsi"/>
          <w:sz w:val="20"/>
          <w:szCs w:val="20"/>
        </w:rPr>
        <w:t xml:space="preserve"> (2003), pp.</w:t>
      </w:r>
      <w:r w:rsidRPr="00105535">
        <w:rPr>
          <w:rFonts w:asciiTheme="majorHAnsi" w:hAnsiTheme="majorHAnsi" w:cstheme="majorHAnsi"/>
          <w:sz w:val="20"/>
          <w:szCs w:val="20"/>
        </w:rPr>
        <w:t xml:space="preserve"> 346-347.</w:t>
      </w:r>
    </w:p>
  </w:footnote>
  <w:footnote w:id="38">
    <w:p w:rsidR="007A3DAF" w:rsidRPr="00105535" w:rsidRDefault="008F1D9B">
      <w:pPr>
        <w:pStyle w:val="normal0"/>
        <w:spacing w:after="0" w:line="240" w:lineRule="auto"/>
        <w:rPr>
          <w:rFonts w:asciiTheme="majorHAnsi" w:hAnsiTheme="majorHAnsi" w:cstheme="majorHAnsi"/>
          <w:sz w:val="20"/>
          <w:szCs w:val="20"/>
        </w:rPr>
      </w:pPr>
      <w:r w:rsidRPr="00105535">
        <w:rPr>
          <w:rFonts w:asciiTheme="majorHAnsi" w:hAnsiTheme="majorHAnsi" w:cstheme="majorHAnsi"/>
          <w:sz w:val="20"/>
          <w:szCs w:val="20"/>
          <w:vertAlign w:val="superscript"/>
        </w:rPr>
        <w:footnoteRef/>
      </w:r>
      <w:r w:rsidRPr="00105535">
        <w:rPr>
          <w:rFonts w:asciiTheme="majorHAnsi" w:hAnsiTheme="majorHAnsi" w:cstheme="majorHAnsi"/>
          <w:sz w:val="20"/>
          <w:szCs w:val="20"/>
        </w:rPr>
        <w:t xml:space="preserve"> </w:t>
      </w:r>
      <w:r w:rsidR="000616E0" w:rsidRPr="00105535">
        <w:rPr>
          <w:rFonts w:asciiTheme="majorHAnsi" w:eastAsia="Arial" w:hAnsiTheme="majorHAnsi" w:cstheme="majorHAnsi"/>
          <w:color w:val="222222"/>
          <w:sz w:val="20"/>
          <w:szCs w:val="20"/>
          <w:highlight w:val="white"/>
        </w:rPr>
        <w:t>Bibbings, Lois</w:t>
      </w:r>
      <w:r w:rsidR="00E84BB5" w:rsidRPr="00105535">
        <w:rPr>
          <w:rFonts w:asciiTheme="majorHAnsi" w:eastAsia="Arial" w:hAnsiTheme="majorHAnsi" w:cstheme="majorHAnsi"/>
          <w:color w:val="222222"/>
          <w:sz w:val="20"/>
          <w:szCs w:val="20"/>
          <w:highlight w:val="white"/>
        </w:rPr>
        <w:t xml:space="preserve">, </w:t>
      </w:r>
      <w:r w:rsidRPr="00105535">
        <w:rPr>
          <w:rFonts w:asciiTheme="majorHAnsi" w:eastAsia="Arial" w:hAnsiTheme="majorHAnsi" w:cstheme="majorHAnsi"/>
          <w:i/>
          <w:color w:val="222222"/>
          <w:sz w:val="20"/>
          <w:szCs w:val="20"/>
          <w:highlight w:val="white"/>
        </w:rPr>
        <w:t>Telling tales about men: conceptions of conscientious objectors to military service during the First World War</w:t>
      </w:r>
      <w:r w:rsidR="00E84BB5" w:rsidRPr="00105535">
        <w:rPr>
          <w:rFonts w:asciiTheme="majorHAnsi" w:eastAsia="Arial" w:hAnsiTheme="majorHAnsi" w:cstheme="majorHAnsi"/>
          <w:color w:val="222222"/>
          <w:sz w:val="20"/>
          <w:szCs w:val="20"/>
          <w:highlight w:val="white"/>
        </w:rPr>
        <w:t>,</w:t>
      </w:r>
      <w:r w:rsidRPr="00105535">
        <w:rPr>
          <w:rFonts w:asciiTheme="majorHAnsi" w:eastAsia="Arial" w:hAnsiTheme="majorHAnsi" w:cstheme="majorHAnsi"/>
          <w:color w:val="222222"/>
          <w:sz w:val="20"/>
          <w:szCs w:val="20"/>
          <w:highlight w:val="white"/>
        </w:rPr>
        <w:t xml:space="preserve"> </w:t>
      </w:r>
      <w:r w:rsidR="00E84BB5" w:rsidRPr="00105535">
        <w:rPr>
          <w:rFonts w:asciiTheme="majorHAnsi" w:eastAsia="Arial" w:hAnsiTheme="majorHAnsi" w:cstheme="majorHAnsi"/>
          <w:color w:val="222222"/>
          <w:sz w:val="20"/>
          <w:szCs w:val="20"/>
          <w:highlight w:val="white"/>
        </w:rPr>
        <w:t>(Manchester University Press</w:t>
      </w:r>
      <w:r w:rsidR="00E84BB5" w:rsidRPr="00105535">
        <w:rPr>
          <w:rFonts w:asciiTheme="majorHAnsi" w:eastAsia="Arial" w:hAnsiTheme="majorHAnsi" w:cstheme="majorHAnsi"/>
          <w:color w:val="222222"/>
          <w:sz w:val="20"/>
          <w:szCs w:val="20"/>
        </w:rPr>
        <w:t>, 2009)</w:t>
      </w:r>
    </w:p>
  </w:footnote>
  <w:footnote w:id="39">
    <w:p w:rsidR="007A3DAF" w:rsidRPr="00105535" w:rsidRDefault="008F1D9B">
      <w:pPr>
        <w:pStyle w:val="normal0"/>
        <w:spacing w:after="0" w:line="240" w:lineRule="auto"/>
        <w:rPr>
          <w:rFonts w:asciiTheme="majorHAnsi" w:hAnsiTheme="majorHAnsi" w:cstheme="majorHAnsi"/>
          <w:sz w:val="20"/>
          <w:szCs w:val="20"/>
        </w:rPr>
      </w:pPr>
      <w:r w:rsidRPr="00105535">
        <w:rPr>
          <w:rFonts w:asciiTheme="majorHAnsi" w:hAnsiTheme="majorHAnsi" w:cstheme="majorHAnsi"/>
          <w:sz w:val="20"/>
          <w:szCs w:val="20"/>
          <w:vertAlign w:val="superscript"/>
        </w:rPr>
        <w:footnoteRef/>
      </w:r>
      <w:r w:rsidRPr="00105535">
        <w:rPr>
          <w:rFonts w:asciiTheme="majorHAnsi" w:hAnsiTheme="majorHAnsi" w:cstheme="majorHAnsi"/>
          <w:sz w:val="20"/>
          <w:szCs w:val="20"/>
        </w:rPr>
        <w:t xml:space="preserve"> </w:t>
      </w:r>
      <w:r w:rsidRPr="00105535">
        <w:rPr>
          <w:rFonts w:asciiTheme="majorHAnsi" w:eastAsia="Arial" w:hAnsiTheme="majorHAnsi" w:cstheme="majorHAnsi"/>
          <w:color w:val="222222"/>
          <w:sz w:val="20"/>
          <w:szCs w:val="20"/>
          <w:highlight w:val="white"/>
        </w:rPr>
        <w:t>Gregory, A</w:t>
      </w:r>
      <w:r w:rsidR="004F4A7D" w:rsidRPr="00105535">
        <w:rPr>
          <w:rFonts w:asciiTheme="majorHAnsi" w:eastAsia="Arial" w:hAnsiTheme="majorHAnsi" w:cstheme="majorHAnsi"/>
          <w:color w:val="222222"/>
          <w:sz w:val="20"/>
          <w:szCs w:val="20"/>
          <w:highlight w:val="white"/>
        </w:rPr>
        <w:t>drian</w:t>
      </w:r>
      <w:r w:rsidR="00E84BB5" w:rsidRPr="00105535">
        <w:rPr>
          <w:rFonts w:asciiTheme="majorHAnsi" w:eastAsia="Arial" w:hAnsiTheme="majorHAnsi" w:cstheme="majorHAnsi"/>
          <w:color w:val="222222"/>
          <w:sz w:val="20"/>
          <w:szCs w:val="20"/>
          <w:highlight w:val="white"/>
        </w:rPr>
        <w:t xml:space="preserve">, </w:t>
      </w:r>
      <w:r w:rsidRPr="00105535">
        <w:rPr>
          <w:rFonts w:asciiTheme="majorHAnsi" w:eastAsia="Arial" w:hAnsiTheme="majorHAnsi" w:cstheme="majorHAnsi"/>
          <w:i/>
          <w:color w:val="222222"/>
          <w:sz w:val="20"/>
          <w:szCs w:val="20"/>
          <w:highlight w:val="white"/>
        </w:rPr>
        <w:t>The last great war: British society and the first world war</w:t>
      </w:r>
      <w:r w:rsidRPr="00105535">
        <w:rPr>
          <w:rFonts w:asciiTheme="majorHAnsi" w:eastAsia="Arial" w:hAnsiTheme="majorHAnsi" w:cstheme="majorHAnsi"/>
          <w:color w:val="222222"/>
          <w:sz w:val="20"/>
          <w:szCs w:val="20"/>
          <w:highlight w:val="white"/>
        </w:rPr>
        <w:t xml:space="preserve">. </w:t>
      </w:r>
      <w:r w:rsidR="00E84BB5" w:rsidRPr="00105535">
        <w:rPr>
          <w:rFonts w:asciiTheme="majorHAnsi" w:eastAsia="Arial" w:hAnsiTheme="majorHAnsi" w:cstheme="majorHAnsi"/>
          <w:color w:val="222222"/>
          <w:sz w:val="20"/>
          <w:szCs w:val="20"/>
          <w:highlight w:val="white"/>
        </w:rPr>
        <w:t>(Cambridge University Press</w:t>
      </w:r>
      <w:r w:rsidR="00E84BB5" w:rsidRPr="00105535">
        <w:rPr>
          <w:rFonts w:asciiTheme="majorHAnsi" w:eastAsia="Arial" w:hAnsiTheme="majorHAnsi" w:cstheme="majorHAnsi"/>
          <w:color w:val="222222"/>
          <w:sz w:val="20"/>
          <w:szCs w:val="20"/>
        </w:rPr>
        <w:t>, 2008)</w:t>
      </w:r>
    </w:p>
  </w:footnote>
  <w:footnote w:id="40">
    <w:p w:rsidR="007A3DAF" w:rsidRPr="00105535" w:rsidRDefault="008F1D9B">
      <w:pPr>
        <w:pStyle w:val="normal0"/>
        <w:spacing w:after="0" w:line="240" w:lineRule="auto"/>
        <w:rPr>
          <w:rFonts w:asciiTheme="majorHAnsi" w:hAnsiTheme="majorHAnsi" w:cstheme="majorHAnsi"/>
          <w:sz w:val="20"/>
          <w:szCs w:val="20"/>
        </w:rPr>
      </w:pPr>
      <w:r w:rsidRPr="00105535">
        <w:rPr>
          <w:rFonts w:asciiTheme="majorHAnsi" w:hAnsiTheme="majorHAnsi" w:cstheme="majorHAnsi"/>
          <w:sz w:val="20"/>
          <w:szCs w:val="20"/>
          <w:vertAlign w:val="superscript"/>
        </w:rPr>
        <w:footnoteRef/>
      </w:r>
      <w:r w:rsidRPr="00105535">
        <w:rPr>
          <w:rFonts w:asciiTheme="majorHAnsi" w:hAnsiTheme="majorHAnsi" w:cstheme="majorHAnsi"/>
          <w:sz w:val="20"/>
          <w:szCs w:val="20"/>
        </w:rPr>
        <w:t xml:space="preserve">  </w:t>
      </w:r>
      <w:r w:rsidR="000616E0" w:rsidRPr="00105535">
        <w:rPr>
          <w:rFonts w:asciiTheme="majorHAnsi" w:eastAsia="Arial" w:hAnsiTheme="majorHAnsi" w:cstheme="majorHAnsi"/>
          <w:color w:val="222222"/>
          <w:sz w:val="20"/>
          <w:szCs w:val="20"/>
          <w:highlight w:val="white"/>
        </w:rPr>
        <w:t>De Groot, Gerard</w:t>
      </w:r>
      <w:r w:rsidR="00E84BB5" w:rsidRPr="00105535">
        <w:rPr>
          <w:rFonts w:asciiTheme="majorHAnsi" w:eastAsia="Arial" w:hAnsiTheme="majorHAnsi" w:cstheme="majorHAnsi"/>
          <w:color w:val="222222"/>
          <w:sz w:val="20"/>
          <w:szCs w:val="20"/>
          <w:highlight w:val="white"/>
        </w:rPr>
        <w:t xml:space="preserve">, </w:t>
      </w:r>
      <w:r w:rsidRPr="00105535">
        <w:rPr>
          <w:rFonts w:asciiTheme="majorHAnsi" w:eastAsia="Arial" w:hAnsiTheme="majorHAnsi" w:cstheme="majorHAnsi"/>
          <w:i/>
          <w:color w:val="222222"/>
          <w:sz w:val="20"/>
          <w:szCs w:val="20"/>
          <w:highlight w:val="white"/>
        </w:rPr>
        <w:t>Blighty: British Society in the era of t</w:t>
      </w:r>
      <w:r w:rsidRPr="00105535">
        <w:rPr>
          <w:rFonts w:asciiTheme="majorHAnsi" w:eastAsia="Arial" w:hAnsiTheme="majorHAnsi" w:cstheme="majorHAnsi"/>
          <w:i/>
          <w:color w:val="222222"/>
          <w:sz w:val="20"/>
          <w:szCs w:val="20"/>
          <w:highlight w:val="white"/>
        </w:rPr>
        <w:t>he Great War</w:t>
      </w:r>
      <w:r w:rsidR="00E84BB5" w:rsidRPr="00105535">
        <w:rPr>
          <w:rFonts w:asciiTheme="majorHAnsi" w:eastAsia="Arial" w:hAnsiTheme="majorHAnsi" w:cstheme="majorHAnsi"/>
          <w:color w:val="222222"/>
          <w:sz w:val="20"/>
          <w:szCs w:val="20"/>
          <w:highlight w:val="white"/>
        </w:rPr>
        <w:t>,</w:t>
      </w:r>
      <w:r w:rsidRPr="00105535">
        <w:rPr>
          <w:rFonts w:asciiTheme="majorHAnsi" w:eastAsia="Arial" w:hAnsiTheme="majorHAnsi" w:cstheme="majorHAnsi"/>
          <w:color w:val="222222"/>
          <w:sz w:val="20"/>
          <w:szCs w:val="20"/>
          <w:highlight w:val="white"/>
        </w:rPr>
        <w:t xml:space="preserve"> </w:t>
      </w:r>
      <w:r w:rsidR="00E84BB5" w:rsidRPr="00105535">
        <w:rPr>
          <w:rFonts w:asciiTheme="majorHAnsi" w:eastAsia="Arial" w:hAnsiTheme="majorHAnsi" w:cstheme="majorHAnsi"/>
          <w:color w:val="222222"/>
          <w:sz w:val="20"/>
          <w:szCs w:val="20"/>
          <w:highlight w:val="white"/>
        </w:rPr>
        <w:t>(</w:t>
      </w:r>
      <w:r w:rsidRPr="00105535">
        <w:rPr>
          <w:rFonts w:asciiTheme="majorHAnsi" w:eastAsia="Arial" w:hAnsiTheme="majorHAnsi" w:cstheme="majorHAnsi"/>
          <w:color w:val="222222"/>
          <w:sz w:val="20"/>
          <w:szCs w:val="20"/>
          <w:highlight w:val="white"/>
        </w:rPr>
        <w:t>Addison-Wesley</w:t>
      </w:r>
      <w:r w:rsidR="00E84BB5" w:rsidRPr="00105535">
        <w:rPr>
          <w:rFonts w:asciiTheme="majorHAnsi" w:eastAsia="Arial" w:hAnsiTheme="majorHAnsi" w:cstheme="majorHAnsi"/>
          <w:color w:val="222222"/>
          <w:sz w:val="20"/>
          <w:szCs w:val="20"/>
          <w:highlight w:val="white"/>
        </w:rPr>
        <w:t xml:space="preserve"> Longman</w:t>
      </w:r>
      <w:r w:rsidR="00E84BB5" w:rsidRPr="00105535">
        <w:rPr>
          <w:rFonts w:asciiTheme="majorHAnsi" w:eastAsia="Arial" w:hAnsiTheme="majorHAnsi" w:cstheme="majorHAnsi"/>
          <w:color w:val="222222"/>
          <w:sz w:val="20"/>
          <w:szCs w:val="20"/>
        </w:rPr>
        <w:t>, 1996)</w:t>
      </w:r>
    </w:p>
  </w:footnote>
  <w:footnote w:id="41">
    <w:p w:rsidR="007A3DAF" w:rsidRPr="00105535" w:rsidRDefault="008F1D9B">
      <w:pPr>
        <w:pStyle w:val="normal0"/>
        <w:spacing w:after="0" w:line="240" w:lineRule="auto"/>
        <w:rPr>
          <w:rFonts w:asciiTheme="majorHAnsi" w:hAnsiTheme="majorHAnsi" w:cstheme="majorHAnsi"/>
          <w:sz w:val="20"/>
          <w:szCs w:val="20"/>
        </w:rPr>
      </w:pPr>
      <w:r w:rsidRPr="00105535">
        <w:rPr>
          <w:rFonts w:asciiTheme="majorHAnsi" w:hAnsiTheme="majorHAnsi" w:cstheme="majorHAnsi"/>
          <w:sz w:val="20"/>
          <w:szCs w:val="20"/>
          <w:vertAlign w:val="superscript"/>
        </w:rPr>
        <w:footnoteRef/>
      </w:r>
      <w:r w:rsidRPr="00105535">
        <w:rPr>
          <w:rFonts w:asciiTheme="majorHAnsi" w:hAnsiTheme="majorHAnsi" w:cstheme="majorHAnsi"/>
          <w:sz w:val="20"/>
          <w:szCs w:val="20"/>
        </w:rPr>
        <w:t xml:space="preserve"> </w:t>
      </w:r>
      <w:r w:rsidR="00E84BB5" w:rsidRPr="00105535">
        <w:rPr>
          <w:rFonts w:asciiTheme="majorHAnsi" w:eastAsia="Arial" w:hAnsiTheme="majorHAnsi" w:cstheme="majorHAnsi"/>
          <w:color w:val="222222"/>
          <w:sz w:val="20"/>
          <w:szCs w:val="20"/>
          <w:highlight w:val="white"/>
        </w:rPr>
        <w:t xml:space="preserve">Gregory, Adrian, </w:t>
      </w:r>
      <w:r w:rsidR="00E84BB5" w:rsidRPr="00105535">
        <w:rPr>
          <w:rFonts w:asciiTheme="majorHAnsi" w:eastAsia="Arial" w:hAnsiTheme="majorHAnsi" w:cstheme="majorHAnsi"/>
          <w:i/>
          <w:color w:val="222222"/>
          <w:sz w:val="20"/>
          <w:szCs w:val="20"/>
          <w:highlight w:val="white"/>
        </w:rPr>
        <w:t>The last great war: British society and the first world war</w:t>
      </w:r>
      <w:r w:rsidR="00E84BB5" w:rsidRPr="00105535">
        <w:rPr>
          <w:rFonts w:asciiTheme="majorHAnsi" w:eastAsia="Arial" w:hAnsiTheme="majorHAnsi" w:cstheme="majorHAnsi"/>
          <w:color w:val="222222"/>
          <w:sz w:val="20"/>
          <w:szCs w:val="20"/>
          <w:highlight w:val="white"/>
        </w:rPr>
        <w:t>. (Cambridge University Press</w:t>
      </w:r>
      <w:r w:rsidR="00E84BB5" w:rsidRPr="00105535">
        <w:rPr>
          <w:rFonts w:asciiTheme="majorHAnsi" w:eastAsia="Arial" w:hAnsiTheme="majorHAnsi" w:cstheme="majorHAnsi"/>
          <w:color w:val="222222"/>
          <w:sz w:val="20"/>
          <w:szCs w:val="20"/>
        </w:rPr>
        <w:t>, 2008)</w:t>
      </w:r>
    </w:p>
  </w:footnote>
  <w:footnote w:id="42">
    <w:p w:rsidR="007A3DAF" w:rsidRPr="00105535" w:rsidRDefault="008F1D9B">
      <w:pPr>
        <w:pStyle w:val="normal0"/>
        <w:spacing w:after="0" w:line="240" w:lineRule="auto"/>
        <w:rPr>
          <w:rFonts w:asciiTheme="majorHAnsi" w:hAnsiTheme="majorHAnsi" w:cstheme="majorHAnsi"/>
          <w:sz w:val="20"/>
          <w:szCs w:val="20"/>
        </w:rPr>
      </w:pPr>
      <w:r w:rsidRPr="00105535">
        <w:rPr>
          <w:rFonts w:asciiTheme="majorHAnsi" w:hAnsiTheme="majorHAnsi" w:cstheme="majorHAnsi"/>
          <w:sz w:val="20"/>
          <w:szCs w:val="20"/>
          <w:vertAlign w:val="superscript"/>
        </w:rPr>
        <w:footnoteRef/>
      </w:r>
      <w:r w:rsidRPr="00105535">
        <w:rPr>
          <w:rFonts w:asciiTheme="majorHAnsi" w:hAnsiTheme="majorHAnsi" w:cstheme="majorHAnsi"/>
          <w:sz w:val="20"/>
          <w:szCs w:val="20"/>
        </w:rPr>
        <w:t xml:space="preserve"> </w:t>
      </w:r>
      <w:r w:rsidRPr="00105535">
        <w:rPr>
          <w:rFonts w:asciiTheme="majorHAnsi" w:eastAsia="Arial" w:hAnsiTheme="majorHAnsi" w:cstheme="majorHAnsi"/>
          <w:color w:val="222222"/>
          <w:sz w:val="20"/>
          <w:szCs w:val="20"/>
          <w:highlight w:val="white"/>
        </w:rPr>
        <w:t xml:space="preserve">Gregory, </w:t>
      </w:r>
      <w:r w:rsidR="004F4A7D" w:rsidRPr="00105535">
        <w:rPr>
          <w:rFonts w:asciiTheme="majorHAnsi" w:eastAsia="Arial" w:hAnsiTheme="majorHAnsi" w:cstheme="majorHAnsi"/>
          <w:color w:val="222222"/>
          <w:sz w:val="20"/>
          <w:szCs w:val="20"/>
          <w:highlight w:val="white"/>
        </w:rPr>
        <w:t>Adrian</w:t>
      </w:r>
      <w:r w:rsidR="00E84BB5" w:rsidRPr="00105535">
        <w:rPr>
          <w:rFonts w:asciiTheme="majorHAnsi" w:eastAsia="Arial" w:hAnsiTheme="majorHAnsi" w:cstheme="majorHAnsi"/>
          <w:color w:val="222222"/>
          <w:sz w:val="20"/>
          <w:szCs w:val="20"/>
          <w:highlight w:val="white"/>
        </w:rPr>
        <w:t xml:space="preserve">, </w:t>
      </w:r>
      <w:r w:rsidRPr="00105535">
        <w:rPr>
          <w:rFonts w:asciiTheme="majorHAnsi" w:eastAsia="Arial" w:hAnsiTheme="majorHAnsi" w:cstheme="majorHAnsi"/>
          <w:i/>
          <w:color w:val="222222"/>
          <w:sz w:val="20"/>
          <w:szCs w:val="20"/>
          <w:highlight w:val="white"/>
        </w:rPr>
        <w:t>Telling Tales about Men: Conceptions of Conscientious Objectors to Military Service during the First World War</w:t>
      </w:r>
      <w:r w:rsidRPr="00105535">
        <w:rPr>
          <w:rFonts w:asciiTheme="majorHAnsi" w:eastAsia="Arial" w:hAnsiTheme="majorHAnsi" w:cstheme="majorHAnsi"/>
          <w:color w:val="222222"/>
          <w:sz w:val="20"/>
          <w:szCs w:val="20"/>
          <w:highlight w:val="white"/>
        </w:rPr>
        <w:t>, by Lois Bibbings,</w:t>
      </w:r>
      <w:r w:rsidR="00E84BB5" w:rsidRPr="00105535">
        <w:rPr>
          <w:rFonts w:asciiTheme="majorHAnsi" w:eastAsia="Arial" w:hAnsiTheme="majorHAnsi" w:cstheme="majorHAnsi"/>
          <w:color w:val="222222"/>
          <w:sz w:val="20"/>
          <w:szCs w:val="20"/>
          <w:highlight w:val="white"/>
        </w:rPr>
        <w:t xml:space="preserve"> (2012),</w:t>
      </w:r>
      <w:r w:rsidRPr="00105535">
        <w:rPr>
          <w:rFonts w:asciiTheme="majorHAnsi" w:eastAsia="Arial" w:hAnsiTheme="majorHAnsi" w:cstheme="majorHAnsi"/>
          <w:color w:val="222222"/>
          <w:sz w:val="20"/>
          <w:szCs w:val="20"/>
          <w:highlight w:val="white"/>
        </w:rPr>
        <w:t xml:space="preserve"> </w:t>
      </w:r>
      <w:r w:rsidR="00E84BB5" w:rsidRPr="00105535">
        <w:rPr>
          <w:rFonts w:asciiTheme="majorHAnsi" w:eastAsia="Arial" w:hAnsiTheme="majorHAnsi" w:cstheme="majorHAnsi"/>
          <w:color w:val="222222"/>
          <w:sz w:val="20"/>
          <w:szCs w:val="20"/>
          <w:highlight w:val="white"/>
        </w:rPr>
        <w:t xml:space="preserve">p. </w:t>
      </w:r>
      <w:r w:rsidRPr="00105535">
        <w:rPr>
          <w:rFonts w:asciiTheme="majorHAnsi" w:eastAsia="Arial" w:hAnsiTheme="majorHAnsi" w:cstheme="majorHAnsi"/>
          <w:color w:val="222222"/>
          <w:sz w:val="20"/>
          <w:szCs w:val="20"/>
          <w:highlight w:val="white"/>
        </w:rPr>
        <w:t>216.</w:t>
      </w:r>
    </w:p>
  </w:footnote>
  <w:footnote w:id="43">
    <w:p w:rsidR="007A3DAF" w:rsidRPr="00105535" w:rsidRDefault="008F1D9B">
      <w:pPr>
        <w:pStyle w:val="normal0"/>
        <w:spacing w:after="0" w:line="240" w:lineRule="auto"/>
        <w:rPr>
          <w:rFonts w:asciiTheme="majorHAnsi" w:hAnsiTheme="majorHAnsi" w:cstheme="majorHAnsi"/>
          <w:sz w:val="20"/>
          <w:szCs w:val="20"/>
        </w:rPr>
      </w:pPr>
      <w:r w:rsidRPr="00105535">
        <w:rPr>
          <w:rFonts w:asciiTheme="majorHAnsi" w:hAnsiTheme="majorHAnsi" w:cstheme="majorHAnsi"/>
          <w:sz w:val="20"/>
          <w:szCs w:val="20"/>
          <w:vertAlign w:val="superscript"/>
        </w:rPr>
        <w:footnoteRef/>
      </w:r>
      <w:r w:rsidRPr="00105535">
        <w:rPr>
          <w:rFonts w:asciiTheme="majorHAnsi" w:hAnsiTheme="majorHAnsi" w:cstheme="majorHAnsi"/>
          <w:sz w:val="20"/>
          <w:szCs w:val="20"/>
        </w:rPr>
        <w:t xml:space="preserve"> </w:t>
      </w:r>
      <w:r w:rsidRPr="00105535">
        <w:rPr>
          <w:rFonts w:asciiTheme="majorHAnsi" w:eastAsia="Arial" w:hAnsiTheme="majorHAnsi" w:cstheme="majorHAnsi"/>
          <w:color w:val="222222"/>
          <w:sz w:val="20"/>
          <w:szCs w:val="20"/>
          <w:highlight w:val="white"/>
        </w:rPr>
        <w:t xml:space="preserve">Gregory, </w:t>
      </w:r>
      <w:r w:rsidR="004F4A7D" w:rsidRPr="00105535">
        <w:rPr>
          <w:rFonts w:asciiTheme="majorHAnsi" w:eastAsia="Arial" w:hAnsiTheme="majorHAnsi" w:cstheme="majorHAnsi"/>
          <w:color w:val="222222"/>
          <w:sz w:val="20"/>
          <w:szCs w:val="20"/>
          <w:highlight w:val="white"/>
        </w:rPr>
        <w:t>Adrian</w:t>
      </w:r>
      <w:r w:rsidR="009B3A8C" w:rsidRPr="00105535">
        <w:rPr>
          <w:rFonts w:asciiTheme="majorHAnsi" w:eastAsia="Arial" w:hAnsiTheme="majorHAnsi" w:cstheme="majorHAnsi"/>
          <w:color w:val="222222"/>
          <w:sz w:val="20"/>
          <w:szCs w:val="20"/>
          <w:highlight w:val="white"/>
        </w:rPr>
        <w:t xml:space="preserve">, </w:t>
      </w:r>
      <w:r w:rsidRPr="00105535">
        <w:rPr>
          <w:rFonts w:asciiTheme="majorHAnsi" w:eastAsia="Arial" w:hAnsiTheme="majorHAnsi" w:cstheme="majorHAnsi"/>
          <w:i/>
          <w:color w:val="222222"/>
          <w:sz w:val="20"/>
          <w:szCs w:val="20"/>
          <w:highlight w:val="white"/>
        </w:rPr>
        <w:t>The last great war: British society and the first world war</w:t>
      </w:r>
      <w:r w:rsidRPr="00105535">
        <w:rPr>
          <w:rFonts w:asciiTheme="majorHAnsi" w:eastAsia="Arial" w:hAnsiTheme="majorHAnsi" w:cstheme="majorHAnsi"/>
          <w:color w:val="222222"/>
          <w:sz w:val="20"/>
          <w:szCs w:val="20"/>
          <w:highlight w:val="white"/>
        </w:rPr>
        <w:t xml:space="preserve">. </w:t>
      </w:r>
      <w:r w:rsidR="009B3A8C" w:rsidRPr="00105535">
        <w:rPr>
          <w:rFonts w:asciiTheme="majorHAnsi" w:eastAsia="Arial" w:hAnsiTheme="majorHAnsi" w:cstheme="majorHAnsi"/>
          <w:color w:val="222222"/>
          <w:sz w:val="20"/>
          <w:szCs w:val="20"/>
          <w:highlight w:val="white"/>
        </w:rPr>
        <w:t>(Cambridge University Press</w:t>
      </w:r>
      <w:r w:rsidR="009B3A8C" w:rsidRPr="00105535">
        <w:rPr>
          <w:rFonts w:asciiTheme="majorHAnsi" w:eastAsia="Arial" w:hAnsiTheme="majorHAnsi" w:cstheme="majorHAnsi"/>
          <w:color w:val="222222"/>
          <w:sz w:val="20"/>
          <w:szCs w:val="20"/>
        </w:rPr>
        <w:t>, 2008)</w:t>
      </w:r>
    </w:p>
  </w:footnote>
  <w:footnote w:id="44">
    <w:p w:rsidR="007A3DAF" w:rsidRDefault="008F1D9B">
      <w:pPr>
        <w:pStyle w:val="normal0"/>
        <w:spacing w:after="0" w:line="240" w:lineRule="auto"/>
        <w:rPr>
          <w:sz w:val="20"/>
          <w:szCs w:val="20"/>
        </w:rPr>
      </w:pPr>
      <w:r w:rsidRPr="00105535">
        <w:rPr>
          <w:rFonts w:asciiTheme="majorHAnsi" w:hAnsiTheme="majorHAnsi" w:cstheme="majorHAnsi"/>
          <w:sz w:val="20"/>
          <w:szCs w:val="20"/>
          <w:vertAlign w:val="superscript"/>
        </w:rPr>
        <w:footnoteRef/>
      </w:r>
      <w:r w:rsidRPr="00105535">
        <w:rPr>
          <w:rFonts w:asciiTheme="majorHAnsi" w:hAnsiTheme="majorHAnsi" w:cstheme="majorHAnsi"/>
          <w:sz w:val="20"/>
          <w:szCs w:val="20"/>
        </w:rPr>
        <w:t xml:space="preserve"> </w:t>
      </w:r>
      <w:r w:rsidR="009B3A8C" w:rsidRPr="00105535">
        <w:rPr>
          <w:rFonts w:asciiTheme="majorHAnsi" w:eastAsia="Arial" w:hAnsiTheme="majorHAnsi" w:cstheme="majorHAnsi"/>
          <w:color w:val="222222"/>
          <w:sz w:val="20"/>
          <w:szCs w:val="20"/>
        </w:rPr>
        <w:t>Ibid.</w:t>
      </w:r>
      <w:r w:rsidR="009B3A8C">
        <w:rPr>
          <w:rFonts w:ascii="Arial" w:eastAsia="Arial" w:hAnsi="Arial" w:cs="Arial"/>
          <w:color w:val="222222"/>
          <w:sz w:val="20"/>
          <w:szCs w:val="20"/>
        </w:rPr>
        <w:t xml:space="preserve"> </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7A3DAF"/>
    <w:rsid w:val="000616E0"/>
    <w:rsid w:val="00105535"/>
    <w:rsid w:val="004F4A7D"/>
    <w:rsid w:val="006F041F"/>
    <w:rsid w:val="007A3DAF"/>
    <w:rsid w:val="007F2D5A"/>
    <w:rsid w:val="008F1D9B"/>
    <w:rsid w:val="009B3A8C"/>
    <w:rsid w:val="00E84BB5"/>
    <w:rsid w:val="00F23D82"/>
    <w:rsid w:val="00F47E30"/>
    <w:rsid w:val="00FF114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rsid w:val="007A3DAF"/>
    <w:pPr>
      <w:spacing w:before="100" w:after="100" w:line="240" w:lineRule="auto"/>
      <w:outlineLvl w:val="0"/>
    </w:pPr>
    <w:rPr>
      <w:rFonts w:ascii="Times New Roman" w:eastAsia="Times New Roman" w:hAnsi="Times New Roman" w:cs="Times New Roman"/>
      <w:b/>
      <w:sz w:val="48"/>
      <w:szCs w:val="48"/>
    </w:rPr>
  </w:style>
  <w:style w:type="paragraph" w:styleId="Heading2">
    <w:name w:val="heading 2"/>
    <w:basedOn w:val="normal0"/>
    <w:next w:val="normal0"/>
    <w:rsid w:val="007A3DAF"/>
    <w:pPr>
      <w:keepNext/>
      <w:keepLines/>
      <w:spacing w:before="360" w:after="80"/>
      <w:outlineLvl w:val="1"/>
    </w:pPr>
    <w:rPr>
      <w:b/>
      <w:sz w:val="36"/>
      <w:szCs w:val="36"/>
    </w:rPr>
  </w:style>
  <w:style w:type="paragraph" w:styleId="Heading3">
    <w:name w:val="heading 3"/>
    <w:basedOn w:val="normal0"/>
    <w:next w:val="normal0"/>
    <w:rsid w:val="007A3DAF"/>
    <w:pPr>
      <w:keepNext/>
      <w:keepLines/>
      <w:spacing w:before="280" w:after="80"/>
      <w:outlineLvl w:val="2"/>
    </w:pPr>
    <w:rPr>
      <w:b/>
      <w:sz w:val="28"/>
      <w:szCs w:val="28"/>
    </w:rPr>
  </w:style>
  <w:style w:type="paragraph" w:styleId="Heading4">
    <w:name w:val="heading 4"/>
    <w:basedOn w:val="normal0"/>
    <w:next w:val="normal0"/>
    <w:rsid w:val="007A3DAF"/>
    <w:pPr>
      <w:keepNext/>
      <w:keepLines/>
      <w:spacing w:before="240" w:after="40"/>
      <w:outlineLvl w:val="3"/>
    </w:pPr>
    <w:rPr>
      <w:b/>
      <w:sz w:val="24"/>
      <w:szCs w:val="24"/>
    </w:rPr>
  </w:style>
  <w:style w:type="paragraph" w:styleId="Heading5">
    <w:name w:val="heading 5"/>
    <w:basedOn w:val="normal0"/>
    <w:next w:val="normal0"/>
    <w:rsid w:val="007A3DAF"/>
    <w:pPr>
      <w:keepNext/>
      <w:keepLines/>
      <w:spacing w:before="220" w:after="40"/>
      <w:outlineLvl w:val="4"/>
    </w:pPr>
    <w:rPr>
      <w:b/>
    </w:rPr>
  </w:style>
  <w:style w:type="paragraph" w:styleId="Heading6">
    <w:name w:val="heading 6"/>
    <w:basedOn w:val="normal0"/>
    <w:next w:val="normal0"/>
    <w:rsid w:val="007A3DAF"/>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7A3DAF"/>
  </w:style>
  <w:style w:type="paragraph" w:styleId="Title">
    <w:name w:val="Title"/>
    <w:basedOn w:val="normal0"/>
    <w:next w:val="normal0"/>
    <w:rsid w:val="007A3DAF"/>
    <w:pPr>
      <w:keepNext/>
      <w:keepLines/>
      <w:spacing w:before="480" w:after="120"/>
    </w:pPr>
    <w:rPr>
      <w:b/>
      <w:sz w:val="72"/>
      <w:szCs w:val="72"/>
    </w:rPr>
  </w:style>
  <w:style w:type="paragraph" w:styleId="Subtitle">
    <w:name w:val="Subtitle"/>
    <w:basedOn w:val="normal0"/>
    <w:next w:val="normal0"/>
    <w:rsid w:val="007A3DAF"/>
    <w:pPr>
      <w:keepNext/>
      <w:keepLines/>
      <w:spacing w:before="360" w:after="80"/>
    </w:pPr>
    <w:rPr>
      <w:rFonts w:ascii="Georgia" w:eastAsia="Georgia" w:hAnsi="Georgia" w:cs="Georgia"/>
      <w:i/>
      <w:color w:val="666666"/>
      <w:sz w:val="48"/>
      <w:szCs w:val="48"/>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yperlink" Target="https://owlcation.com/humanities/Conscientious-Objectors-During-World-War-1" TargetMode="External"/><Relationship Id="rId3" Type="http://schemas.openxmlformats.org/officeDocument/2006/relationships/settings" Target="settings.xml"/><Relationship Id="rId7" Type="http://schemas.openxmlformats.org/officeDocument/2006/relationships/hyperlink" Target="http://www.iwm.org.uk/history/conscientious-objectors-in-their-own-word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english-heritage.org.uk/visit/places/richmond-castle/richmond-graffiti/attitudes-to-cos/"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iwm.org.uk/history/conscientious-objectors-in-their-own-words" TargetMode="External"/><Relationship Id="rId2" Type="http://schemas.openxmlformats.org/officeDocument/2006/relationships/hyperlink" Target="https://owlcation.com/humanities/Conscientious-Objectors-During-World-War-1" TargetMode="External"/><Relationship Id="rId1" Type="http://schemas.openxmlformats.org/officeDocument/2006/relationships/hyperlink" Target="http://www.iwm.org.uk/history/conscientious-objectors-in-their-own-words" TargetMode="External"/><Relationship Id="rId6" Type="http://schemas.openxmlformats.org/officeDocument/2006/relationships/hyperlink" Target="http://www.english-heritage.org.uk/visit/places/richmond-castle/richmond-graffiti/attitudes-to-cos/" TargetMode="External"/><Relationship Id="rId5" Type="http://schemas.openxmlformats.org/officeDocument/2006/relationships/hyperlink" Target="http://www.english-heritage.org.uk/visit/places/richmond-castle/richmond-graffiti/attitudes-to-cos/" TargetMode="External"/><Relationship Id="rId4" Type="http://schemas.openxmlformats.org/officeDocument/2006/relationships/hyperlink" Target="http://www.iwm.org.uk/history/conscientious-objectors-in-their-own-wo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6E64F48-760D-4321-BE3B-85BCB2BD20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8</Pages>
  <Words>3331</Words>
  <Characters>18990</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22277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marcin</dc:creator>
  <cp:lastModifiedBy>marcin</cp:lastModifiedBy>
  <cp:revision>3</cp:revision>
  <dcterms:created xsi:type="dcterms:W3CDTF">2018-05-01T00:20:00Z</dcterms:created>
  <dcterms:modified xsi:type="dcterms:W3CDTF">2018-05-01T00:50:00Z</dcterms:modified>
</cp:coreProperties>
</file>