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E73887" w14:textId="216C1123" w:rsidR="26D75F02" w:rsidRDefault="620DA027" w:rsidP="00B57DD3">
      <w:pPr>
        <w:pStyle w:val="Heading1"/>
        <w:rPr>
          <w:rFonts w:eastAsia="Calibri"/>
        </w:rPr>
      </w:pPr>
      <w:bookmarkStart w:id="0" w:name="_GoBack"/>
      <w:bookmarkEnd w:id="0"/>
      <w:r w:rsidRPr="620DA027">
        <w:rPr>
          <w:rFonts w:eastAsia="Calibri"/>
          <w:u w:val="single"/>
        </w:rPr>
        <w:t>Module:</w:t>
      </w:r>
      <w:r w:rsidRPr="620DA027">
        <w:rPr>
          <w:rFonts w:eastAsia="Calibri"/>
        </w:rPr>
        <w:t xml:space="preserve"> Intercultural Communication. </w:t>
      </w:r>
    </w:p>
    <w:p w14:paraId="6B55D329" w14:textId="5EC6E89B" w:rsidR="620DA027" w:rsidRDefault="620DA027" w:rsidP="620DA027">
      <w:pPr>
        <w:rPr>
          <w:rFonts w:ascii="Calibri" w:eastAsia="Calibri" w:hAnsi="Calibri" w:cs="Calibri"/>
          <w:sz w:val="28"/>
          <w:szCs w:val="28"/>
          <w:u w:val="single"/>
        </w:rPr>
      </w:pPr>
    </w:p>
    <w:p w14:paraId="70C16D2A" w14:textId="44BC2E58" w:rsidR="26D75F02" w:rsidRDefault="26D75F02" w:rsidP="26D75F02">
      <w:pPr>
        <w:rPr>
          <w:rFonts w:ascii="Calibri" w:eastAsia="Calibri" w:hAnsi="Calibri" w:cs="Calibri"/>
          <w:sz w:val="28"/>
          <w:szCs w:val="28"/>
        </w:rPr>
      </w:pPr>
      <w:r w:rsidRPr="26D75F02">
        <w:rPr>
          <w:rFonts w:ascii="Calibri" w:eastAsia="Calibri" w:hAnsi="Calibri" w:cs="Calibri"/>
          <w:sz w:val="28"/>
          <w:szCs w:val="28"/>
          <w:u w:val="single"/>
        </w:rPr>
        <w:t>Module code:</w:t>
      </w:r>
      <w:r w:rsidRPr="26D75F02">
        <w:rPr>
          <w:rFonts w:ascii="Calibri" w:eastAsia="Calibri" w:hAnsi="Calibri" w:cs="Calibri"/>
          <w:sz w:val="28"/>
          <w:szCs w:val="28"/>
        </w:rPr>
        <w:t xml:space="preserve"> M5X02108.</w:t>
      </w:r>
    </w:p>
    <w:p w14:paraId="4D3631D7" w14:textId="4BE56C28" w:rsidR="26D75F02" w:rsidRDefault="26D75F02" w:rsidP="26D75F02">
      <w:pPr>
        <w:rPr>
          <w:rFonts w:ascii="Calibri" w:eastAsia="Calibri" w:hAnsi="Calibri" w:cs="Calibri"/>
          <w:sz w:val="28"/>
          <w:szCs w:val="28"/>
        </w:rPr>
      </w:pPr>
      <w:r w:rsidRPr="26D75F02">
        <w:rPr>
          <w:rFonts w:ascii="Calibri" w:eastAsia="Calibri" w:hAnsi="Calibri" w:cs="Calibri"/>
          <w:sz w:val="28"/>
          <w:szCs w:val="28"/>
          <w:u w:val="single"/>
        </w:rPr>
        <w:t>Lecturer:</w:t>
      </w:r>
      <w:r w:rsidRPr="26D75F02">
        <w:rPr>
          <w:rFonts w:ascii="Calibri" w:eastAsia="Calibri" w:hAnsi="Calibri" w:cs="Calibri"/>
          <w:sz w:val="28"/>
          <w:szCs w:val="28"/>
        </w:rPr>
        <w:t xml:space="preserve"> Dr.Caroline Jawad. </w:t>
      </w:r>
    </w:p>
    <w:p w14:paraId="735333AB" w14:textId="26D6EAA3" w:rsidR="26D75F02" w:rsidRDefault="26D75F02" w:rsidP="26D75F02">
      <w:pPr>
        <w:rPr>
          <w:rFonts w:ascii="Calibri" w:eastAsia="Calibri" w:hAnsi="Calibri" w:cs="Calibri"/>
          <w:sz w:val="28"/>
          <w:szCs w:val="28"/>
        </w:rPr>
      </w:pPr>
    </w:p>
    <w:p w14:paraId="05FB1EFE" w14:textId="46448E3B" w:rsidR="26D75F02" w:rsidRDefault="3C17A95D" w:rsidP="3C17A95D">
      <w:pPr>
        <w:rPr>
          <w:rFonts w:ascii="Times New Roman" w:eastAsia="Times New Roman" w:hAnsi="Times New Roman" w:cs="Times New Roman"/>
          <w:sz w:val="28"/>
          <w:szCs w:val="28"/>
        </w:rPr>
      </w:pPr>
      <w:r w:rsidRPr="3C17A95D">
        <w:rPr>
          <w:rFonts w:ascii="Times New Roman" w:eastAsia="Times New Roman" w:hAnsi="Times New Roman" w:cs="Times New Roman"/>
          <w:sz w:val="28"/>
          <w:szCs w:val="28"/>
          <w:u w:val="single"/>
        </w:rPr>
        <w:t>Belgium</w:t>
      </w:r>
    </w:p>
    <w:p w14:paraId="3B58203C" w14:textId="2FB62A3D" w:rsidR="26D75F02" w:rsidRDefault="6A9D2507" w:rsidP="6A9D2507">
      <w:pPr>
        <w:rPr>
          <w:rFonts w:ascii="Times New Roman" w:eastAsia="Times New Roman" w:hAnsi="Times New Roman" w:cs="Times New Roman"/>
          <w:sz w:val="28"/>
          <w:szCs w:val="28"/>
        </w:rPr>
      </w:pPr>
      <w:r w:rsidRPr="6A9D2507">
        <w:rPr>
          <w:rFonts w:ascii="Times New Roman" w:eastAsia="Times New Roman" w:hAnsi="Times New Roman" w:cs="Times New Roman"/>
          <w:sz w:val="28"/>
          <w:szCs w:val="28"/>
        </w:rPr>
        <w:t xml:space="preserve">Good afternoon everybody, my name is Thomas Westall and I study at the UWTSD in Swansea. I'm going to talk to you today about Hofstede theory regarding the culture of Belgium. Belgium is small country situated in North eastern Europe and has a total population of 11.5 million (Worldometers 2019) . The country has been hugely populated ever since its independence in 1830, a representative democracy headed by a royal family/monarch (Britannica 2019). </w:t>
      </w:r>
    </w:p>
    <w:p w14:paraId="0C85E0B2" w14:textId="34CEF616" w:rsidR="26D75F02" w:rsidRDefault="5B93613F" w:rsidP="5B93613F">
      <w:pPr>
        <w:rPr>
          <w:rFonts w:ascii="Times New Roman" w:eastAsia="Times New Roman" w:hAnsi="Times New Roman" w:cs="Times New Roman"/>
          <w:sz w:val="28"/>
          <w:szCs w:val="28"/>
        </w:rPr>
      </w:pPr>
      <w:r w:rsidRPr="5B93613F">
        <w:rPr>
          <w:rFonts w:ascii="Times New Roman" w:eastAsia="Times New Roman" w:hAnsi="Times New Roman" w:cs="Times New Roman"/>
          <w:sz w:val="28"/>
          <w:szCs w:val="28"/>
        </w:rPr>
        <w:t xml:space="preserve">The Business dictionary (2019) says that culture “is a pattern of responses discovered, developed, or invented during the group's history of handling problems which arise from interactions among its members, and between them and their environment”. Culture is becoming a huge talking point in society and is important that you respect different cultures and different ways of life. Using Psychologist Geert Hofstede cultural dimensions, I will analyse Belgium and talk about the country to gain a further understanding. Hofstede model of national culture consists of six dimensions. The cultural dimensions represent independent preferences for one state of affairs to another that distinguish countries rather than individuals from each other (Hofstede insights).  Hofstede talks and emphasises the cultural dimensions which are, Power distance, individualism v Collectivism, Masculinity v Femininity, Uncertainty avoidance, Long term orientation and indulgence. Using the Hofstede insights website, the podcast will go through each of the dimensions to critically analyse Belgium as a whole.  </w:t>
      </w:r>
    </w:p>
    <w:p w14:paraId="50AE27DD" w14:textId="0085FD38" w:rsidR="26D75F02" w:rsidRDefault="5B93613F" w:rsidP="5B93613F">
      <w:pPr>
        <w:rPr>
          <w:rFonts w:ascii="Times New Roman" w:eastAsia="Times New Roman" w:hAnsi="Times New Roman" w:cs="Times New Roman"/>
          <w:sz w:val="28"/>
          <w:szCs w:val="28"/>
        </w:rPr>
      </w:pPr>
      <w:r w:rsidRPr="5B93613F">
        <w:rPr>
          <w:rFonts w:ascii="Times New Roman" w:eastAsia="Times New Roman" w:hAnsi="Times New Roman" w:cs="Times New Roman"/>
          <w:sz w:val="28"/>
          <w:szCs w:val="28"/>
        </w:rPr>
        <w:lastRenderedPageBreak/>
        <w:t xml:space="preserve">So firstly, I'm going to talk about the Power distance dimension.  Hofstede tells us The Power Distance Index is defined as “the extent to which the less powerful members of organizations and institutions (like the family) accept and expect that power is distributed unequally”.  So, when we look at Belgium as a country and look at how power distance affects them, Hofstede insights shows that “Belgium has a score of 65, It is therefore a society in which inequalities are accepted” For example, Belgium has a royal family quite like we have here in the UK. The royal family of Belgium are always very keen to visit and see different sectors of society on their visits. Hofstede insights (2019) tells us “The way information is controlled is even associated with power, therefore unequally distributed. Control is normal, and even expected, but considered as formal and not key for efficiency”. </w:t>
      </w:r>
    </w:p>
    <w:p w14:paraId="4ECCCF2D" w14:textId="3A93A5D7" w:rsidR="26D75F02" w:rsidRDefault="22F76614" w:rsidP="3C17A95D">
      <w:pPr>
        <w:rPr>
          <w:rFonts w:ascii="Times New Roman" w:eastAsia="Times New Roman" w:hAnsi="Times New Roman" w:cs="Times New Roman"/>
          <w:sz w:val="28"/>
          <w:szCs w:val="28"/>
        </w:rPr>
      </w:pPr>
      <w:r w:rsidRPr="22F76614">
        <w:rPr>
          <w:rFonts w:ascii="Times New Roman" w:eastAsia="Times New Roman" w:hAnsi="Times New Roman" w:cs="Times New Roman"/>
          <w:sz w:val="28"/>
          <w:szCs w:val="28"/>
        </w:rPr>
        <w:t xml:space="preserve">The next dimension is Individualism vs Collectivism.  “It has to do with whether people´s self-image is defined in terms of “I” or “We” According to Hofstede insights “Belgium scores very high 75 on the Individualism index. This means that the Belgian people prefer to keep themselves to themselves in some degree, prioritising themselves and their family members rather than being associated to a bigger group/organisation. Belgium people take a sense of pride and value not just to personal life but even when it comes to their jobs. Belgium people from a very young age are taught importance and have good planning skills that they want to implement for future jobs and careers.  </w:t>
      </w:r>
    </w:p>
    <w:p w14:paraId="298B210B" w14:textId="3CCDD608" w:rsidR="3C17A95D" w:rsidRDefault="5B93613F" w:rsidP="5B93613F">
      <w:pPr>
        <w:rPr>
          <w:rFonts w:ascii="Times New Roman" w:eastAsia="Times New Roman" w:hAnsi="Times New Roman" w:cs="Times New Roman"/>
          <w:sz w:val="28"/>
          <w:szCs w:val="28"/>
        </w:rPr>
      </w:pPr>
      <w:r w:rsidRPr="5B93613F">
        <w:rPr>
          <w:rFonts w:ascii="Times New Roman" w:eastAsia="Times New Roman" w:hAnsi="Times New Roman" w:cs="Times New Roman"/>
          <w:sz w:val="28"/>
          <w:szCs w:val="28"/>
        </w:rPr>
        <w:t>Hofstede third dimension is Masculinity v Femininity. Hofstede tells us “Masculinity implies a society’s preference for achievement and material reward for attaining success. On the contrary, femininity represents a preference for modesty, cooperation, quality of life and caring for the weak” (Cleverism 2015). Belgium scores 54 on the index, this states that decision process will be longer simply because everyone points of view is being consid</w:t>
      </w:r>
      <w:r w:rsidRPr="5B93613F">
        <w:rPr>
          <w:rFonts w:ascii="Times New Roman" w:eastAsia="Times New Roman" w:hAnsi="Times New Roman" w:cs="Times New Roman"/>
          <w:sz w:val="28"/>
          <w:szCs w:val="28"/>
        </w:rPr>
        <w:lastRenderedPageBreak/>
        <w:t xml:space="preserve">ered so the best outcome can be achieved. Belgium people would much rather come to a group decision and provide the best outcome, compared to winning so called “individual battles”. Belgium scoring average proves that neither masculine nor feminine roles are valued any higher than each other. </w:t>
      </w:r>
    </w:p>
    <w:p w14:paraId="1564AB26" w14:textId="4FFEFB17" w:rsidR="00FA6E0D" w:rsidRDefault="5B93613F" w:rsidP="5B93613F">
      <w:pPr>
        <w:rPr>
          <w:rFonts w:ascii="Times New Roman" w:eastAsia="Times New Roman" w:hAnsi="Times New Roman" w:cs="Times New Roman"/>
          <w:sz w:val="28"/>
          <w:szCs w:val="28"/>
        </w:rPr>
      </w:pPr>
      <w:r w:rsidRPr="5B93613F">
        <w:rPr>
          <w:rFonts w:ascii="Times New Roman" w:eastAsia="Times New Roman" w:hAnsi="Times New Roman" w:cs="Times New Roman"/>
          <w:sz w:val="28"/>
          <w:szCs w:val="28"/>
        </w:rPr>
        <w:t xml:space="preserve">The fourth dimension on the chart is Uncertainty avoidance. Hofstede explains that its “the extent to which people feel threatened by situations which are unknown and have ways and means to possibly avoid them”. Uncertainty avoidance scores a whopping 94 which is rated one of the highest scores in the UAI(Uncertainty avoidance index). Society in many parts of the world which includes Belgium deals and lives with the fact that the future is unknown. Especially in the tourism industry, BREXIT is really the question on everyone’s lips, the future of the travel industry could be dealt a huge blow due to Brexit ( UK changing Europe). People are uncertain what is going to happen. Belgium scoring high on the chart proves that it has a high/strong UA(Uncertainty avoidance so for example, people are very much anxious, emotional and stressed. This proves that peoples day to day routine could be very difficult and will struggle to adapt to possible change at any given point. Furthermore, there is a sense of certainty through academic work and planning is key in all aspects. </w:t>
      </w:r>
    </w:p>
    <w:p w14:paraId="0A41B218" w14:textId="6F5729FD" w:rsidR="00D555E6" w:rsidRDefault="5B93613F" w:rsidP="5B93613F">
      <w:pPr>
        <w:rPr>
          <w:rFonts w:ascii="Times New Roman" w:eastAsia="Times New Roman" w:hAnsi="Times New Roman" w:cs="Times New Roman"/>
          <w:sz w:val="28"/>
          <w:szCs w:val="28"/>
        </w:rPr>
      </w:pPr>
      <w:r w:rsidRPr="5B93613F">
        <w:rPr>
          <w:rFonts w:ascii="Times New Roman" w:eastAsia="Times New Roman" w:hAnsi="Times New Roman" w:cs="Times New Roman"/>
          <w:sz w:val="28"/>
          <w:szCs w:val="28"/>
        </w:rPr>
        <w:t xml:space="preserve">Long term Orientation is the fifth dimension. Hofstede insights tells us “that every society has to keep close links with the past and too continue to deal with the future and the challenges it throws at you”. Belgium scores 82 which is once again a very high score. The high score proves that Belgium take a more pragmatic approach, which all links again with planning for the future. Education from a young age is so important. Belgium have several characteristics which include, Persistence, Ordering relationships, sense of shame. Showing abilities to adapt to change for example go on to prove a good thing and good results will eventually show. </w:t>
      </w:r>
    </w:p>
    <w:p w14:paraId="1AC16BF8" w14:textId="77A100FA" w:rsidR="26D75F02" w:rsidRDefault="5B93613F" w:rsidP="5B93613F">
      <w:pPr>
        <w:rPr>
          <w:rFonts w:ascii="Calibri" w:eastAsia="Calibri" w:hAnsi="Calibri" w:cs="Calibri"/>
          <w:sz w:val="28"/>
          <w:szCs w:val="28"/>
        </w:rPr>
      </w:pPr>
      <w:r w:rsidRPr="5B93613F">
        <w:rPr>
          <w:rFonts w:ascii="Times New Roman" w:eastAsia="Times New Roman" w:hAnsi="Times New Roman" w:cs="Times New Roman"/>
          <w:sz w:val="28"/>
          <w:szCs w:val="28"/>
        </w:rPr>
        <w:lastRenderedPageBreak/>
        <w:t xml:space="preserve">Finally, Indulgence. Hofstede says that “Indulgence stands for a society that allows relatively free graduation of basic and natural human drives related to enjoying life and having fun”. Belgium scores 57 on the dimension. People in Belgium have a wiliness to basically enjoy life and have fun, attitudes are second to none and they prioritise leisure time which to them costs nothing. Belgium maintains a high degree of indulgence (Belgium Typology).  If we do a quick comparison, Australia for example score 71 for indulgence they have a much higher score than Belgium. Hofstede insights tells us that both Australia and Belgium people enjoy life and having fun, so even with a score of 57 the country of Belgium have as much fun as people in Australia for example. </w:t>
      </w:r>
    </w:p>
    <w:p w14:paraId="35F10E60" w14:textId="380EC66F" w:rsidR="5B93613F" w:rsidRDefault="5B93613F" w:rsidP="5B93613F">
      <w:pPr>
        <w:rPr>
          <w:rFonts w:ascii="Times New Roman" w:eastAsia="Times New Roman" w:hAnsi="Times New Roman" w:cs="Times New Roman"/>
          <w:sz w:val="28"/>
          <w:szCs w:val="28"/>
        </w:rPr>
      </w:pPr>
      <w:r w:rsidRPr="5B93613F">
        <w:rPr>
          <w:rFonts w:ascii="Times New Roman" w:eastAsia="Times New Roman" w:hAnsi="Times New Roman" w:cs="Times New Roman"/>
          <w:sz w:val="28"/>
          <w:szCs w:val="28"/>
        </w:rPr>
        <w:t xml:space="preserve">This Podcast has applied to Belgium and has demonstrated Hofstede views on the national culture. People should prepare and review the countries culture that they might possibly be visiting. A lot of people have Criticism of Hofstede and me personally thinks the biggest one is Time dependant. Hofstede said “that the cross-cultural outcomes produced in centuries, most researches also supported the fact that culture will not change overnight (Hofstede criticism 2016). A lot of researches think that this is outdated, and society and culture is changing drastically and that some of his points are not valid. Despite the criticism, most people agree with his points of view and still use his research to this day and find it very useful. Thank you for listening.   </w:t>
      </w:r>
    </w:p>
    <w:p w14:paraId="328B05E6" w14:textId="5E48D88B" w:rsidR="26D75F02" w:rsidRDefault="26D75F02" w:rsidP="6A9D2507">
      <w:pPr>
        <w:rPr>
          <w:rFonts w:ascii="Calibri" w:eastAsia="Calibri" w:hAnsi="Calibri" w:cs="Calibri"/>
          <w:sz w:val="28"/>
          <w:szCs w:val="28"/>
        </w:rPr>
      </w:pPr>
    </w:p>
    <w:p w14:paraId="328821F5" w14:textId="2BF46511" w:rsidR="26D75F02" w:rsidRDefault="5B93613F" w:rsidP="5B93613F">
      <w:pPr>
        <w:rPr>
          <w:rFonts w:ascii="Calibri" w:eastAsia="Calibri" w:hAnsi="Calibri" w:cs="Calibri"/>
          <w:b/>
          <w:bCs/>
          <w:i/>
          <w:iCs/>
          <w:sz w:val="28"/>
          <w:szCs w:val="28"/>
          <w:u w:val="single"/>
        </w:rPr>
      </w:pPr>
      <w:r w:rsidRPr="5B93613F">
        <w:rPr>
          <w:rFonts w:ascii="Calibri" w:eastAsia="Calibri" w:hAnsi="Calibri" w:cs="Calibri"/>
          <w:b/>
          <w:bCs/>
          <w:i/>
          <w:iCs/>
          <w:sz w:val="28"/>
          <w:szCs w:val="28"/>
          <w:u w:val="single"/>
        </w:rPr>
        <w:t>References</w:t>
      </w:r>
    </w:p>
    <w:p w14:paraId="20666DBB" w14:textId="0A76F022" w:rsidR="26D75F02" w:rsidRDefault="26D75F02" w:rsidP="26D75F02">
      <w:pPr>
        <w:rPr>
          <w:rFonts w:ascii="Calibri" w:eastAsia="Calibri" w:hAnsi="Calibri" w:cs="Calibri"/>
          <w:sz w:val="28"/>
          <w:szCs w:val="28"/>
        </w:rPr>
      </w:pPr>
    </w:p>
    <w:p w14:paraId="6EEAB01C" w14:textId="5F2FE2E7" w:rsidR="26D75F02" w:rsidRDefault="26D75F02" w:rsidP="26D75F02">
      <w:pPr>
        <w:rPr>
          <w:rFonts w:ascii="Calibri" w:eastAsia="Calibri" w:hAnsi="Calibri" w:cs="Calibri"/>
          <w:sz w:val="28"/>
          <w:szCs w:val="28"/>
        </w:rPr>
      </w:pPr>
    </w:p>
    <w:p w14:paraId="43E64A4F" w14:textId="0553D39E" w:rsidR="6A9D2507" w:rsidRDefault="6A9D2507" w:rsidP="6A9D2507">
      <w:pPr>
        <w:pStyle w:val="ListParagraph"/>
        <w:numPr>
          <w:ilvl w:val="0"/>
          <w:numId w:val="1"/>
        </w:numPr>
        <w:rPr>
          <w:sz w:val="32"/>
          <w:szCs w:val="32"/>
          <w:vertAlign w:val="superscript"/>
        </w:rPr>
      </w:pPr>
      <w:r w:rsidRPr="6A9D2507">
        <w:rPr>
          <w:rFonts w:ascii="Calibri" w:eastAsia="Calibri" w:hAnsi="Calibri" w:cs="Calibri"/>
          <w:sz w:val="32"/>
          <w:szCs w:val="32"/>
          <w:vertAlign w:val="superscript"/>
        </w:rPr>
        <w:t xml:space="preserve">Business-to-you (2017), </w:t>
      </w:r>
      <w:r w:rsidRPr="6A9D2507">
        <w:rPr>
          <w:rFonts w:ascii="Calibri" w:eastAsia="Calibri" w:hAnsi="Calibri" w:cs="Calibri"/>
          <w:sz w:val="32"/>
          <w:szCs w:val="32"/>
          <w:u w:val="single"/>
          <w:vertAlign w:val="superscript"/>
        </w:rPr>
        <w:t>“Hofstede Cultural dimensions”</w:t>
      </w:r>
      <w:r w:rsidRPr="6A9D2507">
        <w:rPr>
          <w:rFonts w:ascii="Calibri" w:eastAsia="Calibri" w:hAnsi="Calibri" w:cs="Calibri"/>
          <w:sz w:val="32"/>
          <w:szCs w:val="32"/>
          <w:vertAlign w:val="superscript"/>
        </w:rPr>
        <w:t xml:space="preserve"> [online]. Available: </w:t>
      </w:r>
      <w:hyperlink r:id="rId8">
        <w:r w:rsidRPr="6A9D2507">
          <w:rPr>
            <w:rStyle w:val="Hyperlink"/>
            <w:rFonts w:ascii="Calibri" w:eastAsia="Calibri" w:hAnsi="Calibri" w:cs="Calibri"/>
            <w:sz w:val="32"/>
            <w:szCs w:val="32"/>
            <w:vertAlign w:val="superscript"/>
          </w:rPr>
          <w:t>https://www.business-to-you.com/hofstedes-cultural-dimensions/</w:t>
        </w:r>
      </w:hyperlink>
      <w:r w:rsidRPr="6A9D2507">
        <w:rPr>
          <w:rFonts w:ascii="Calibri" w:eastAsia="Calibri" w:hAnsi="Calibri" w:cs="Calibri"/>
          <w:sz w:val="32"/>
          <w:szCs w:val="32"/>
          <w:vertAlign w:val="superscript"/>
        </w:rPr>
        <w:t xml:space="preserve">  Assessed November 3rd 2019.</w:t>
      </w:r>
    </w:p>
    <w:p w14:paraId="4A3E02BF" w14:textId="7BC5EB2A" w:rsidR="6A9D2507" w:rsidRDefault="6A9D2507" w:rsidP="6A9D2507">
      <w:pPr>
        <w:pStyle w:val="ListParagraph"/>
        <w:numPr>
          <w:ilvl w:val="0"/>
          <w:numId w:val="1"/>
        </w:numPr>
        <w:rPr>
          <w:sz w:val="32"/>
          <w:szCs w:val="32"/>
          <w:vertAlign w:val="superscript"/>
        </w:rPr>
      </w:pPr>
      <w:r w:rsidRPr="6A9D2507">
        <w:rPr>
          <w:rFonts w:ascii="Calibri" w:eastAsia="Calibri" w:hAnsi="Calibri" w:cs="Calibri"/>
          <w:sz w:val="32"/>
          <w:szCs w:val="32"/>
          <w:vertAlign w:val="superscript"/>
        </w:rPr>
        <w:lastRenderedPageBreak/>
        <w:t xml:space="preserve">Encyclopedia Britannica (2019), “ </w:t>
      </w:r>
      <w:r w:rsidRPr="6A9D2507">
        <w:rPr>
          <w:rFonts w:ascii="Calibri" w:eastAsia="Calibri" w:hAnsi="Calibri" w:cs="Calibri"/>
          <w:sz w:val="32"/>
          <w:szCs w:val="32"/>
          <w:u w:val="single"/>
          <w:vertAlign w:val="superscript"/>
        </w:rPr>
        <w:t>Belgium”</w:t>
      </w:r>
      <w:r w:rsidRPr="6A9D2507">
        <w:rPr>
          <w:rFonts w:ascii="Calibri" w:eastAsia="Calibri" w:hAnsi="Calibri" w:cs="Calibri"/>
          <w:sz w:val="32"/>
          <w:szCs w:val="32"/>
          <w:vertAlign w:val="superscript"/>
        </w:rPr>
        <w:t xml:space="preserve"> [online]. Available: </w:t>
      </w:r>
      <w:hyperlink r:id="rId9">
        <w:r w:rsidRPr="6A9D2507">
          <w:rPr>
            <w:rStyle w:val="Hyperlink"/>
            <w:rFonts w:ascii="Calibri" w:eastAsia="Calibri" w:hAnsi="Calibri" w:cs="Calibri"/>
            <w:sz w:val="32"/>
            <w:szCs w:val="32"/>
            <w:vertAlign w:val="superscript"/>
          </w:rPr>
          <w:t>https://www.britannica.com/place/Belgium</w:t>
        </w:r>
      </w:hyperlink>
      <w:r w:rsidRPr="6A9D2507">
        <w:rPr>
          <w:rFonts w:ascii="Calibri" w:eastAsia="Calibri" w:hAnsi="Calibri" w:cs="Calibri"/>
          <w:sz w:val="32"/>
          <w:szCs w:val="32"/>
          <w:vertAlign w:val="superscript"/>
        </w:rPr>
        <w:t xml:space="preserve">. Assessed November 18th 2019. </w:t>
      </w:r>
    </w:p>
    <w:p w14:paraId="6ED6B32D" w14:textId="18F107B4" w:rsidR="6A9D2507" w:rsidRDefault="6A9D2507" w:rsidP="6A9D2507">
      <w:pPr>
        <w:pStyle w:val="ListParagraph"/>
        <w:numPr>
          <w:ilvl w:val="0"/>
          <w:numId w:val="1"/>
        </w:numPr>
        <w:rPr>
          <w:sz w:val="32"/>
          <w:szCs w:val="32"/>
          <w:vertAlign w:val="superscript"/>
        </w:rPr>
      </w:pPr>
      <w:r w:rsidRPr="6A9D2507">
        <w:rPr>
          <w:rFonts w:ascii="Calibri" w:eastAsia="Calibri" w:hAnsi="Calibri" w:cs="Calibri"/>
          <w:sz w:val="32"/>
          <w:szCs w:val="32"/>
          <w:vertAlign w:val="superscript"/>
        </w:rPr>
        <w:t xml:space="preserve">Oxfam case study (2013), </w:t>
      </w:r>
      <w:r w:rsidRPr="6A9D2507">
        <w:rPr>
          <w:rFonts w:ascii="Calibri" w:eastAsia="Calibri" w:hAnsi="Calibri" w:cs="Calibri"/>
          <w:sz w:val="32"/>
          <w:szCs w:val="32"/>
          <w:u w:val="single"/>
          <w:vertAlign w:val="superscript"/>
        </w:rPr>
        <w:t>“The true cost of austerity and inequality in Belgium”[</w:t>
      </w:r>
      <w:r w:rsidRPr="6A9D2507">
        <w:rPr>
          <w:rFonts w:ascii="Calibri" w:eastAsia="Calibri" w:hAnsi="Calibri" w:cs="Calibri"/>
          <w:sz w:val="32"/>
          <w:szCs w:val="32"/>
          <w:vertAlign w:val="superscript"/>
        </w:rPr>
        <w:t xml:space="preserve">online]. Available: </w:t>
      </w:r>
      <w:hyperlink r:id="rId10">
        <w:r w:rsidRPr="6A9D2507">
          <w:rPr>
            <w:rStyle w:val="Hyperlink"/>
            <w:rFonts w:ascii="Calibri" w:eastAsia="Calibri" w:hAnsi="Calibri" w:cs="Calibri"/>
            <w:sz w:val="32"/>
            <w:szCs w:val="32"/>
            <w:vertAlign w:val="superscript"/>
          </w:rPr>
          <w:t>https://www-cdn.oxfam.org/s3fs-public/file_attachments/cs-true-cost-austerity-inequality-belgium-120913-en_0.pdf</w:t>
        </w:r>
      </w:hyperlink>
      <w:r w:rsidRPr="6A9D2507">
        <w:rPr>
          <w:rFonts w:ascii="Calibri" w:eastAsia="Calibri" w:hAnsi="Calibri" w:cs="Calibri"/>
          <w:sz w:val="32"/>
          <w:szCs w:val="32"/>
          <w:vertAlign w:val="superscript"/>
        </w:rPr>
        <w:t xml:space="preserve">. Assessed November 5th 2019. </w:t>
      </w:r>
    </w:p>
    <w:p w14:paraId="0A679F26" w14:textId="635726BC" w:rsidR="6A9D2507" w:rsidRDefault="6A9D2507" w:rsidP="6A9D2507">
      <w:pPr>
        <w:pStyle w:val="ListParagraph"/>
        <w:numPr>
          <w:ilvl w:val="0"/>
          <w:numId w:val="1"/>
        </w:numPr>
        <w:rPr>
          <w:sz w:val="32"/>
          <w:szCs w:val="32"/>
          <w:vertAlign w:val="superscript"/>
        </w:rPr>
      </w:pPr>
      <w:r w:rsidRPr="6A9D2507">
        <w:rPr>
          <w:rFonts w:ascii="Calibri" w:eastAsia="Calibri" w:hAnsi="Calibri" w:cs="Calibri"/>
          <w:sz w:val="32"/>
          <w:szCs w:val="32"/>
          <w:vertAlign w:val="superscript"/>
        </w:rPr>
        <w:t xml:space="preserve">Belgium, “ </w:t>
      </w:r>
      <w:r w:rsidRPr="6A9D2507">
        <w:rPr>
          <w:rFonts w:ascii="Calibri" w:eastAsia="Calibri" w:hAnsi="Calibri" w:cs="Calibri"/>
          <w:sz w:val="32"/>
          <w:szCs w:val="32"/>
          <w:u w:val="single"/>
          <w:vertAlign w:val="superscript"/>
        </w:rPr>
        <w:t>Typolgy on Belgium”</w:t>
      </w:r>
      <w:r w:rsidRPr="6A9D2507">
        <w:rPr>
          <w:rFonts w:ascii="Calibri" w:eastAsia="Calibri" w:hAnsi="Calibri" w:cs="Calibri"/>
          <w:sz w:val="32"/>
          <w:szCs w:val="32"/>
          <w:vertAlign w:val="superscript"/>
        </w:rPr>
        <w:t xml:space="preserve">[online]. Available: </w:t>
      </w:r>
      <w:hyperlink r:id="rId11">
        <w:r w:rsidRPr="6A9D2507">
          <w:rPr>
            <w:rStyle w:val="Hyperlink"/>
            <w:rFonts w:ascii="Calibri" w:eastAsia="Calibri" w:hAnsi="Calibri" w:cs="Calibri"/>
            <w:sz w:val="32"/>
            <w:szCs w:val="32"/>
            <w:vertAlign w:val="superscript"/>
          </w:rPr>
          <w:t>https://sites.psu.edu/belgiumculturalprofile/typology/</w:t>
        </w:r>
      </w:hyperlink>
      <w:r w:rsidRPr="6A9D2507">
        <w:rPr>
          <w:rFonts w:ascii="Calibri" w:eastAsia="Calibri" w:hAnsi="Calibri" w:cs="Calibri"/>
          <w:sz w:val="32"/>
          <w:szCs w:val="32"/>
          <w:vertAlign w:val="superscript"/>
        </w:rPr>
        <w:t>. Assessed November 10th 2019.</w:t>
      </w:r>
    </w:p>
    <w:p w14:paraId="24CFAF02" w14:textId="0C8D58D6" w:rsidR="6A9D2507" w:rsidRDefault="6A9D2507" w:rsidP="6A9D2507">
      <w:pPr>
        <w:pStyle w:val="ListParagraph"/>
        <w:numPr>
          <w:ilvl w:val="0"/>
          <w:numId w:val="1"/>
        </w:numPr>
        <w:rPr>
          <w:sz w:val="32"/>
          <w:szCs w:val="32"/>
          <w:vertAlign w:val="superscript"/>
        </w:rPr>
      </w:pPr>
      <w:r w:rsidRPr="6A9D2507">
        <w:rPr>
          <w:rFonts w:ascii="Calibri" w:eastAsia="Calibri" w:hAnsi="Calibri" w:cs="Calibri"/>
          <w:sz w:val="32"/>
          <w:szCs w:val="32"/>
          <w:vertAlign w:val="superscript"/>
        </w:rPr>
        <w:t xml:space="preserve">Cleverism (2017), </w:t>
      </w:r>
      <w:r w:rsidRPr="6A9D2507">
        <w:rPr>
          <w:rFonts w:ascii="Calibri" w:eastAsia="Calibri" w:hAnsi="Calibri" w:cs="Calibri"/>
          <w:sz w:val="32"/>
          <w:szCs w:val="32"/>
          <w:u w:val="single"/>
          <w:vertAlign w:val="superscript"/>
        </w:rPr>
        <w:t>“Understanding Cultures and people with Hofstede dimensions”[</w:t>
      </w:r>
      <w:r w:rsidRPr="6A9D2507">
        <w:rPr>
          <w:rFonts w:ascii="Calibri" w:eastAsia="Calibri" w:hAnsi="Calibri" w:cs="Calibri"/>
          <w:sz w:val="32"/>
          <w:szCs w:val="32"/>
          <w:vertAlign w:val="superscript"/>
        </w:rPr>
        <w:t xml:space="preserve">online]. Available: </w:t>
      </w:r>
      <w:hyperlink r:id="rId12">
        <w:r w:rsidRPr="6A9D2507">
          <w:rPr>
            <w:rStyle w:val="Hyperlink"/>
            <w:rFonts w:ascii="Calibri" w:eastAsia="Calibri" w:hAnsi="Calibri" w:cs="Calibri"/>
            <w:sz w:val="32"/>
            <w:szCs w:val="32"/>
            <w:vertAlign w:val="superscript"/>
          </w:rPr>
          <w:t>https://www.cleverism.com/understanding-cultures-people-hofstede-dimensions/</w:t>
        </w:r>
      </w:hyperlink>
      <w:r w:rsidRPr="6A9D2507">
        <w:rPr>
          <w:rFonts w:ascii="Calibri" w:eastAsia="Calibri" w:hAnsi="Calibri" w:cs="Calibri"/>
          <w:sz w:val="32"/>
          <w:szCs w:val="32"/>
          <w:vertAlign w:val="superscript"/>
        </w:rPr>
        <w:t>. Assessed November 4th 2019.</w:t>
      </w:r>
    </w:p>
    <w:p w14:paraId="4EB11182" w14:textId="1A27AA11" w:rsidR="6A9D2507" w:rsidRDefault="6A9D2507" w:rsidP="6A9D2507">
      <w:pPr>
        <w:pStyle w:val="ListParagraph"/>
        <w:numPr>
          <w:ilvl w:val="0"/>
          <w:numId w:val="1"/>
        </w:numPr>
        <w:rPr>
          <w:sz w:val="32"/>
          <w:szCs w:val="32"/>
          <w:vertAlign w:val="superscript"/>
        </w:rPr>
      </w:pPr>
      <w:r w:rsidRPr="6A9D2507">
        <w:rPr>
          <w:rFonts w:ascii="Calibri" w:eastAsia="Calibri" w:hAnsi="Calibri" w:cs="Calibri"/>
          <w:sz w:val="32"/>
          <w:szCs w:val="32"/>
          <w:vertAlign w:val="superscript"/>
        </w:rPr>
        <w:t xml:space="preserve">Bisciari, P (2019), </w:t>
      </w:r>
      <w:r w:rsidRPr="6A9D2507">
        <w:rPr>
          <w:rFonts w:ascii="Calibri" w:eastAsia="Calibri" w:hAnsi="Calibri" w:cs="Calibri"/>
          <w:sz w:val="32"/>
          <w:szCs w:val="32"/>
          <w:u w:val="single"/>
          <w:vertAlign w:val="superscript"/>
        </w:rPr>
        <w:t>“  The long term impact on the UK and EU economies”[</w:t>
      </w:r>
      <w:r w:rsidRPr="6A9D2507">
        <w:rPr>
          <w:rFonts w:ascii="Calibri" w:eastAsia="Calibri" w:hAnsi="Calibri" w:cs="Calibri"/>
          <w:sz w:val="32"/>
          <w:szCs w:val="32"/>
          <w:vertAlign w:val="superscript"/>
        </w:rPr>
        <w:t xml:space="preserve">online]. Available: </w:t>
      </w:r>
      <w:hyperlink r:id="rId13">
        <w:r w:rsidRPr="6A9D2507">
          <w:rPr>
            <w:rStyle w:val="Hyperlink"/>
            <w:rFonts w:ascii="Calibri" w:eastAsia="Calibri" w:hAnsi="Calibri" w:cs="Calibri"/>
            <w:sz w:val="32"/>
            <w:szCs w:val="32"/>
            <w:vertAlign w:val="superscript"/>
          </w:rPr>
          <w:t>https://ukandeu.ac.uk/brexit-the-long-term-impact-on-uk-and-eu-economies/</w:t>
        </w:r>
      </w:hyperlink>
      <w:r w:rsidRPr="6A9D2507">
        <w:rPr>
          <w:rFonts w:ascii="Calibri" w:eastAsia="Calibri" w:hAnsi="Calibri" w:cs="Calibri"/>
          <w:sz w:val="32"/>
          <w:szCs w:val="32"/>
          <w:vertAlign w:val="superscript"/>
        </w:rPr>
        <w:t>. Assessed November 18th 2019.</w:t>
      </w:r>
    </w:p>
    <w:p w14:paraId="7F1F04E5" w14:textId="5FD80050" w:rsidR="6A9D2507" w:rsidRDefault="6A9D2507" w:rsidP="6A9D2507">
      <w:pPr>
        <w:pStyle w:val="ListParagraph"/>
        <w:numPr>
          <w:ilvl w:val="0"/>
          <w:numId w:val="1"/>
        </w:numPr>
        <w:rPr>
          <w:sz w:val="32"/>
          <w:szCs w:val="32"/>
          <w:vertAlign w:val="superscript"/>
        </w:rPr>
      </w:pPr>
      <w:r w:rsidRPr="6A9D2507">
        <w:rPr>
          <w:rFonts w:ascii="Calibri" w:eastAsia="Calibri" w:hAnsi="Calibri" w:cs="Calibri"/>
          <w:sz w:val="32"/>
          <w:szCs w:val="32"/>
          <w:vertAlign w:val="superscript"/>
        </w:rPr>
        <w:t xml:space="preserve">Smitt, C (2013), </w:t>
      </w:r>
      <w:r w:rsidRPr="6A9D2507">
        <w:rPr>
          <w:rFonts w:ascii="Calibri" w:eastAsia="Calibri" w:hAnsi="Calibri" w:cs="Calibri"/>
          <w:sz w:val="32"/>
          <w:szCs w:val="32"/>
          <w:u w:val="single"/>
          <w:vertAlign w:val="superscript"/>
        </w:rPr>
        <w:t>“ Uncertainty avoidance in Belgium and Netherlands compared”</w:t>
      </w:r>
      <w:r w:rsidRPr="6A9D2507">
        <w:rPr>
          <w:rFonts w:ascii="Calibri" w:eastAsia="Calibri" w:hAnsi="Calibri" w:cs="Calibri"/>
          <w:sz w:val="32"/>
          <w:szCs w:val="32"/>
          <w:vertAlign w:val="superscript"/>
        </w:rPr>
        <w:t xml:space="preserve"> [online]. Available:  </w:t>
      </w:r>
      <w:hyperlink r:id="rId14">
        <w:r w:rsidRPr="6A9D2507">
          <w:rPr>
            <w:rStyle w:val="Hyperlink"/>
            <w:rFonts w:ascii="Calibri" w:eastAsia="Calibri" w:hAnsi="Calibri" w:cs="Calibri"/>
            <w:sz w:val="32"/>
            <w:szCs w:val="32"/>
            <w:vertAlign w:val="superscript"/>
          </w:rPr>
          <w:t>https://culturematters.com/uncertainty-avoidance-in-the-netherlands-and-belgium-compared/</w:t>
        </w:r>
      </w:hyperlink>
      <w:r w:rsidRPr="6A9D2507">
        <w:rPr>
          <w:rFonts w:ascii="Calibri" w:eastAsia="Calibri" w:hAnsi="Calibri" w:cs="Calibri"/>
          <w:sz w:val="32"/>
          <w:szCs w:val="32"/>
          <w:vertAlign w:val="superscript"/>
        </w:rPr>
        <w:t xml:space="preserve">. Assessed November 10th 2019. </w:t>
      </w:r>
    </w:p>
    <w:p w14:paraId="06191C50" w14:textId="71433E36" w:rsidR="6A9D2507" w:rsidRDefault="6A9D2507" w:rsidP="6A9D2507">
      <w:pPr>
        <w:pStyle w:val="ListParagraph"/>
        <w:numPr>
          <w:ilvl w:val="0"/>
          <w:numId w:val="1"/>
        </w:numPr>
        <w:rPr>
          <w:sz w:val="32"/>
          <w:szCs w:val="32"/>
          <w:vertAlign w:val="superscript"/>
        </w:rPr>
      </w:pPr>
      <w:r w:rsidRPr="6A9D2507">
        <w:rPr>
          <w:rFonts w:ascii="Calibri" w:eastAsia="Calibri" w:hAnsi="Calibri" w:cs="Calibri"/>
          <w:sz w:val="32"/>
          <w:szCs w:val="32"/>
          <w:vertAlign w:val="superscript"/>
        </w:rPr>
        <w:t xml:space="preserve">Jawad.C (2019), PTT,3, Powerpoint, Intercultural communication. M5X02108, University of Wales Trinity Saint David, ( Delivered: November 14th 2019). </w:t>
      </w:r>
    </w:p>
    <w:p w14:paraId="36B52652" w14:textId="1225FC2F" w:rsidR="6A9D2507" w:rsidRDefault="6A9D2507" w:rsidP="6A9D2507">
      <w:pPr>
        <w:pStyle w:val="ListParagraph"/>
        <w:numPr>
          <w:ilvl w:val="0"/>
          <w:numId w:val="1"/>
        </w:numPr>
        <w:rPr>
          <w:sz w:val="32"/>
          <w:szCs w:val="32"/>
          <w:vertAlign w:val="superscript"/>
        </w:rPr>
      </w:pPr>
      <w:r w:rsidRPr="6A9D2507">
        <w:rPr>
          <w:rFonts w:ascii="Calibri" w:eastAsia="Calibri" w:hAnsi="Calibri" w:cs="Calibri"/>
          <w:sz w:val="32"/>
          <w:szCs w:val="32"/>
          <w:vertAlign w:val="superscript"/>
        </w:rPr>
        <w:t xml:space="preserve">Verbeke,M (1996), </w:t>
      </w:r>
      <w:r w:rsidRPr="6A9D2507">
        <w:rPr>
          <w:rFonts w:ascii="Calibri" w:eastAsia="Calibri" w:hAnsi="Calibri" w:cs="Calibri"/>
          <w:sz w:val="32"/>
          <w:szCs w:val="32"/>
          <w:u w:val="single"/>
          <w:vertAlign w:val="superscript"/>
        </w:rPr>
        <w:t>“ Cross-cultural differences in the practices of hotel managers: Dutch and Belgium”</w:t>
      </w:r>
      <w:r w:rsidRPr="6A9D2507">
        <w:rPr>
          <w:rFonts w:ascii="Calibri" w:eastAsia="Calibri" w:hAnsi="Calibri" w:cs="Calibri"/>
          <w:sz w:val="32"/>
          <w:szCs w:val="32"/>
          <w:vertAlign w:val="superscript"/>
        </w:rPr>
        <w:t xml:space="preserve">[online]. Available: Issue: 7  Vol:17 , Google Scholar. P 544-548. Assessed November 5th 2019. </w:t>
      </w:r>
    </w:p>
    <w:p w14:paraId="0F161D20" w14:textId="60396CCF" w:rsidR="6A9D2507" w:rsidRDefault="6A9D2507" w:rsidP="6A9D2507">
      <w:pPr>
        <w:pStyle w:val="ListParagraph"/>
        <w:numPr>
          <w:ilvl w:val="0"/>
          <w:numId w:val="1"/>
        </w:numPr>
        <w:rPr>
          <w:sz w:val="32"/>
          <w:szCs w:val="32"/>
          <w:vertAlign w:val="superscript"/>
        </w:rPr>
      </w:pPr>
      <w:r w:rsidRPr="6A9D2507">
        <w:rPr>
          <w:rFonts w:ascii="Calibri" w:eastAsia="Calibri" w:hAnsi="Calibri" w:cs="Calibri"/>
          <w:sz w:val="32"/>
          <w:szCs w:val="32"/>
          <w:vertAlign w:val="superscript"/>
        </w:rPr>
        <w:t xml:space="preserve">Hofstede Insights ( 2019), </w:t>
      </w:r>
      <w:r w:rsidRPr="6A9D2507">
        <w:rPr>
          <w:rFonts w:ascii="Calibri" w:eastAsia="Calibri" w:hAnsi="Calibri" w:cs="Calibri"/>
          <w:sz w:val="32"/>
          <w:szCs w:val="32"/>
          <w:u w:val="single"/>
          <w:vertAlign w:val="superscript"/>
        </w:rPr>
        <w:t>“ Country Comparison”</w:t>
      </w:r>
      <w:r w:rsidRPr="6A9D2507">
        <w:rPr>
          <w:rFonts w:ascii="Calibri" w:eastAsia="Calibri" w:hAnsi="Calibri" w:cs="Calibri"/>
          <w:sz w:val="32"/>
          <w:szCs w:val="32"/>
          <w:vertAlign w:val="superscript"/>
        </w:rPr>
        <w:t xml:space="preserve">[online]. Available: </w:t>
      </w:r>
      <w:hyperlink r:id="rId15">
        <w:r w:rsidRPr="6A9D2507">
          <w:rPr>
            <w:rStyle w:val="Hyperlink"/>
            <w:rFonts w:ascii="Calibri" w:eastAsia="Calibri" w:hAnsi="Calibri" w:cs="Calibri"/>
            <w:sz w:val="32"/>
            <w:szCs w:val="32"/>
            <w:vertAlign w:val="superscript"/>
          </w:rPr>
          <w:t>https://www.hofstede-insights.com/country-comparison/belgium/</w:t>
        </w:r>
      </w:hyperlink>
      <w:r w:rsidRPr="6A9D2507">
        <w:rPr>
          <w:rFonts w:ascii="Calibri" w:eastAsia="Calibri" w:hAnsi="Calibri" w:cs="Calibri"/>
          <w:sz w:val="32"/>
          <w:szCs w:val="32"/>
          <w:vertAlign w:val="superscript"/>
        </w:rPr>
        <w:t xml:space="preserve">. Assessed 1st November 2019. </w:t>
      </w:r>
    </w:p>
    <w:p w14:paraId="64ECBEEE" w14:textId="620FB978" w:rsidR="6A9D2507" w:rsidRDefault="6A9D2507" w:rsidP="6A9D2507">
      <w:pPr>
        <w:pStyle w:val="ListParagraph"/>
        <w:numPr>
          <w:ilvl w:val="0"/>
          <w:numId w:val="1"/>
        </w:numPr>
        <w:rPr>
          <w:sz w:val="32"/>
          <w:szCs w:val="32"/>
          <w:vertAlign w:val="superscript"/>
        </w:rPr>
      </w:pPr>
      <w:r w:rsidRPr="6A9D2507">
        <w:rPr>
          <w:rFonts w:ascii="Calibri" w:eastAsia="Calibri" w:hAnsi="Calibri" w:cs="Calibri"/>
          <w:sz w:val="32"/>
          <w:szCs w:val="32"/>
          <w:vertAlign w:val="superscript"/>
        </w:rPr>
        <w:lastRenderedPageBreak/>
        <w:t xml:space="preserve">Wilde, T(2014), </w:t>
      </w:r>
      <w:r w:rsidRPr="6A9D2507">
        <w:rPr>
          <w:rFonts w:ascii="Calibri" w:eastAsia="Calibri" w:hAnsi="Calibri" w:cs="Calibri"/>
          <w:sz w:val="32"/>
          <w:szCs w:val="32"/>
          <w:u w:val="single"/>
          <w:vertAlign w:val="superscript"/>
        </w:rPr>
        <w:t>“ Culture of Belgium- Dimensions of Hofstede”</w:t>
      </w:r>
      <w:r w:rsidRPr="6A9D2507">
        <w:rPr>
          <w:rFonts w:ascii="Calibri" w:eastAsia="Calibri" w:hAnsi="Calibri" w:cs="Calibri"/>
          <w:sz w:val="32"/>
          <w:szCs w:val="32"/>
          <w:vertAlign w:val="superscript"/>
        </w:rPr>
        <w:t xml:space="preserve">[online]. Available: </w:t>
      </w:r>
      <w:hyperlink r:id="rId16">
        <w:r w:rsidRPr="6A9D2507">
          <w:rPr>
            <w:rStyle w:val="Hyperlink"/>
            <w:rFonts w:ascii="Calibri" w:eastAsia="Calibri" w:hAnsi="Calibri" w:cs="Calibri"/>
            <w:sz w:val="32"/>
            <w:szCs w:val="32"/>
            <w:vertAlign w:val="superscript"/>
          </w:rPr>
          <w:t>https://prezi.com/d4vuysl9vgeu/culture-of-belgium/</w:t>
        </w:r>
      </w:hyperlink>
      <w:r w:rsidRPr="6A9D2507">
        <w:rPr>
          <w:rFonts w:ascii="Calibri" w:eastAsia="Calibri" w:hAnsi="Calibri" w:cs="Calibri"/>
          <w:sz w:val="32"/>
          <w:szCs w:val="32"/>
          <w:vertAlign w:val="superscript"/>
        </w:rPr>
        <w:t xml:space="preserve">. Assessed November 11th 2019. </w:t>
      </w:r>
    </w:p>
    <w:p w14:paraId="61ED00B3" w14:textId="3F6B12CC" w:rsidR="6A9D2507" w:rsidRDefault="6A9D2507" w:rsidP="6A9D2507">
      <w:pPr>
        <w:pStyle w:val="ListParagraph"/>
        <w:numPr>
          <w:ilvl w:val="0"/>
          <w:numId w:val="1"/>
        </w:numPr>
        <w:rPr>
          <w:sz w:val="32"/>
          <w:szCs w:val="32"/>
          <w:vertAlign w:val="superscript"/>
        </w:rPr>
      </w:pPr>
      <w:r w:rsidRPr="6A9D2507">
        <w:rPr>
          <w:rFonts w:ascii="Calibri" w:eastAsia="Calibri" w:hAnsi="Calibri" w:cs="Calibri"/>
          <w:sz w:val="32"/>
          <w:szCs w:val="32"/>
          <w:vertAlign w:val="superscript"/>
        </w:rPr>
        <w:t xml:space="preserve">Richards, G (1996), </w:t>
      </w:r>
      <w:r w:rsidRPr="6A9D2507">
        <w:rPr>
          <w:rFonts w:ascii="Calibri" w:eastAsia="Calibri" w:hAnsi="Calibri" w:cs="Calibri"/>
          <w:sz w:val="32"/>
          <w:szCs w:val="32"/>
          <w:u w:val="single"/>
          <w:vertAlign w:val="superscript"/>
        </w:rPr>
        <w:t>“ Cultural Tourism in Europe”</w:t>
      </w:r>
      <w:r w:rsidRPr="6A9D2507">
        <w:rPr>
          <w:rFonts w:ascii="Calibri" w:eastAsia="Calibri" w:hAnsi="Calibri" w:cs="Calibri"/>
          <w:sz w:val="32"/>
          <w:szCs w:val="32"/>
          <w:vertAlign w:val="superscript"/>
        </w:rPr>
        <w:t xml:space="preserve">[online]. UWTSD library, Published: Wallingford. Assessed November 8th 2019. </w:t>
      </w:r>
    </w:p>
    <w:p w14:paraId="3AB333D6" w14:textId="383C8F7F" w:rsidR="6A9D2507" w:rsidRDefault="6A9D2507" w:rsidP="6A9D2507">
      <w:pPr>
        <w:rPr>
          <w:rFonts w:ascii="Calibri" w:eastAsia="Calibri" w:hAnsi="Calibri" w:cs="Calibri"/>
          <w:sz w:val="28"/>
          <w:szCs w:val="28"/>
          <w:vertAlign w:val="superscript"/>
        </w:rPr>
      </w:pPr>
    </w:p>
    <w:p w14:paraId="3C14E4E3" w14:textId="31991B24" w:rsidR="6A9D2507" w:rsidRDefault="6A9D2507" w:rsidP="6A9D2507">
      <w:pPr>
        <w:rPr>
          <w:rFonts w:ascii="Calibri" w:eastAsia="Calibri" w:hAnsi="Calibri" w:cs="Calibri"/>
          <w:sz w:val="28"/>
          <w:szCs w:val="28"/>
          <w:vertAlign w:val="superscript"/>
        </w:rPr>
      </w:pPr>
    </w:p>
    <w:p w14:paraId="7D3A01E0" w14:textId="40829CB6" w:rsidR="6A9D2507" w:rsidRDefault="6A9D2507" w:rsidP="6A9D2507">
      <w:pPr>
        <w:rPr>
          <w:rFonts w:ascii="Calibri" w:eastAsia="Calibri" w:hAnsi="Calibri" w:cs="Calibri"/>
          <w:sz w:val="28"/>
          <w:szCs w:val="28"/>
          <w:vertAlign w:val="superscript"/>
        </w:rPr>
      </w:pPr>
    </w:p>
    <w:p w14:paraId="3B2BAC90" w14:textId="490AF279" w:rsidR="6A9D2507" w:rsidRDefault="6A9D2507" w:rsidP="6A9D2507">
      <w:pPr>
        <w:rPr>
          <w:rFonts w:ascii="Calibri" w:eastAsia="Calibri" w:hAnsi="Calibri" w:cs="Calibri"/>
          <w:sz w:val="28"/>
          <w:szCs w:val="28"/>
          <w:vertAlign w:val="superscript"/>
        </w:rPr>
      </w:pPr>
    </w:p>
    <w:p w14:paraId="1D3BDAC5" w14:textId="472DF9F7" w:rsidR="6A9D2507" w:rsidRDefault="6A9D2507" w:rsidP="6A9D2507">
      <w:pPr>
        <w:rPr>
          <w:rFonts w:ascii="Calibri" w:eastAsia="Calibri" w:hAnsi="Calibri" w:cs="Calibri"/>
          <w:sz w:val="28"/>
          <w:szCs w:val="28"/>
          <w:vertAlign w:val="superscript"/>
        </w:rPr>
      </w:pPr>
    </w:p>
    <w:p w14:paraId="389DA17B" w14:textId="44BE3DD3" w:rsidR="6A9D2507" w:rsidRDefault="6A9D2507" w:rsidP="6A9D2507">
      <w:pPr>
        <w:rPr>
          <w:rFonts w:ascii="Calibri" w:eastAsia="Calibri" w:hAnsi="Calibri" w:cs="Calibri"/>
          <w:sz w:val="28"/>
          <w:szCs w:val="28"/>
          <w:vertAlign w:val="superscript"/>
        </w:rPr>
      </w:pPr>
    </w:p>
    <w:p w14:paraId="299D8603" w14:textId="1FF08E5D" w:rsidR="6A9D2507" w:rsidRDefault="6A9D2507" w:rsidP="6A9D2507">
      <w:pPr>
        <w:rPr>
          <w:rFonts w:ascii="Calibri" w:eastAsia="Calibri" w:hAnsi="Calibri" w:cs="Calibri"/>
          <w:sz w:val="28"/>
          <w:szCs w:val="28"/>
          <w:vertAlign w:val="superscript"/>
        </w:rPr>
      </w:pPr>
    </w:p>
    <w:p w14:paraId="7C69E52F" w14:textId="0FCC2050" w:rsidR="6A9D2507" w:rsidRDefault="6A9D2507" w:rsidP="6A9D2507">
      <w:pPr>
        <w:rPr>
          <w:rFonts w:ascii="Calibri" w:eastAsia="Calibri" w:hAnsi="Calibri" w:cs="Calibri"/>
          <w:sz w:val="28"/>
          <w:szCs w:val="28"/>
          <w:vertAlign w:val="superscript"/>
        </w:rPr>
      </w:pPr>
    </w:p>
    <w:p w14:paraId="43850FDA" w14:textId="2507A7AE" w:rsidR="6A9D2507" w:rsidRDefault="6A9D2507" w:rsidP="6A9D2507">
      <w:pPr>
        <w:rPr>
          <w:rFonts w:ascii="Calibri" w:eastAsia="Calibri" w:hAnsi="Calibri" w:cs="Calibri"/>
          <w:sz w:val="28"/>
          <w:szCs w:val="28"/>
          <w:vertAlign w:val="superscript"/>
        </w:rPr>
      </w:pPr>
    </w:p>
    <w:p w14:paraId="5EAFD74B" w14:textId="36000023" w:rsidR="6A9D2507" w:rsidRDefault="6A9D2507" w:rsidP="6A9D2507">
      <w:pPr>
        <w:rPr>
          <w:rFonts w:ascii="Calibri" w:eastAsia="Calibri" w:hAnsi="Calibri" w:cs="Calibri"/>
          <w:sz w:val="28"/>
          <w:szCs w:val="28"/>
          <w:vertAlign w:val="superscript"/>
        </w:rPr>
      </w:pPr>
    </w:p>
    <w:p w14:paraId="0D81745E" w14:textId="3F6E7994" w:rsidR="6A9D2507" w:rsidRDefault="6A9D2507" w:rsidP="6A9D2507">
      <w:pPr>
        <w:rPr>
          <w:rFonts w:ascii="Calibri" w:eastAsia="Calibri" w:hAnsi="Calibri" w:cs="Calibri"/>
          <w:sz w:val="28"/>
          <w:szCs w:val="28"/>
          <w:vertAlign w:val="superscript"/>
        </w:rPr>
      </w:pPr>
    </w:p>
    <w:p w14:paraId="358BE6AB" w14:textId="362EA428" w:rsidR="6A9D2507" w:rsidRDefault="6A9D2507" w:rsidP="6A9D2507">
      <w:pPr>
        <w:rPr>
          <w:rFonts w:ascii="Calibri" w:eastAsia="Calibri" w:hAnsi="Calibri" w:cs="Calibri"/>
          <w:sz w:val="28"/>
          <w:szCs w:val="28"/>
          <w:vertAlign w:val="superscript"/>
        </w:rPr>
      </w:pPr>
    </w:p>
    <w:p w14:paraId="542F9D0A" w14:textId="2CB14C45" w:rsidR="6A9D2507" w:rsidRDefault="6A9D2507" w:rsidP="6A9D2507">
      <w:pPr>
        <w:rPr>
          <w:rFonts w:ascii="Calibri" w:eastAsia="Calibri" w:hAnsi="Calibri" w:cs="Calibri"/>
          <w:sz w:val="28"/>
          <w:szCs w:val="28"/>
          <w:vertAlign w:val="superscript"/>
        </w:rPr>
      </w:pPr>
    </w:p>
    <w:p w14:paraId="4369E82D" w14:textId="0474F184" w:rsidR="6A9D2507" w:rsidRDefault="6A9D2507" w:rsidP="6A9D2507">
      <w:pPr>
        <w:rPr>
          <w:rFonts w:ascii="Calibri" w:eastAsia="Calibri" w:hAnsi="Calibri" w:cs="Calibri"/>
          <w:sz w:val="28"/>
          <w:szCs w:val="28"/>
          <w:vertAlign w:val="superscript"/>
        </w:rPr>
      </w:pPr>
    </w:p>
    <w:p w14:paraId="72C7F922" w14:textId="39844892" w:rsidR="6A9D2507" w:rsidRDefault="6A9D2507" w:rsidP="6A9D2507">
      <w:pPr>
        <w:rPr>
          <w:rFonts w:ascii="Calibri" w:eastAsia="Calibri" w:hAnsi="Calibri" w:cs="Calibri"/>
          <w:color w:val="0563C1"/>
          <w:sz w:val="28"/>
          <w:szCs w:val="28"/>
        </w:rPr>
      </w:pPr>
    </w:p>
    <w:p w14:paraId="705C905B" w14:textId="77777777" w:rsidR="00907804" w:rsidRDefault="00907804" w:rsidP="3C17A95D">
      <w:pPr>
        <w:rPr>
          <w:rFonts w:ascii="Calibri" w:eastAsia="Calibri" w:hAnsi="Calibri" w:cs="Calibri"/>
          <w:sz w:val="28"/>
          <w:szCs w:val="28"/>
        </w:rPr>
      </w:pPr>
    </w:p>
    <w:p w14:paraId="29E820A2" w14:textId="77777777" w:rsidR="00907804" w:rsidRDefault="00907804" w:rsidP="3C17A95D">
      <w:pPr>
        <w:rPr>
          <w:rFonts w:ascii="Calibri" w:eastAsia="Calibri" w:hAnsi="Calibri" w:cs="Calibri"/>
          <w:sz w:val="28"/>
          <w:szCs w:val="28"/>
        </w:rPr>
      </w:pPr>
    </w:p>
    <w:p w14:paraId="12D4FFE1" w14:textId="77777777" w:rsidR="00D555E6" w:rsidRDefault="00D555E6" w:rsidP="3C17A95D">
      <w:pPr>
        <w:rPr>
          <w:rFonts w:ascii="Calibri" w:eastAsia="Calibri" w:hAnsi="Calibri" w:cs="Calibri"/>
          <w:sz w:val="28"/>
          <w:szCs w:val="28"/>
        </w:rPr>
      </w:pPr>
    </w:p>
    <w:p w14:paraId="1F45283E" w14:textId="7DB7BDE5" w:rsidR="006E1B3C" w:rsidRDefault="006E1B3C" w:rsidP="3C17A95D">
      <w:pPr>
        <w:rPr>
          <w:rFonts w:ascii="Calibri" w:eastAsia="Calibri" w:hAnsi="Calibri" w:cs="Calibri"/>
          <w:sz w:val="28"/>
          <w:szCs w:val="28"/>
        </w:rPr>
      </w:pPr>
      <w:r>
        <w:rPr>
          <w:rFonts w:ascii="Calibri" w:eastAsia="Calibri" w:hAnsi="Calibri" w:cs="Calibri"/>
          <w:sz w:val="28"/>
          <w:szCs w:val="28"/>
        </w:rPr>
        <w:t xml:space="preserve">  </w:t>
      </w:r>
    </w:p>
    <w:p w14:paraId="7A38DAF2" w14:textId="77777777" w:rsidR="006E1B3C" w:rsidRDefault="006E1B3C" w:rsidP="3C17A95D">
      <w:pPr>
        <w:rPr>
          <w:rFonts w:ascii="Calibri" w:eastAsia="Calibri" w:hAnsi="Calibri" w:cs="Calibri"/>
          <w:sz w:val="28"/>
          <w:szCs w:val="28"/>
        </w:rPr>
      </w:pPr>
    </w:p>
    <w:p w14:paraId="3CD84509" w14:textId="77777777" w:rsidR="006E1B3C" w:rsidRDefault="006E1B3C" w:rsidP="3C17A95D"/>
    <w:p w14:paraId="2F35FD17" w14:textId="034AFE12" w:rsidR="3C17A95D" w:rsidRDefault="3C17A95D" w:rsidP="3C17A95D">
      <w:pPr>
        <w:rPr>
          <w:rFonts w:ascii="Calibri" w:eastAsia="Calibri" w:hAnsi="Calibri" w:cs="Calibri"/>
          <w:color w:val="0563C1"/>
          <w:sz w:val="28"/>
          <w:szCs w:val="28"/>
          <w:u w:val="single"/>
        </w:rPr>
      </w:pPr>
    </w:p>
    <w:p w14:paraId="470E2EB6" w14:textId="4C9B7D3D" w:rsidR="3C17A95D" w:rsidRDefault="22F76614" w:rsidP="3C17A95D">
      <w:r w:rsidRPr="22F76614">
        <w:rPr>
          <w:rFonts w:ascii="Calibri" w:eastAsia="Calibri" w:hAnsi="Calibri" w:cs="Calibri"/>
          <w:sz w:val="28"/>
          <w:szCs w:val="28"/>
        </w:rPr>
        <w:t xml:space="preserve"> </w:t>
      </w:r>
    </w:p>
    <w:p w14:paraId="3AD60875" w14:textId="3B41FD28" w:rsidR="26D75F02" w:rsidRDefault="26D75F02" w:rsidP="26D75F02">
      <w:pPr>
        <w:rPr>
          <w:rFonts w:ascii="Calibri" w:eastAsia="Calibri" w:hAnsi="Calibri" w:cs="Calibri"/>
          <w:sz w:val="28"/>
          <w:szCs w:val="28"/>
        </w:rPr>
      </w:pPr>
    </w:p>
    <w:p w14:paraId="1FA5627B" w14:textId="4D8F1A47" w:rsidR="26D75F02" w:rsidRDefault="26D75F02" w:rsidP="26D75F02"/>
    <w:sectPr w:rsidR="26D75F0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B866D8"/>
    <w:multiLevelType w:val="hybridMultilevel"/>
    <w:tmpl w:val="86F00600"/>
    <w:lvl w:ilvl="0" w:tplc="9806C1DC">
      <w:start w:val="1"/>
      <w:numFmt w:val="bullet"/>
      <w:lvlText w:val=""/>
      <w:lvlJc w:val="left"/>
      <w:pPr>
        <w:ind w:left="720" w:hanging="360"/>
      </w:pPr>
      <w:rPr>
        <w:rFonts w:ascii="Wingdings" w:hAnsi="Wingdings" w:hint="default"/>
      </w:rPr>
    </w:lvl>
    <w:lvl w:ilvl="1" w:tplc="89005ADA">
      <w:start w:val="1"/>
      <w:numFmt w:val="bullet"/>
      <w:lvlText w:val="o"/>
      <w:lvlJc w:val="left"/>
      <w:pPr>
        <w:ind w:left="1440" w:hanging="360"/>
      </w:pPr>
      <w:rPr>
        <w:rFonts w:ascii="Courier New" w:hAnsi="Courier New" w:hint="default"/>
      </w:rPr>
    </w:lvl>
    <w:lvl w:ilvl="2" w:tplc="EA987082">
      <w:start w:val="1"/>
      <w:numFmt w:val="bullet"/>
      <w:lvlText w:val=""/>
      <w:lvlJc w:val="left"/>
      <w:pPr>
        <w:ind w:left="2160" w:hanging="360"/>
      </w:pPr>
      <w:rPr>
        <w:rFonts w:ascii="Wingdings" w:hAnsi="Wingdings" w:hint="default"/>
      </w:rPr>
    </w:lvl>
    <w:lvl w:ilvl="3" w:tplc="8B220CEA">
      <w:start w:val="1"/>
      <w:numFmt w:val="bullet"/>
      <w:lvlText w:val=""/>
      <w:lvlJc w:val="left"/>
      <w:pPr>
        <w:ind w:left="2880" w:hanging="360"/>
      </w:pPr>
      <w:rPr>
        <w:rFonts w:ascii="Symbol" w:hAnsi="Symbol" w:hint="default"/>
      </w:rPr>
    </w:lvl>
    <w:lvl w:ilvl="4" w:tplc="E6F2510A">
      <w:start w:val="1"/>
      <w:numFmt w:val="bullet"/>
      <w:lvlText w:val="o"/>
      <w:lvlJc w:val="left"/>
      <w:pPr>
        <w:ind w:left="3600" w:hanging="360"/>
      </w:pPr>
      <w:rPr>
        <w:rFonts w:ascii="Courier New" w:hAnsi="Courier New" w:hint="default"/>
      </w:rPr>
    </w:lvl>
    <w:lvl w:ilvl="5" w:tplc="41A2601C">
      <w:start w:val="1"/>
      <w:numFmt w:val="bullet"/>
      <w:lvlText w:val=""/>
      <w:lvlJc w:val="left"/>
      <w:pPr>
        <w:ind w:left="4320" w:hanging="360"/>
      </w:pPr>
      <w:rPr>
        <w:rFonts w:ascii="Wingdings" w:hAnsi="Wingdings" w:hint="default"/>
      </w:rPr>
    </w:lvl>
    <w:lvl w:ilvl="6" w:tplc="7FC04930">
      <w:start w:val="1"/>
      <w:numFmt w:val="bullet"/>
      <w:lvlText w:val=""/>
      <w:lvlJc w:val="left"/>
      <w:pPr>
        <w:ind w:left="5040" w:hanging="360"/>
      </w:pPr>
      <w:rPr>
        <w:rFonts w:ascii="Symbol" w:hAnsi="Symbol" w:hint="default"/>
      </w:rPr>
    </w:lvl>
    <w:lvl w:ilvl="7" w:tplc="42483E90">
      <w:start w:val="1"/>
      <w:numFmt w:val="bullet"/>
      <w:lvlText w:val="o"/>
      <w:lvlJc w:val="left"/>
      <w:pPr>
        <w:ind w:left="5760" w:hanging="360"/>
      </w:pPr>
      <w:rPr>
        <w:rFonts w:ascii="Courier New" w:hAnsi="Courier New" w:hint="default"/>
      </w:rPr>
    </w:lvl>
    <w:lvl w:ilvl="8" w:tplc="8C1212CC">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E08619"/>
    <w:rsid w:val="0005147E"/>
    <w:rsid w:val="00681531"/>
    <w:rsid w:val="006E1B3C"/>
    <w:rsid w:val="00907804"/>
    <w:rsid w:val="009E443A"/>
    <w:rsid w:val="00A42289"/>
    <w:rsid w:val="00A62259"/>
    <w:rsid w:val="00B57DD3"/>
    <w:rsid w:val="00BD4326"/>
    <w:rsid w:val="00CF2039"/>
    <w:rsid w:val="00D555E6"/>
    <w:rsid w:val="00E3086A"/>
    <w:rsid w:val="00FA6E0D"/>
    <w:rsid w:val="22F76614"/>
    <w:rsid w:val="26D75F02"/>
    <w:rsid w:val="3C17A95D"/>
    <w:rsid w:val="5B93613F"/>
    <w:rsid w:val="620DA027"/>
    <w:rsid w:val="62E08619"/>
    <w:rsid w:val="6A9D2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08619"/>
  <w15:chartTrackingRefBased/>
  <w15:docId w15:val="{FE1FC42B-1947-48E5-A1AB-E02273E53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57D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B57DD3"/>
    <w:rPr>
      <w:rFonts w:asciiTheme="majorHAnsi" w:eastAsiaTheme="majorEastAsia" w:hAnsiTheme="majorHAnsi" w:cstheme="majorBidi"/>
      <w:color w:val="2F5496" w:themeColor="accent1" w:themeShade="BF"/>
      <w:sz w:val="32"/>
      <w:szCs w:val="32"/>
    </w:rPr>
  </w:style>
  <w:style w:type="character" w:customStyle="1" w:styleId="UnresolvedMention">
    <w:name w:val="Unresolved Mention"/>
    <w:basedOn w:val="DefaultParagraphFont"/>
    <w:uiPriority w:val="99"/>
    <w:semiHidden/>
    <w:unhideWhenUsed/>
    <w:rsid w:val="006E1B3C"/>
    <w:rPr>
      <w:color w:val="605E5C"/>
      <w:shd w:val="clear" w:color="auto" w:fill="E1DFDD"/>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to-you.com/hofstedes-cultural-dimensions/" TargetMode="External"/><Relationship Id="rId13" Type="http://schemas.openxmlformats.org/officeDocument/2006/relationships/hyperlink" Target="https://ukandeu.ac.uk/brexit-the-long-term-impact-on-uk-and-eu-economi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leverism.com/understanding-cultures-people-hofstede-dimension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rezi.com/d4vuysl9vgeu/culture-of-belgiu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ites.psu.edu/belgiumculturalprofile/typology/" TargetMode="External"/><Relationship Id="rId5" Type="http://schemas.openxmlformats.org/officeDocument/2006/relationships/styles" Target="styles.xml"/><Relationship Id="rId15" Type="http://schemas.openxmlformats.org/officeDocument/2006/relationships/hyperlink" Target="https://www.hofstede-insights.com/country-comparison/belgium/" TargetMode="External"/><Relationship Id="rId10" Type="http://schemas.openxmlformats.org/officeDocument/2006/relationships/hyperlink" Target="https://www-cdn.oxfam.org/s3fs-public/file_attachments/cs-true-cost-austerity-inequality-belgium-120913-en_0.pdf" TargetMode="External"/><Relationship Id="rId4" Type="http://schemas.openxmlformats.org/officeDocument/2006/relationships/numbering" Target="numbering.xml"/><Relationship Id="rId9" Type="http://schemas.openxmlformats.org/officeDocument/2006/relationships/hyperlink" Target="https://www.britannica.com/place/Belgium" TargetMode="External"/><Relationship Id="rId14" Type="http://schemas.openxmlformats.org/officeDocument/2006/relationships/hyperlink" Target="https://culturematters.com/uncertainty-avoidance-in-the-netherlands-and-belgium-compar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5" ma:contentTypeDescription="Create a new document." ma:contentTypeScope="" ma:versionID="1f3c7380b4a57a053d1f5ff0d3167fed">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291dc4a5a38e71e9124997dc1269ca9e"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4F19BF-D2EE-414D-912E-52AFCD456950}">
  <ds:schemaRefs>
    <ds:schemaRef ds:uri="http://schemas.microsoft.com/sharepoint/v3/contenttype/forms"/>
  </ds:schemaRefs>
</ds:datastoreItem>
</file>

<file path=customXml/itemProps2.xml><?xml version="1.0" encoding="utf-8"?>
<ds:datastoreItem xmlns:ds="http://schemas.openxmlformats.org/officeDocument/2006/customXml" ds:itemID="{A36AF113-0119-48B0-BC5F-5ACD715555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9C6C80-AC4C-4B19-A40A-C44FC957465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1520</Words>
  <Characters>8668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Westall (1803322)</dc:creator>
  <cp:keywords/>
  <dc:description/>
  <cp:lastModifiedBy>Administrator</cp:lastModifiedBy>
  <cp:revision>2</cp:revision>
  <dcterms:created xsi:type="dcterms:W3CDTF">2019-12-18T13:42:00Z</dcterms:created>
  <dcterms:modified xsi:type="dcterms:W3CDTF">2019-12-18T13:42:00Z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