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27E6D89" w:rsidR="00986B43" w:rsidRPr="000834D1"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0834D1">
              <w:rPr>
                <w:rFonts w:ascii="Times New Roman" w:hAnsi="Times New Roman" w:cs="Times New Roman"/>
                <w:b/>
                <w:color w:val="auto"/>
                <w:sz w:val="44"/>
                <w:szCs w:val="44"/>
              </w:rPr>
              <w:t>Learner’s name:</w:t>
            </w:r>
            <w:r w:rsidR="00247265" w:rsidRPr="000834D1">
              <w:rPr>
                <w:rFonts w:ascii="Times New Roman" w:hAnsi="Times New Roman" w:cs="Times New Roman"/>
                <w:b/>
                <w:color w:val="auto"/>
                <w:sz w:val="44"/>
                <w:szCs w:val="44"/>
              </w:rPr>
              <w:t xml:space="preserve"> </w:t>
            </w:r>
            <w:r w:rsidR="000834D1" w:rsidRPr="000834D1">
              <w:rPr>
                <w:rFonts w:ascii="Times New Roman" w:hAnsi="Times New Roman" w:cs="Times New Roman"/>
                <w:b/>
                <w:color w:val="auto"/>
                <w:sz w:val="44"/>
                <w:szCs w:val="44"/>
              </w:rPr>
              <w:t>Laura Atkins</w:t>
            </w:r>
          </w:p>
          <w:p w14:paraId="0B6CD0DB" w14:textId="689515B5" w:rsidR="009C337F" w:rsidRPr="000834D1"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74A444E9" w:rsidR="009C337F" w:rsidRPr="000834D1"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0834D1">
              <w:rPr>
                <w:rFonts w:ascii="Times New Roman" w:hAnsi="Times New Roman" w:cs="Times New Roman"/>
                <w:b/>
                <w:color w:val="auto"/>
                <w:sz w:val="44"/>
                <w:szCs w:val="44"/>
              </w:rPr>
              <w:t>Email address:</w:t>
            </w:r>
            <w:r w:rsidR="000834D1" w:rsidRPr="000834D1">
              <w:rPr>
                <w:rFonts w:ascii="Times New Roman" w:hAnsi="Times New Roman" w:cs="Times New Roman"/>
                <w:b/>
                <w:color w:val="auto"/>
                <w:sz w:val="44"/>
                <w:szCs w:val="44"/>
              </w:rPr>
              <w:t xml:space="preserve"> laura.e.atkins@hotmail.com</w:t>
            </w:r>
          </w:p>
          <w:p w14:paraId="22E38809" w14:textId="77777777" w:rsidR="00986B43" w:rsidRPr="000834D1"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1BE8E9CF" w:rsidR="00F927A1" w:rsidRPr="000834D1"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0834D1">
              <w:rPr>
                <w:rFonts w:ascii="Times New Roman" w:hAnsi="Times New Roman" w:cs="Times New Roman"/>
                <w:b/>
                <w:color w:val="auto"/>
                <w:sz w:val="44"/>
                <w:szCs w:val="44"/>
              </w:rPr>
              <w:t>Learner’s University Registration</w:t>
            </w:r>
            <w:r w:rsidR="00F927A1" w:rsidRPr="000834D1">
              <w:rPr>
                <w:rFonts w:ascii="Times New Roman" w:hAnsi="Times New Roman" w:cs="Times New Roman"/>
                <w:b/>
                <w:color w:val="auto"/>
                <w:sz w:val="44"/>
                <w:szCs w:val="44"/>
              </w:rPr>
              <w:t xml:space="preserve"> Number:</w:t>
            </w:r>
            <w:r w:rsidR="000834D1" w:rsidRPr="000834D1">
              <w:rPr>
                <w:rFonts w:ascii="Times New Roman" w:hAnsi="Times New Roman" w:cs="Times New Roman"/>
                <w:b/>
                <w:color w:val="auto"/>
                <w:sz w:val="44"/>
                <w:szCs w:val="44"/>
              </w:rPr>
              <w:t xml:space="preserve"> 2521023</w:t>
            </w:r>
          </w:p>
          <w:p w14:paraId="622FD17A" w14:textId="77777777" w:rsidR="0085230E" w:rsidRPr="000834D1"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0834D1">
              <w:rPr>
                <w:rFonts w:ascii="Times New Roman" w:hAnsi="Times New Roman" w:cs="Times New Roman"/>
                <w:b/>
                <w:color w:val="auto"/>
                <w:sz w:val="44"/>
                <w:szCs w:val="44"/>
              </w:rPr>
              <w:t xml:space="preserve">Cohort: </w:t>
            </w:r>
            <w:r w:rsidR="00B037B0" w:rsidRPr="000834D1">
              <w:rPr>
                <w:rFonts w:ascii="Times New Roman" w:hAnsi="Times New Roman" w:cs="Times New Roman"/>
                <w:b/>
                <w:color w:val="auto"/>
                <w:sz w:val="44"/>
                <w:szCs w:val="44"/>
              </w:rPr>
              <w:t>21</w:t>
            </w:r>
            <w:r w:rsidR="00AE6231" w:rsidRPr="000834D1">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5BE5A0F6"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Since qualifying as a social worker in 2024, I have been employed within an Adult Services Network Team, working in predominately semi-rural communities. This role has offered valuable opportunities to engage with complex and evolving cases, allowing me to enhance my knowledge and confidence in safeguarding practice. Through exposure to a diverse range of situations, I have improved my abilities in conducting assessments, managing risk, applying professional judgement, and collaborating effectively within multi-disciplinary settings.</w:t>
            </w:r>
          </w:p>
          <w:p w14:paraId="1ED20548" w14:textId="77777777" w:rsidR="00002E18" w:rsidRPr="00002E18" w:rsidRDefault="00002E18" w:rsidP="00002E18">
            <w:pPr>
              <w:rPr>
                <w:rFonts w:ascii="Times New Roman" w:hAnsi="Times New Roman" w:cs="Times New Roman"/>
                <w:sz w:val="24"/>
                <w:szCs w:val="24"/>
              </w:rPr>
            </w:pPr>
          </w:p>
          <w:p w14:paraId="135CDE54"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The purpose of this essay is to critically reflect upon my practice in a safeguarding enquiry. I will endeavour to demonstrate how I applied analysis within assessment and my use of professional judgement throughout the safeguarding process. This essay will critically reflect on the benefits and challenges of multi-disciplinary working within a complex safeguarding context and consider how such approaches contribute to achieving positive outcomes for adults at risk. I will also discuss the relevant legislations, frameworks and social work theories which were applied and consider how these were relevant throughout the safeguarding process. </w:t>
            </w:r>
          </w:p>
          <w:p w14:paraId="6C595CEF" w14:textId="77777777" w:rsidR="00002E18" w:rsidRPr="00002E18" w:rsidRDefault="00002E18" w:rsidP="00002E18">
            <w:pPr>
              <w:rPr>
                <w:rFonts w:ascii="Times New Roman" w:hAnsi="Times New Roman" w:cs="Times New Roman"/>
                <w:sz w:val="24"/>
                <w:szCs w:val="24"/>
              </w:rPr>
            </w:pPr>
          </w:p>
          <w:p w14:paraId="6CC9F1A3" w14:textId="0B1B128E"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The case study I wish to discuss is in relation to an older adult who lived in a residential home.</w:t>
            </w:r>
            <w:r w:rsidR="00697584">
              <w:rPr>
                <w:rFonts w:ascii="Times New Roman" w:hAnsi="Times New Roman" w:cs="Times New Roman"/>
                <w:sz w:val="24"/>
                <w:szCs w:val="24"/>
              </w:rPr>
              <w:t xml:space="preserve"> The individual lives in a semi-rural residential home and his son lives in England. It is important to recognise the impact of geography when considering his family relationships and wellbeing. There are very few public transport options available to his son, so he is required to drive when visiting. Although the older adult is non-verbal, when he was able to communicate, his first language was English. Therefore, there was no identified need for Welsh language provision when supporting him. </w:t>
            </w:r>
            <w:r w:rsidRPr="00002E18">
              <w:rPr>
                <w:rFonts w:ascii="Times New Roman" w:hAnsi="Times New Roman" w:cs="Times New Roman"/>
                <w:sz w:val="24"/>
                <w:szCs w:val="24"/>
              </w:rPr>
              <w:t xml:space="preserve">When considering the UK General Data Protection Regulation (UK GDPR) (Data Protection Act </w:t>
            </w:r>
            <w:r w:rsidRPr="00002E18">
              <w:rPr>
                <w:rFonts w:ascii="Times New Roman" w:hAnsi="Times New Roman" w:cs="Times New Roman"/>
                <w:sz w:val="24"/>
                <w:szCs w:val="24"/>
              </w:rPr>
              <w:lastRenderedPageBreak/>
              <w:t>2018) and the Social Care Wales Codes of Professional Practice, all identifying information has been anonymised to protect confidentiality. Therefore, the individual discussed will be referred to throughout this essay as 3, and any details that could potentially identify the individual, their family members or specific locations have been removed.</w:t>
            </w:r>
          </w:p>
          <w:p w14:paraId="1D207E5B" w14:textId="77777777" w:rsidR="009119C8" w:rsidRPr="00002E18" w:rsidRDefault="009119C8" w:rsidP="00002E18">
            <w:pPr>
              <w:rPr>
                <w:rFonts w:ascii="Times New Roman" w:hAnsi="Times New Roman" w:cs="Times New Roman"/>
                <w:sz w:val="24"/>
                <w:szCs w:val="24"/>
              </w:rPr>
            </w:pPr>
          </w:p>
          <w:p w14:paraId="1A47F21A"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A safeguarding concern was raised by 3's son following an admission to hospital with unexplained injuries. These injuries included a fractured femur and historical vertebral fractures. Both injuries were identified whilst 3 was residing in a residential care home. Concern was raised because 3 was non weight baring and care staff used a hoist for all transfers and repositioning, following a manual handling plan provided. This was relevant because medical professionals were struggling to explain how a fracture of this severity could have occurred, without a clear explanation of the circumstances surrounding 3’s injury. When 3 was in hospital, further concerns emerged following scans which identified four historical back fractures which had developed since his last CT scan in 2017. Records show that 3 entered residential care in 2021 and there was no information available to reliably show exactly when these fractures had occurred. The initial need for a safeguarding enquiry was indicated due to a lack of explanation or written records from the residential care provider and concerns raised from both family and healthcare professionals when 3 was admitted into hospital. Due to 3’s vulnerability and his age, he was considered to be an adult at risk, and it was essential that an immediate response was provided to safeguard his own wellbeing and to ensure other residents in the care home were also protected. </w:t>
            </w:r>
          </w:p>
          <w:p w14:paraId="6658B028" w14:textId="77777777" w:rsidR="00002E18" w:rsidRPr="00002E18" w:rsidRDefault="00002E18" w:rsidP="00002E18">
            <w:pPr>
              <w:rPr>
                <w:rFonts w:ascii="Times New Roman" w:hAnsi="Times New Roman" w:cs="Times New Roman"/>
                <w:sz w:val="24"/>
                <w:szCs w:val="24"/>
              </w:rPr>
            </w:pPr>
          </w:p>
          <w:p w14:paraId="551F9AE6"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Under the Social Services and Well-being (Wales) Act 2014 (SSWBA), local authorities have a statutory duty to conduct enquiries where there is reasonable cause to think that an adult is experiencing, or is at risk of, abuse and has care and support needs. Part 7 of the Act sets out the legislative framework for safeguarding adults in Wales and outlines the responsibilities of agencies involved in ensuring individuals are protected from harm. The concerns about 3 were first brought to my attention by the Single Point of Contact (SPOC) team, who had received a referral about potential safeguarding issues. After getting the referral, I visited the care home to find out more. I spoke with the manager to gather some initial facts around  what had happened and to see if there was any paperwork or reports about the incident. During this visit, I was informed that the care home had no record of how the injuries happened and could not explain how they occurred. They did, however, provide details around when they first began contacting the GP about possible pain 3 was experiencing through non-verbal cues. </w:t>
            </w:r>
          </w:p>
          <w:p w14:paraId="633F4E8D" w14:textId="77777777" w:rsidR="00002E18" w:rsidRPr="00002E18" w:rsidRDefault="00002E18" w:rsidP="00002E18">
            <w:pPr>
              <w:rPr>
                <w:rFonts w:ascii="Times New Roman" w:hAnsi="Times New Roman" w:cs="Times New Roman"/>
                <w:sz w:val="24"/>
                <w:szCs w:val="24"/>
              </w:rPr>
            </w:pPr>
          </w:p>
          <w:p w14:paraId="38864006" w14:textId="77777777" w:rsidR="00002E18" w:rsidRP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The information gathered during my visit was subsequently shared with the safeguarding team for discussion and initial risk analysis. Based on the evidence available at that stage, several factors indicated that further safeguarding intervention was required. This included 3’s care and support needs, the fact he was non-weight-bearing at the time his fracture occurred, the possibility that his injury had occurred whilst residing within a residential home, and additionally there was no clear explanation as to how 3’s injury had occurred. When considering all this information, 3’s case met the threshold for a safeguarding enquiry under Section 126 of the SSWBA (2014), and it was agreed that formal enquiries should begin to establish whether abuse or neglect may have occurred.</w:t>
            </w:r>
          </w:p>
          <w:p w14:paraId="1152F130" w14:textId="303677AE"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In addition to the SSWBA (2014) which ultimately provides the statutory framework and legal duties that social workers must adhere to, there is also the Wales Safeguarding Procedures (2019) which offer guidance on how safeguarding duties should be considered in practice. The Wales Safeguarding Procedures (2019) assist social worker by providing a step by step structure to making safeguarding </w:t>
            </w:r>
            <w:r w:rsidRPr="00002E18">
              <w:rPr>
                <w:rFonts w:ascii="Times New Roman" w:hAnsi="Times New Roman" w:cs="Times New Roman"/>
                <w:sz w:val="24"/>
                <w:szCs w:val="24"/>
              </w:rPr>
              <w:lastRenderedPageBreak/>
              <w:t xml:space="preserve">enquires. This includes information on how to assess the immediate risk and whether any immediate action is required to protect individuals. </w:t>
            </w:r>
            <w:r w:rsidR="009119C8" w:rsidRPr="00002E18">
              <w:rPr>
                <w:rFonts w:ascii="Times New Roman" w:hAnsi="Times New Roman" w:cs="Times New Roman"/>
                <w:sz w:val="24"/>
                <w:szCs w:val="24"/>
              </w:rPr>
              <w:t>Additionally,</w:t>
            </w:r>
            <w:r w:rsidRPr="00002E18">
              <w:rPr>
                <w:rFonts w:ascii="Times New Roman" w:hAnsi="Times New Roman" w:cs="Times New Roman"/>
                <w:sz w:val="24"/>
                <w:szCs w:val="24"/>
              </w:rPr>
              <w:t xml:space="preserve"> it outlines guidance on information sharing in multi-disciplinary settings, whether consideration is needed to involve other professionals such as the police or health and the importance of scheduling strategy meetings to discuss the concerns raised. These strategy meetings are important to consider evidence and facts which can determine whether abuse or neglect has taken place and from here, plans can be put in place when risks have been identified. In the case of 3, these procedures provided all professionals with a clear framework to enable a full multi-disciplinary response and by ensuring everyone was consulted and all information explored. Ultimately, the Wales Safeguarding Procedures (2019) reinforced the importance of all professionals working together to make collaborative decisions throughout the safeguarding enquiry, ensuring that 3’s safety and wellbeing remained the main focus. </w:t>
            </w:r>
          </w:p>
          <w:p w14:paraId="60B3B94A" w14:textId="77777777" w:rsidR="00002E18" w:rsidRPr="00002E18" w:rsidRDefault="00002E18" w:rsidP="00002E18">
            <w:pPr>
              <w:rPr>
                <w:rFonts w:ascii="Times New Roman" w:hAnsi="Times New Roman" w:cs="Times New Roman"/>
                <w:sz w:val="24"/>
                <w:szCs w:val="24"/>
              </w:rPr>
            </w:pPr>
          </w:p>
          <w:p w14:paraId="35FB6B19"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It was important to remain during strategy meetings that careful consideration was taken in regard to information sharing, ensuring that anything shared was necessary and did not infringe on 3’s human rights. The United Kingdom remains a member of the Council of Europe and continues to incorporate the principles of the European Convention on Human Rights through the Human Rights Act (HRA) 1998. Article 8 of the HRA (1998) provides individuals with the right to respect for their private and family life. Within safeguarding practice, tensions can arise between an individual's right to privacy and the need to share information to protect them from possible harm. Any professionals involved in safeguarding enquiries must consider whether information sharing is justified, proportionate and necessary when thinking about the concerns raised.</w:t>
            </w:r>
          </w:p>
          <w:p w14:paraId="24CCF4A3" w14:textId="77777777" w:rsidR="00002E18" w:rsidRPr="00002E18" w:rsidRDefault="00002E18" w:rsidP="00002E18">
            <w:pPr>
              <w:rPr>
                <w:rFonts w:ascii="Times New Roman" w:hAnsi="Times New Roman" w:cs="Times New Roman"/>
                <w:sz w:val="24"/>
                <w:szCs w:val="24"/>
              </w:rPr>
            </w:pPr>
          </w:p>
          <w:p w14:paraId="09485B74"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Whilst Article 8 is a qualified right, safeguarding concerns may require consideration of other rights, particularly Articles 2 and 3. Article 2 protects an individual's right to life, whilst Article 3 provides protection from torture or degrading treatment. Given that 3 may have experienced possible unsafe manual handling practice within the care home, which resulting in bone fractures which could not be explained, it is possible that this could directly impacted Article 3. Legitimate concerns were raised from the hospital around the quality of care 3 had received and there were further concerns around whether appropriate action had been taken by care staff. </w:t>
            </w:r>
          </w:p>
          <w:p w14:paraId="410B0B92" w14:textId="77777777" w:rsidR="00002E18" w:rsidRPr="00002E18" w:rsidRDefault="00002E18" w:rsidP="00002E18">
            <w:pPr>
              <w:rPr>
                <w:rFonts w:ascii="Times New Roman" w:hAnsi="Times New Roman" w:cs="Times New Roman"/>
                <w:sz w:val="24"/>
                <w:szCs w:val="24"/>
              </w:rPr>
            </w:pPr>
          </w:p>
          <w:p w14:paraId="37E91B8D"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In addition to the above legislation and frameworks, another international rights framework which is relevant in the case of 3 is the United Nations Convention on the Rights of Persons with Disabilities (UNCRPD). Whilst this framework is not directly incorporated into UK law and is therefore not enforceable through UK courts, it is important to consider as the rights incorporated within it are fundamentally relevant when undertaking safeguarding enquiries involving individuals with disabilities. As 3 is non weight bearing and has significant physical impairments, he is highly reliant on the care and support provided by others. Under the UNCRPD, he has the right to protection, dignity, and freedom from exploitation, violence and abuse. The concerns raised by hospital professionals, the initial information gathering stage and the subsequent strategy meetings that following, highlight how professionals would have considered the principles in practice. By undertaking relevant enquiries, professionals were taking proactive steps by ensuring 3’s rights were protected.</w:t>
            </w:r>
          </w:p>
          <w:p w14:paraId="0947600A" w14:textId="77777777" w:rsidR="00002E18" w:rsidRPr="00002E18" w:rsidRDefault="00002E18" w:rsidP="00002E18">
            <w:pPr>
              <w:rPr>
                <w:rFonts w:ascii="Times New Roman" w:hAnsi="Times New Roman" w:cs="Times New Roman"/>
                <w:sz w:val="24"/>
                <w:szCs w:val="24"/>
              </w:rPr>
            </w:pPr>
          </w:p>
          <w:p w14:paraId="04D2C2B9" w14:textId="5F5C9D06"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My role within the safeguarding process was varied and involved gathering and sharing initial information with the SPOC team, advocating on behalf of both 3 and his family, and being actively involved in multi-disciplinary strategy meetings to ensure that any risks were identified and </w:t>
            </w:r>
            <w:r w:rsidRPr="00002E18">
              <w:rPr>
                <w:rFonts w:ascii="Times New Roman" w:hAnsi="Times New Roman" w:cs="Times New Roman"/>
                <w:sz w:val="24"/>
                <w:szCs w:val="24"/>
              </w:rPr>
              <w:lastRenderedPageBreak/>
              <w:t xml:space="preserve">protective measures were put in place whilst the enquiries were on-going. As the allocated social worker, it was essential that I worked using </w:t>
            </w:r>
            <w:r w:rsidR="009A681C" w:rsidRPr="00002E18">
              <w:rPr>
                <w:rFonts w:ascii="Times New Roman" w:hAnsi="Times New Roman" w:cs="Times New Roman"/>
                <w:sz w:val="24"/>
                <w:szCs w:val="24"/>
              </w:rPr>
              <w:t>an</w:t>
            </w:r>
            <w:r w:rsidRPr="00002E18">
              <w:rPr>
                <w:rFonts w:ascii="Times New Roman" w:hAnsi="Times New Roman" w:cs="Times New Roman"/>
                <w:sz w:val="24"/>
                <w:szCs w:val="24"/>
              </w:rPr>
              <w:t xml:space="preserve"> </w:t>
            </w:r>
            <w:r w:rsidR="00E56782">
              <w:rPr>
                <w:rFonts w:ascii="Times New Roman" w:hAnsi="Times New Roman" w:cs="Times New Roman"/>
                <w:sz w:val="24"/>
                <w:szCs w:val="24"/>
              </w:rPr>
              <w:t xml:space="preserve">outcome’s focused and </w:t>
            </w:r>
            <w:r w:rsidR="006F671F">
              <w:rPr>
                <w:rFonts w:ascii="Times New Roman" w:hAnsi="Times New Roman" w:cs="Times New Roman"/>
                <w:sz w:val="24"/>
                <w:szCs w:val="24"/>
              </w:rPr>
              <w:t>person-centred</w:t>
            </w:r>
            <w:r w:rsidRPr="00002E18">
              <w:rPr>
                <w:rFonts w:ascii="Times New Roman" w:hAnsi="Times New Roman" w:cs="Times New Roman"/>
                <w:sz w:val="24"/>
                <w:szCs w:val="24"/>
              </w:rPr>
              <w:t xml:space="preserve"> approach</w:t>
            </w:r>
            <w:r w:rsidR="00E56782">
              <w:rPr>
                <w:rFonts w:ascii="Times New Roman" w:hAnsi="Times New Roman" w:cs="Times New Roman"/>
                <w:sz w:val="24"/>
                <w:szCs w:val="24"/>
              </w:rPr>
              <w:t xml:space="preserve"> (Emlyn-Jones, R, 2022)</w:t>
            </w:r>
            <w:r w:rsidRPr="00002E18">
              <w:rPr>
                <w:rFonts w:ascii="Times New Roman" w:hAnsi="Times New Roman" w:cs="Times New Roman"/>
                <w:sz w:val="24"/>
                <w:szCs w:val="24"/>
              </w:rPr>
              <w:t xml:space="preserve"> ensuring 3’s voice was the most important aspect in any decision making.</w:t>
            </w:r>
            <w:r w:rsidR="009A681C">
              <w:rPr>
                <w:rFonts w:ascii="Times New Roman" w:hAnsi="Times New Roman" w:cs="Times New Roman"/>
                <w:sz w:val="24"/>
                <w:szCs w:val="24"/>
              </w:rPr>
              <w:t xml:space="preserve"> This particular model is underpinned by the strength-based theory which focused on ‘people’s abilities, resources and resilience rather than deficits’ (Saleebey, D, p.243). </w:t>
            </w:r>
            <w:r w:rsidRPr="00002E18">
              <w:rPr>
                <w:rFonts w:ascii="Times New Roman" w:hAnsi="Times New Roman" w:cs="Times New Roman"/>
                <w:sz w:val="24"/>
                <w:szCs w:val="24"/>
              </w:rPr>
              <w:t>BASW (2023) highlights the importance of always adopting a person-centred approach by stating ‘it is coordinated and tailored to the needs of the individual. And crucially, it ensures that people are always treated with dignity, compassion and respect’. When considering the case of 3 who was non-verbal</w:t>
            </w:r>
            <w:r w:rsidR="00E56782">
              <w:rPr>
                <w:rFonts w:ascii="Times New Roman" w:hAnsi="Times New Roman" w:cs="Times New Roman"/>
                <w:sz w:val="24"/>
                <w:szCs w:val="24"/>
              </w:rPr>
              <w:t xml:space="preserve"> and unable to directly voice his wishes and feelings</w:t>
            </w:r>
            <w:r w:rsidRPr="00002E18">
              <w:rPr>
                <w:rFonts w:ascii="Times New Roman" w:hAnsi="Times New Roman" w:cs="Times New Roman"/>
                <w:sz w:val="24"/>
                <w:szCs w:val="24"/>
              </w:rPr>
              <w:t>,</w:t>
            </w:r>
            <w:r w:rsidR="00E56782">
              <w:rPr>
                <w:rFonts w:ascii="Times New Roman" w:hAnsi="Times New Roman" w:cs="Times New Roman"/>
                <w:sz w:val="24"/>
                <w:szCs w:val="24"/>
              </w:rPr>
              <w:t xml:space="preserve"> using an</w:t>
            </w:r>
            <w:r w:rsidRPr="00002E18">
              <w:rPr>
                <w:rFonts w:ascii="Times New Roman" w:hAnsi="Times New Roman" w:cs="Times New Roman"/>
                <w:sz w:val="24"/>
                <w:szCs w:val="24"/>
              </w:rPr>
              <w:t xml:space="preserve"> </w:t>
            </w:r>
            <w:r w:rsidR="00E56782">
              <w:rPr>
                <w:rFonts w:ascii="Times New Roman" w:hAnsi="Times New Roman" w:cs="Times New Roman"/>
                <w:sz w:val="24"/>
                <w:szCs w:val="24"/>
              </w:rPr>
              <w:t xml:space="preserve">outcomes focused and </w:t>
            </w:r>
            <w:r w:rsidRPr="00002E18">
              <w:rPr>
                <w:rFonts w:ascii="Times New Roman" w:hAnsi="Times New Roman" w:cs="Times New Roman"/>
                <w:sz w:val="24"/>
                <w:szCs w:val="24"/>
              </w:rPr>
              <w:t xml:space="preserve">person-centred </w:t>
            </w:r>
            <w:r w:rsidR="00E56782">
              <w:rPr>
                <w:rFonts w:ascii="Times New Roman" w:hAnsi="Times New Roman" w:cs="Times New Roman"/>
                <w:sz w:val="24"/>
                <w:szCs w:val="24"/>
              </w:rPr>
              <w:t>approach</w:t>
            </w:r>
            <w:r w:rsidRPr="00002E18">
              <w:rPr>
                <w:rFonts w:ascii="Times New Roman" w:hAnsi="Times New Roman" w:cs="Times New Roman"/>
                <w:sz w:val="24"/>
                <w:szCs w:val="24"/>
              </w:rPr>
              <w:t xml:space="preserve"> was even more relevant due to possible competing perspectives from all involved professionals and we had to further consider the degree of uncertainty of which he sustained his fractures in order to protect him from further harm. </w:t>
            </w:r>
            <w:r w:rsidR="00E56782">
              <w:rPr>
                <w:rFonts w:ascii="Times New Roman" w:hAnsi="Times New Roman" w:cs="Times New Roman"/>
                <w:sz w:val="24"/>
                <w:szCs w:val="24"/>
              </w:rPr>
              <w:t xml:space="preserve">This approach encouraged all professionals involved to draw on their own knowledge and expertise, to consider the views of 3’s family, and any behaviour demonstrated by 3 to try and understand what mattered to him most. This helped ensure that the whole safeguarding process was driven by what was important to 3, whilst ensuring that he was protected from harm and that all intervention was proportionate. </w:t>
            </w:r>
          </w:p>
          <w:p w14:paraId="253D3047" w14:textId="77777777" w:rsidR="00002E18" w:rsidRPr="00002E18" w:rsidRDefault="00002E18" w:rsidP="00002E18">
            <w:pPr>
              <w:rPr>
                <w:rFonts w:ascii="Times New Roman" w:hAnsi="Times New Roman" w:cs="Times New Roman"/>
                <w:sz w:val="24"/>
                <w:szCs w:val="24"/>
              </w:rPr>
            </w:pPr>
          </w:p>
          <w:p w14:paraId="2484E629"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Professional curiosity and judgement throughout a safeguarding enquiry are very important when considering the needs of the individual. Professional curiosity involves actively seeking information, questioning assumptions, triangulating evidence from different sources, and maintaining an open-minded and analytical approach throughout the safeguarding process (Braye et al., 2014). Throughout the enquiries, I recognised the importance of exploring other ideas rather than accepting initial explanations from the onset and how essential it is to have professionals from other agencies available to provide their views and knowledge. It is also beneficial to continually review any new evidence as over reliance on just an assumption could result in any potential harm remaining unidentified. </w:t>
            </w:r>
          </w:p>
          <w:p w14:paraId="25D652A2" w14:textId="77777777" w:rsidR="00002E18" w:rsidRPr="00002E18" w:rsidRDefault="00002E18" w:rsidP="00002E18">
            <w:pPr>
              <w:rPr>
                <w:rFonts w:ascii="Times New Roman" w:hAnsi="Times New Roman" w:cs="Times New Roman"/>
                <w:sz w:val="24"/>
                <w:szCs w:val="24"/>
              </w:rPr>
            </w:pPr>
          </w:p>
          <w:p w14:paraId="197E7A27"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Professional curiosity and professional judgement work hand in hand when actively working on a safeguarding case. Being curious and asking questions provides social workers with evidence in which to inform their judgement moving forward. NHS Scotland (2026) describes professional judgement as requiring ‘rigorous and thoughtful analysis of all the information available to you – including evidence and guidance and insight into the individual and their circumstances. Independent judgements must be made even when working in person centred and evidence-based ways and in close partnership with others and can often be required in challenging circumstances’. In the case of 3, the safeguarding concerns were complex, and the information provided at the onset of the enquiry was limited. However, despite the seriousness of 3’s injuries, several questions remained unanswered even after a series of strategy meetings. The exact timeframe of the injury was unknown, how it occurred was unknown and finally, there was uncertainty from health professionals around whether 3’s health conditions could have contributed to his injuries. This lack of information presented challenges for professional judgement in this case, even when professional curiosity was demonstrated throughout the meetings. Being professional curious aligns closely with Social Care Wales Codes of Professional Practice, particularly the requirement for social care workers to exercise professional judgement, take responsibility for the quality of their practice, and challenge situations where the rights, safety or wellbeing of individuals may be compromised (Social Care Wales, 2022). By seeking clarification, questioning inconsistencies and remaining focused on the available evidence, I was fulfilling my professional responsibility to act in 3’s best interests and protect him </w:t>
            </w:r>
            <w:r w:rsidRPr="00002E18">
              <w:rPr>
                <w:rFonts w:ascii="Times New Roman" w:hAnsi="Times New Roman" w:cs="Times New Roman"/>
                <w:sz w:val="24"/>
                <w:szCs w:val="24"/>
              </w:rPr>
              <w:lastRenderedPageBreak/>
              <w:t>from potential harm. Professional curiosity therefore served not only as a safeguarding tool but also as an expression of the ethical and professional values underpinning social work practice.</w:t>
            </w:r>
          </w:p>
          <w:p w14:paraId="15433BDC" w14:textId="77777777" w:rsidR="00002E18" w:rsidRPr="00002E18" w:rsidRDefault="00002E18" w:rsidP="00002E18">
            <w:pPr>
              <w:rPr>
                <w:rFonts w:ascii="Times New Roman" w:hAnsi="Times New Roman" w:cs="Times New Roman"/>
                <w:sz w:val="24"/>
                <w:szCs w:val="24"/>
              </w:rPr>
            </w:pPr>
          </w:p>
          <w:p w14:paraId="2420FA0B"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As new information was discovered throughout the enquiry, I was required to continually reassess my understanding of the situation and remain open to alternative explanations. This reflects Anka et al.’s (2025, p.208) option that safeguarding professionals must acknowledge that "what appears to be the case is likely to shift and change as new information emerges." Anka et all (2025) continues by suggesting that that professionals should "continue to ask questions, ask again, listen, clarify, know, act, ask, recognise and understand" to gather the evidence necessary to minimise the risk of abuse, harm and neglect. This perspective on professional curiosity aligned strongly with my own experience on information gathering in the case of 3 as from the onset, there was only a partial picture of the circumstances surrounding how he sustained his injuries. There had to be a commitment from all professionals to share information and answer questions based on their own expertise to ensure that important and valuable information did not go unnoticed. </w:t>
            </w:r>
          </w:p>
          <w:p w14:paraId="1C3103EF" w14:textId="77777777" w:rsidR="00002E18" w:rsidRPr="00002E18" w:rsidRDefault="00002E18" w:rsidP="00002E18">
            <w:pPr>
              <w:rPr>
                <w:rFonts w:ascii="Times New Roman" w:hAnsi="Times New Roman" w:cs="Times New Roman"/>
                <w:sz w:val="24"/>
                <w:szCs w:val="24"/>
              </w:rPr>
            </w:pPr>
          </w:p>
          <w:p w14:paraId="2025439A"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Critically reflecting on my practice, I recognise that professional curiosity required me to challenge both my own assumptions and those of others involved in the safeguarding process, especially when key information is inconclusive. Although professional curiosity was demonstrated by all professionals, I did recognise that there was a potential barrier of professionals developing assumptions for how the injuries occurred instead of securing facts, especially when there is a pressure to get answers to identify how the injuries occurred. Unfortunately, an answer was never found on how 3 sustained his injuries and this meant that we had to make a professional judgement based on incomplete information. This resulted in considering all the available evidence and creating actions which would minimise the risk to other individuals in the future. Reflecting further in my own practice, there could have been considerations given as to whether any specialist options could have been sought or whether there could have been further clarification from medical professionals which would have strengthened the evidence for risk assessing moving forward. Being involved in 3’s case reinforced my understanding around being professionally curious in safeguarding work but also recognising that there may be occasions where evidence is incomplete or limited. My professional judgement needs to be based on the facts that are available but also considering that this may change as new evidence comes to light. It also highlights that there is considerable value in multi-disciplinary involvement to ensure that all options are explored and everyone involved has a responsibility to protect individuals. Ultimately, this experience reinforced my understanding that safeguarding cases are rarely straightforward and often require social workers to work effectively with information which is limited. 3’s case demonstrated the importance of maintaining professional curiosity throughout the safeguarding process, recognising that the absence of clear explanations can on occasions be a significant indicator of risk. Through continued questioning, collaboration with other professionals and ongoing reflection, I was able to contribute to a safeguarding process that prioritised 3’s safety whilst ensuring that decisions were informed by the most up to date information which was available to us at the time.</w:t>
            </w:r>
          </w:p>
          <w:p w14:paraId="41F0BD61" w14:textId="77777777" w:rsidR="00002E18" w:rsidRPr="00002E18" w:rsidRDefault="00002E18" w:rsidP="00002E18">
            <w:pPr>
              <w:rPr>
                <w:rFonts w:ascii="Times New Roman" w:hAnsi="Times New Roman" w:cs="Times New Roman"/>
                <w:sz w:val="24"/>
                <w:szCs w:val="24"/>
              </w:rPr>
            </w:pPr>
          </w:p>
          <w:p w14:paraId="509F28FC"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Collaborative working is a huge part of any safeguarding enquiry and in a strategy meeting there could be a number of professionals who are involved. In the numerous strategy meetings for 3, there were individuals from the safeguarding team, doctors, nurses, care provider representatives, nurses and police. The purpose of the meetings were to share information with all involved, try and ascertain how 3 sustained his injuries and whether there was any medical reason for this, assess whether there </w:t>
            </w:r>
            <w:r w:rsidRPr="00002E18">
              <w:rPr>
                <w:rFonts w:ascii="Times New Roman" w:hAnsi="Times New Roman" w:cs="Times New Roman"/>
                <w:sz w:val="24"/>
                <w:szCs w:val="24"/>
              </w:rPr>
              <w:lastRenderedPageBreak/>
              <w:t xml:space="preserve">are any potential on-going risks to other residents remaining in the care home, consider whether there were any immediate measures that could have been put in place and agree any follow up actions for the next meeting. </w:t>
            </w:r>
          </w:p>
          <w:p w14:paraId="0B811313" w14:textId="77777777" w:rsidR="00002E18" w:rsidRPr="00002E18" w:rsidRDefault="00002E18" w:rsidP="00002E18">
            <w:pPr>
              <w:rPr>
                <w:rFonts w:ascii="Times New Roman" w:hAnsi="Times New Roman" w:cs="Times New Roman"/>
                <w:sz w:val="24"/>
                <w:szCs w:val="24"/>
              </w:rPr>
            </w:pPr>
          </w:p>
          <w:p w14:paraId="04F434AD" w14:textId="35A82410"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Weinsten, J et al (2003, p.32) suggests that ‘collaboration and partnership has become essential to the practice and organisation of social workers, and others, in care services, and require competent, constructively critical application’. This is particularly relevant in a strategy meeting as each agency present will have different information which may be pertinent to the case and in addition, there is a shared responsibility between everyone involved. </w:t>
            </w:r>
            <w:r w:rsidR="0051555E" w:rsidRPr="00002E18">
              <w:rPr>
                <w:rFonts w:ascii="Times New Roman" w:hAnsi="Times New Roman" w:cs="Times New Roman"/>
                <w:sz w:val="24"/>
                <w:szCs w:val="24"/>
              </w:rPr>
              <w:t>However,</w:t>
            </w:r>
            <w:r w:rsidRPr="00002E18">
              <w:rPr>
                <w:rFonts w:ascii="Times New Roman" w:hAnsi="Times New Roman" w:cs="Times New Roman"/>
                <w:sz w:val="24"/>
                <w:szCs w:val="24"/>
              </w:rPr>
              <w:t xml:space="preserve"> it is important to recognise that there can be some barriers to collaborative working, especially when considering time restraints and high caseloads. BASW (2023) suggests that there can be some instances where poor communication, power differentials, lack of reflection, organisational protocols and sometimes even personal feelings can be an issue when there are many agencies trying to reach conclusions together. This can become especially relevant when considering the medical model vs the social model (Disability Nottingham, 2025) and this can often be the case when there are both social workers and healthcare professionals present and trying to risk assess from their perspective. As a social worker participating in the strategy meeting, I was analysing 3’s environment and the fact that he is hoisted for all transfers. This directed me to look at possible moving and handling issues or wider environmental factors rather than his age or frailty at the time. However, healthcare professionals in the meeting were discussing issues such as bone density and his susceptibility to factures. This view highlighted how important it is for different groups and organisations to work together. By doing so, they can spot and tackle any problems, or ways of doing things that might have affected 3’s safety and wellbeing.</w:t>
            </w:r>
          </w:p>
          <w:p w14:paraId="41CDC08B" w14:textId="77777777" w:rsidR="00002E18" w:rsidRPr="00002E18" w:rsidRDefault="00002E18" w:rsidP="00002E18">
            <w:pPr>
              <w:rPr>
                <w:rFonts w:ascii="Times New Roman" w:hAnsi="Times New Roman" w:cs="Times New Roman"/>
                <w:sz w:val="24"/>
                <w:szCs w:val="24"/>
              </w:rPr>
            </w:pPr>
          </w:p>
          <w:p w14:paraId="27957E42" w14:textId="77777777" w:rsidR="00002E18" w:rsidRP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Information gathering in a strategy meeting can also take a considerable amount of time, there is often further information needed and this can cause delays in the safeguarding process. With situations involving healthcare and in the case of 3, further details needed to be sought with regard to his medical records and clarification from consultants around his injuries. In addition, records were required from care home management around the time of 3’s hospital admission so this was also scheduled during a follow up meeting. 3’s son was present throughout the meetings so it was important to ensure that they were professional, and any information sharing was relevant to the case. </w:t>
            </w:r>
          </w:p>
          <w:p w14:paraId="2D19604D"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All things considered, even when critically evaluating the benefits and limitations of collaborative working in the safeguarding process, it continues to be an effective method of ensuring everyone involved has all the necessary facts to make an informed decision and agree on any follow up actions. As discussed by Lish (20. P 357) ‘interprofessional working encourages professionals to share their skills… and this requires a clear sense of professional identity, equal status with other professionals and a willingness to value the contribution of others’. If this is achieved, collaborative working can only be a positive contribution within the safeguarding process. The experience I had when participating in meetings with other professionals highlighted how important it is to be confident and the ability to respectfully challenge viewpoints when other alternative explanations may not have been considered. </w:t>
            </w:r>
          </w:p>
          <w:p w14:paraId="490818CF" w14:textId="77777777" w:rsidR="00002E18" w:rsidRPr="00002E18" w:rsidRDefault="00002E18" w:rsidP="00002E18">
            <w:pPr>
              <w:rPr>
                <w:rFonts w:ascii="Times New Roman" w:hAnsi="Times New Roman" w:cs="Times New Roman"/>
                <w:sz w:val="24"/>
                <w:szCs w:val="24"/>
              </w:rPr>
            </w:pPr>
          </w:p>
          <w:p w14:paraId="419037E6"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Imbedded throughout 3’s case is the implementation of System’s Theory. As described by Social Work with EdX (2023) ‘Systems theory posits that behaviour is influenced by a variety of factors that work together and form a system</w:t>
            </w:r>
            <w:r w:rsidRPr="00002E18">
              <w:rPr>
                <w:rFonts w:ascii="Times New Roman" w:hAnsi="Times New Roman" w:cs="Times New Roman"/>
                <w:b/>
                <w:bCs/>
                <w:sz w:val="24"/>
                <w:szCs w:val="24"/>
              </w:rPr>
              <w:t>. </w:t>
            </w:r>
            <w:r w:rsidRPr="00002E18">
              <w:rPr>
                <w:rFonts w:ascii="Times New Roman" w:hAnsi="Times New Roman" w:cs="Times New Roman"/>
                <w:sz w:val="24"/>
                <w:szCs w:val="24"/>
              </w:rPr>
              <w:t xml:space="preserve">These can include an individual’s familial and social relationships, their environment, economic status, or sexual orientation’. This is particularly relevant in the case of 3 because we had to gather a breadth of facts surrounding his injuries to determine what may have </w:t>
            </w:r>
            <w:r w:rsidRPr="00002E18">
              <w:rPr>
                <w:rFonts w:ascii="Times New Roman" w:hAnsi="Times New Roman" w:cs="Times New Roman"/>
                <w:sz w:val="24"/>
                <w:szCs w:val="24"/>
              </w:rPr>
              <w:lastRenderedPageBreak/>
              <w:t xml:space="preserve">caused them. It was also necessary to look at the wider environment and relationships with care home staff, all of which could have had an impact on his wellbeing. </w:t>
            </w:r>
          </w:p>
          <w:p w14:paraId="35E06FAB" w14:textId="77777777" w:rsidR="00002E18" w:rsidRPr="00002E18" w:rsidRDefault="00002E18" w:rsidP="00002E18">
            <w:pPr>
              <w:rPr>
                <w:rFonts w:ascii="Times New Roman" w:hAnsi="Times New Roman" w:cs="Times New Roman"/>
                <w:sz w:val="24"/>
                <w:szCs w:val="24"/>
              </w:rPr>
            </w:pPr>
          </w:p>
          <w:p w14:paraId="54BD48CC"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When considering System’s Theory, 3’s injuries may not have been a result of one single incident but could have been due to a number of different factors. For example, there may have been issues with any manual handling procedures within the care home which could have been a result of a lack of staff training or record keeping. In addition, as a result of the information sharing in the strategy meeting, it was also concluded that there was poor communication between the care home and health professionals regarding 3’s injuries. This is all part of the wider system that relies on timely communication sharing to ensure 3 is protected from harm. </w:t>
            </w:r>
          </w:p>
          <w:p w14:paraId="7D09D985" w14:textId="77777777" w:rsidR="00002E18" w:rsidRPr="00002E18" w:rsidRDefault="00002E18" w:rsidP="00002E18">
            <w:pPr>
              <w:rPr>
                <w:rFonts w:ascii="Times New Roman" w:hAnsi="Times New Roman" w:cs="Times New Roman"/>
                <w:sz w:val="24"/>
                <w:szCs w:val="24"/>
              </w:rPr>
            </w:pPr>
          </w:p>
          <w:p w14:paraId="7C9E9691"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Strategy meetings involving a range of different professionals and also 3’s son shows a practical use of System’s Theory. Each professional represents a protective factor for 3 and the collaboration between everyone helped develop a comprehensive understanding of his situation. The multi-disciplinary approach highlights just how each of 3’s systems interconnect and whether anything needed to be altered to mitigate any risks to him moving forward. </w:t>
            </w:r>
          </w:p>
          <w:p w14:paraId="327E1583" w14:textId="77777777" w:rsidR="00002E18" w:rsidRPr="00002E18" w:rsidRDefault="00002E18" w:rsidP="00002E18">
            <w:pPr>
              <w:rPr>
                <w:rFonts w:ascii="Times New Roman" w:hAnsi="Times New Roman" w:cs="Times New Roman"/>
                <w:sz w:val="24"/>
                <w:szCs w:val="24"/>
              </w:rPr>
            </w:pPr>
          </w:p>
          <w:p w14:paraId="6B033E6C" w14:textId="5D2C8032"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Throughout my whole intervention, it was important that I was an advocate for 3 and his family as 3 had been assessed as lacking capacity with regard to his care and support as per the Mental Capacity Act (2005). I used a person-centred approach (BASW, 2023) to ensure 3 was always at the heart of any intervention and that his wishes and feeling were upheld throughout. I regularly discussed the case with both my mentor and supervisor during supervision sessions to ensure that my intervention was correct and proportionate and that my involvement in strategy meetings would be beneficial to the enquiry. In addition, I kept regular notes of every visit and meeting so that they could be referred back to if necessary. Reflecting back on my participation in the safeguarding process, I believe I contributed effectively to all </w:t>
            </w:r>
            <w:r w:rsidR="0051555E" w:rsidRPr="00002E18">
              <w:rPr>
                <w:rFonts w:ascii="Times New Roman" w:hAnsi="Times New Roman" w:cs="Times New Roman"/>
                <w:sz w:val="24"/>
                <w:szCs w:val="24"/>
              </w:rPr>
              <w:t>discussions,</w:t>
            </w:r>
            <w:r w:rsidRPr="00002E18">
              <w:rPr>
                <w:rFonts w:ascii="Times New Roman" w:hAnsi="Times New Roman" w:cs="Times New Roman"/>
                <w:sz w:val="24"/>
                <w:szCs w:val="24"/>
              </w:rPr>
              <w:t xml:space="preserve"> but I could have asked more probing questions regarding the care home procedures. I believe this was due to my limited understanding of 3’s injuries and how these could have occurred, especially as these were medical issues and not social. During the meetings, healthcare professionals placed a lot of emphasis on 3's age, bone density, and susceptibility to fractures and whilst these were important factors, I could have asked more questions around any environmental factors to ensure these were discussed equally. This would help develop my professional curiosity and judgement skills and also the ability to respectfully challenge when necessary. </w:t>
            </w:r>
          </w:p>
          <w:p w14:paraId="2CFF0165" w14:textId="77777777" w:rsidR="00002E18" w:rsidRPr="00002E18" w:rsidRDefault="00002E18" w:rsidP="00002E18">
            <w:pPr>
              <w:rPr>
                <w:rFonts w:ascii="Times New Roman" w:hAnsi="Times New Roman" w:cs="Times New Roman"/>
                <w:sz w:val="24"/>
                <w:szCs w:val="24"/>
              </w:rPr>
            </w:pPr>
          </w:p>
          <w:p w14:paraId="767E97E9"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To conclude, the case study of 3 has highlighted the importance of ensuring adults are safeguarded in not only residential settings, but also in the wider community. There is a clear importance in applying professional judgement in situations where information is missing or where professionals are uncertain about what actually happened. The concerns raised around 3’s unexplained fractures required a thorough and detailed response and consideration was always given to the statutory duties in all the relevant legislation and frameworks such as the Social Services and Wellbeing (Wales) Act 2014, the European Convention of Human Rights and also the Wales Safeguarding Procedures (2019). As discussed in the body of this essay, it was essential and proportionate to ensure 3’s rights and autonomy were protected at all times whilst investigating the issues raised and whether any appropriate action was required to support 3 and other residents moving forward. </w:t>
            </w:r>
          </w:p>
          <w:p w14:paraId="6F66ED94" w14:textId="77777777" w:rsidR="00002E18" w:rsidRPr="00002E18" w:rsidRDefault="00002E18" w:rsidP="00002E18">
            <w:pPr>
              <w:rPr>
                <w:rFonts w:ascii="Times New Roman" w:hAnsi="Times New Roman" w:cs="Times New Roman"/>
                <w:sz w:val="24"/>
                <w:szCs w:val="24"/>
              </w:rPr>
            </w:pPr>
          </w:p>
          <w:p w14:paraId="7196CE63" w14:textId="77777777" w:rsid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lastRenderedPageBreak/>
              <w:t xml:space="preserve">Throughout my involvement with 3, I have been able to critically reflect on my own practice and whether I have been professionally curious during this safeguarding case. The uncertainly around 3’s fractures and previous injuries enabled me to ask questions of other professionals when appropriate, but I have also realised that perhaps I could have delved deeper during strategy meetings to gather further information. I was, however, able to remain open to alternative suggestions and explanations when new information was provided to help reach conclusions. The strategy meetings allowed us as professionals to make decisions around ongoing care because of evidence rather than speculation, which in turn contributed to a solid and robust safeguarding process. </w:t>
            </w:r>
          </w:p>
          <w:p w14:paraId="783F6087" w14:textId="77777777" w:rsidR="00002E18" w:rsidRPr="00002E18" w:rsidRDefault="00002E18" w:rsidP="00002E18">
            <w:pPr>
              <w:rPr>
                <w:rFonts w:ascii="Times New Roman" w:hAnsi="Times New Roman" w:cs="Times New Roman"/>
                <w:sz w:val="24"/>
                <w:szCs w:val="24"/>
              </w:rPr>
            </w:pPr>
          </w:p>
          <w:p w14:paraId="417898D6" w14:textId="77777777" w:rsidR="00002E18" w:rsidRP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3’s case also enabled me to understand both the positives and challenges of multi-disciplinary working. It was important for all professionals to facilitate and share their own knowledge and their different professional perspectives which allowed for a more comprehensive assessment of possible risks. However, 3’s situation also highlighted how there were potential barriers such as differing views, possible challenges with communication and delays in securing information from health. Nevertheless, multi-disciplinary working in the case of 3 remained crucial in developing a well-rounded understanding based on facts and evidence and by ensuring the safeguarding responsibilities moving forward were shared amongst all agencies present during the strategy meetings. </w:t>
            </w:r>
          </w:p>
          <w:p w14:paraId="4A8C20BC" w14:textId="77777777" w:rsidR="00002E18" w:rsidRPr="00002E18" w:rsidRDefault="00002E18" w:rsidP="00002E18">
            <w:pPr>
              <w:rPr>
                <w:rFonts w:ascii="Times New Roman" w:hAnsi="Times New Roman" w:cs="Times New Roman"/>
                <w:sz w:val="24"/>
                <w:szCs w:val="24"/>
              </w:rPr>
            </w:pPr>
            <w:r w:rsidRPr="00002E18">
              <w:rPr>
                <w:rFonts w:ascii="Times New Roman" w:hAnsi="Times New Roman" w:cs="Times New Roman"/>
                <w:sz w:val="24"/>
                <w:szCs w:val="24"/>
              </w:rPr>
              <w:t xml:space="preserve">Finally, being involved in the safeguarding enquires of 3 has contributed significantly to my own professional development as a social worker. Critically reflecting on my practice has enabled me to identify some areas where I could improve, particularly in relation to asking deeper questions and exploring ideas in greater depth. I will endeavour moving forward, to continue to develop my safeguarding practice and strength my ability to support the wellbeing and rights of adults at risk. </w:t>
            </w:r>
          </w:p>
          <w:p w14:paraId="7CD0A1B6" w14:textId="77777777" w:rsidR="00002E18" w:rsidRPr="00002E18" w:rsidRDefault="00002E18" w:rsidP="00002E18">
            <w:pPr>
              <w:rPr>
                <w:rFonts w:ascii="Times New Roman" w:hAnsi="Times New Roman" w:cs="Times New Roman"/>
                <w:sz w:val="24"/>
                <w:szCs w:val="24"/>
              </w:rPr>
            </w:pPr>
          </w:p>
          <w:p w14:paraId="6AD8C604" w14:textId="5F0D88BF" w:rsidR="00002E18" w:rsidRPr="00002E18" w:rsidRDefault="00002E18" w:rsidP="00002E18">
            <w:pPr>
              <w:rPr>
                <w:rFonts w:ascii="Times New Roman" w:hAnsi="Times New Roman" w:cs="Times New Roman"/>
                <w:i/>
                <w:iCs/>
                <w:sz w:val="24"/>
                <w:szCs w:val="24"/>
                <w:u w:val="single"/>
              </w:rPr>
            </w:pPr>
            <w:r w:rsidRPr="00002E18">
              <w:rPr>
                <w:rFonts w:ascii="Times New Roman" w:hAnsi="Times New Roman" w:cs="Times New Roman"/>
                <w:i/>
                <w:iCs/>
                <w:sz w:val="24"/>
                <w:szCs w:val="24"/>
                <w:u w:val="single"/>
              </w:rPr>
              <w:t>Word count - 4</w:t>
            </w:r>
            <w:r w:rsidR="008D6AAB">
              <w:rPr>
                <w:rFonts w:ascii="Times New Roman" w:hAnsi="Times New Roman" w:cs="Times New Roman"/>
                <w:i/>
                <w:iCs/>
                <w:sz w:val="24"/>
                <w:szCs w:val="24"/>
                <w:u w:val="single"/>
              </w:rPr>
              <w:t>232</w:t>
            </w: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19D51" w14:textId="77777777" w:rsidR="00A56862" w:rsidRDefault="00A56862">
      <w:r>
        <w:separator/>
      </w:r>
    </w:p>
  </w:endnote>
  <w:endnote w:type="continuationSeparator" w:id="0">
    <w:p w14:paraId="25A8E07C" w14:textId="77777777" w:rsidR="00A56862" w:rsidRDefault="00A568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08B18B" w14:textId="77777777" w:rsidR="00A56862" w:rsidRDefault="00A56862">
      <w:r>
        <w:separator/>
      </w:r>
    </w:p>
  </w:footnote>
  <w:footnote w:type="continuationSeparator" w:id="0">
    <w:p w14:paraId="6DEE89CA" w14:textId="77777777" w:rsidR="00A56862" w:rsidRDefault="00A568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2E18"/>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4D1"/>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5DFD"/>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6A4C"/>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461F"/>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555E"/>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350C"/>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97584"/>
    <w:rsid w:val="006B4496"/>
    <w:rsid w:val="006B5E67"/>
    <w:rsid w:val="006B6612"/>
    <w:rsid w:val="006C2EB5"/>
    <w:rsid w:val="006D18A3"/>
    <w:rsid w:val="006D5970"/>
    <w:rsid w:val="006E481E"/>
    <w:rsid w:val="006E795F"/>
    <w:rsid w:val="006F0862"/>
    <w:rsid w:val="006F1438"/>
    <w:rsid w:val="006F2A9E"/>
    <w:rsid w:val="006F5ED3"/>
    <w:rsid w:val="006F671F"/>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6AAB"/>
    <w:rsid w:val="008D778A"/>
    <w:rsid w:val="008D78C9"/>
    <w:rsid w:val="008E3195"/>
    <w:rsid w:val="008E5A35"/>
    <w:rsid w:val="008F127E"/>
    <w:rsid w:val="008F32D9"/>
    <w:rsid w:val="00902A65"/>
    <w:rsid w:val="00903932"/>
    <w:rsid w:val="009079BD"/>
    <w:rsid w:val="009119C8"/>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81C"/>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6862"/>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0944"/>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15E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4867"/>
    <w:rsid w:val="00E35112"/>
    <w:rsid w:val="00E35BEC"/>
    <w:rsid w:val="00E41A6A"/>
    <w:rsid w:val="00E50821"/>
    <w:rsid w:val="00E51F91"/>
    <w:rsid w:val="00E5498A"/>
    <w:rsid w:val="00E559CE"/>
    <w:rsid w:val="00E56782"/>
    <w:rsid w:val="00E5754C"/>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3747"/>
    <w:rsid w:val="00F15354"/>
    <w:rsid w:val="00F22AC5"/>
    <w:rsid w:val="00F254D1"/>
    <w:rsid w:val="00F32B82"/>
    <w:rsid w:val="00F34C86"/>
    <w:rsid w:val="00F4043E"/>
    <w:rsid w:val="00F41795"/>
    <w:rsid w:val="00F41A82"/>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9</Pages>
  <Words>4408</Words>
  <Characters>25129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Laura Atkins</cp:lastModifiedBy>
  <cp:revision>9</cp:revision>
  <cp:lastPrinted>2020-02-11T19:20:00Z</cp:lastPrinted>
  <dcterms:created xsi:type="dcterms:W3CDTF">2026-09-21T11:46:00Z</dcterms:created>
  <dcterms:modified xsi:type="dcterms:W3CDTF">2026-10-06T09:44:00Z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