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4DC685" w14:textId="407195AC" w:rsidR="00EB2CB6" w:rsidRPr="004C00E0" w:rsidRDefault="000D7342" w:rsidP="004C00E0">
      <w:pPr>
        <w:spacing w:after="200" w:line="360" w:lineRule="auto"/>
        <w:jc w:val="center"/>
        <w:rPr>
          <w:rFonts w:ascii="Times New Roman" w:eastAsia="Times New Roman" w:hAnsi="Times New Roman" w:cs="Times New Roman"/>
          <w:b/>
          <w:i/>
          <w:color w:val="222222"/>
          <w:sz w:val="44"/>
          <w:szCs w:val="44"/>
        </w:rPr>
      </w:pPr>
      <w:r w:rsidRPr="004C00E0">
        <w:rPr>
          <w:rFonts w:ascii="Times New Roman" w:eastAsia="Times New Roman" w:hAnsi="Times New Roman" w:cs="Times New Roman"/>
          <w:b/>
          <w:i/>
          <w:sz w:val="44"/>
          <w:szCs w:val="44"/>
        </w:rPr>
        <w:t>Assignment 2</w:t>
      </w:r>
      <w:r w:rsidR="004C00E0" w:rsidRPr="004C00E0">
        <w:rPr>
          <w:rFonts w:ascii="Times New Roman" w:eastAsia="Times New Roman" w:hAnsi="Times New Roman" w:cs="Times New Roman"/>
          <w:b/>
          <w:i/>
          <w:sz w:val="44"/>
          <w:szCs w:val="44"/>
        </w:rPr>
        <w:t>:</w:t>
      </w:r>
      <w:r w:rsidRPr="004C00E0">
        <w:rPr>
          <w:rFonts w:ascii="Times New Roman" w:eastAsia="Times New Roman" w:hAnsi="Times New Roman" w:cs="Times New Roman"/>
          <w:b/>
          <w:i/>
          <w:sz w:val="44"/>
          <w:szCs w:val="44"/>
        </w:rPr>
        <w:t xml:space="preserve"> Assessment of Management Needs and Strategies for Canada</w:t>
      </w:r>
    </w:p>
    <w:p w14:paraId="07C58BE6" w14:textId="77777777" w:rsidR="00EB2CB6" w:rsidRPr="004C00E0" w:rsidRDefault="00EB2CB6">
      <w:pPr>
        <w:spacing w:line="360" w:lineRule="auto"/>
        <w:ind w:left="360"/>
        <w:jc w:val="both"/>
        <w:rPr>
          <w:rFonts w:ascii="Times New Roman" w:eastAsia="Times New Roman" w:hAnsi="Times New Roman" w:cs="Times New Roman"/>
          <w:b/>
          <w:sz w:val="44"/>
          <w:szCs w:val="44"/>
        </w:rPr>
      </w:pPr>
    </w:p>
    <w:p w14:paraId="4094B725" w14:textId="25A5EC81" w:rsidR="00EB2CB6" w:rsidRPr="004C00E0" w:rsidRDefault="004C00E0" w:rsidP="004C00E0">
      <w:pPr>
        <w:spacing w:line="360" w:lineRule="auto"/>
        <w:ind w:left="360"/>
        <w:jc w:val="center"/>
        <w:rPr>
          <w:rFonts w:ascii="Times New Roman" w:eastAsia="Times New Roman" w:hAnsi="Times New Roman" w:cs="Times New Roman"/>
          <w:b/>
          <w:sz w:val="24"/>
          <w:szCs w:val="24"/>
        </w:rPr>
      </w:pPr>
      <w:r w:rsidRPr="004C00E0">
        <w:rPr>
          <w:rFonts w:ascii="Times New Roman" w:hAnsi="Times New Roman" w:cs="Times New Roman"/>
          <w:noProof/>
          <w:sz w:val="28"/>
          <w:szCs w:val="28"/>
        </w:rPr>
        <w:drawing>
          <wp:inline distT="0" distB="0" distL="0" distR="0" wp14:anchorId="1FB4E5D8" wp14:editId="79E243C4">
            <wp:extent cx="1932504" cy="1809750"/>
            <wp:effectExtent l="0" t="0" r="0" b="0"/>
            <wp:docPr id="4" name="Picture 4"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10800000" flipV="1">
                      <a:off x="0" y="0"/>
                      <a:ext cx="1932504" cy="1809750"/>
                    </a:xfrm>
                    <a:prstGeom prst="rect">
                      <a:avLst/>
                    </a:prstGeom>
                    <a:noFill/>
                    <a:ln>
                      <a:noFill/>
                    </a:ln>
                  </pic:spPr>
                </pic:pic>
              </a:graphicData>
            </a:graphic>
          </wp:inline>
        </w:drawing>
      </w:r>
    </w:p>
    <w:p w14:paraId="696EDF29" w14:textId="77777777" w:rsidR="004C00E0" w:rsidRPr="004C00E0" w:rsidRDefault="004C00E0" w:rsidP="004C00E0">
      <w:pPr>
        <w:spacing w:line="360" w:lineRule="auto"/>
        <w:ind w:left="360"/>
        <w:jc w:val="center"/>
        <w:rPr>
          <w:rFonts w:ascii="Times New Roman" w:eastAsia="Times New Roman" w:hAnsi="Times New Roman" w:cs="Times New Roman"/>
          <w:b/>
          <w:sz w:val="24"/>
          <w:szCs w:val="24"/>
        </w:rPr>
      </w:pPr>
    </w:p>
    <w:p w14:paraId="2442CFF3" w14:textId="77777777" w:rsidR="00EB2CB6" w:rsidRPr="004C00E0" w:rsidRDefault="00EB2CB6">
      <w:pPr>
        <w:spacing w:line="360" w:lineRule="auto"/>
        <w:ind w:left="360"/>
        <w:jc w:val="both"/>
        <w:rPr>
          <w:rFonts w:ascii="Times New Roman" w:eastAsia="Times New Roman" w:hAnsi="Times New Roman" w:cs="Times New Roman"/>
          <w:b/>
          <w:sz w:val="24"/>
          <w:szCs w:val="24"/>
        </w:rPr>
      </w:pPr>
    </w:p>
    <w:p w14:paraId="32305806" w14:textId="77777777" w:rsidR="00EB2CB6" w:rsidRPr="004C00E0" w:rsidRDefault="00EB2CB6">
      <w:pPr>
        <w:spacing w:line="360" w:lineRule="auto"/>
        <w:ind w:left="360"/>
        <w:jc w:val="both"/>
        <w:rPr>
          <w:rFonts w:ascii="Times New Roman" w:eastAsia="Times New Roman" w:hAnsi="Times New Roman" w:cs="Times New Roman"/>
          <w:b/>
          <w:sz w:val="24"/>
          <w:szCs w:val="24"/>
        </w:rPr>
      </w:pPr>
    </w:p>
    <w:p w14:paraId="0C938C85" w14:textId="26CE9226" w:rsidR="004C00E0" w:rsidRPr="004C00E0" w:rsidRDefault="004C00E0" w:rsidP="004C00E0">
      <w:pPr>
        <w:spacing w:line="480" w:lineRule="auto"/>
        <w:jc w:val="center"/>
        <w:rPr>
          <w:rFonts w:ascii="Times New Roman" w:eastAsiaTheme="minorEastAsia" w:hAnsi="Times New Roman" w:cs="Times New Roman"/>
          <w:kern w:val="24"/>
          <w:sz w:val="28"/>
          <w:szCs w:val="28"/>
          <w:lang w:val="en-US" w:eastAsia="ja-JP"/>
        </w:rPr>
      </w:pPr>
      <w:r w:rsidRPr="004C00E0">
        <w:rPr>
          <w:rFonts w:ascii="Times New Roman" w:eastAsiaTheme="minorEastAsia" w:hAnsi="Times New Roman" w:cs="Times New Roman"/>
          <w:kern w:val="24"/>
          <w:sz w:val="28"/>
          <w:szCs w:val="28"/>
          <w:lang w:val="en-US" w:eastAsia="ja-JP"/>
        </w:rPr>
        <w:t>LEVEL 6 Module</w:t>
      </w:r>
      <w:r>
        <w:rPr>
          <w:rFonts w:ascii="Times New Roman" w:eastAsiaTheme="minorEastAsia" w:hAnsi="Times New Roman" w:cs="Times New Roman"/>
          <w:kern w:val="24"/>
          <w:sz w:val="28"/>
          <w:szCs w:val="28"/>
          <w:lang w:val="en-US" w:eastAsia="ja-JP"/>
        </w:rPr>
        <w:t xml:space="preserve"> M6X01932</w:t>
      </w:r>
    </w:p>
    <w:p w14:paraId="138280DE" w14:textId="77777777" w:rsidR="004C00E0" w:rsidRPr="004C00E0" w:rsidRDefault="004C00E0" w:rsidP="004C00E0">
      <w:pPr>
        <w:spacing w:line="480" w:lineRule="auto"/>
        <w:jc w:val="center"/>
        <w:rPr>
          <w:rFonts w:ascii="Times New Roman" w:eastAsiaTheme="minorEastAsia" w:hAnsi="Times New Roman" w:cs="Times New Roman"/>
          <w:kern w:val="24"/>
          <w:sz w:val="28"/>
          <w:szCs w:val="28"/>
          <w:lang w:val="en-US" w:eastAsia="ja-JP"/>
        </w:rPr>
      </w:pPr>
      <w:r w:rsidRPr="004C00E0">
        <w:rPr>
          <w:rFonts w:ascii="Times New Roman" w:eastAsiaTheme="minorEastAsia" w:hAnsi="Times New Roman" w:cs="Times New Roman"/>
          <w:kern w:val="24"/>
          <w:sz w:val="28"/>
          <w:szCs w:val="28"/>
          <w:lang w:val="en-US" w:eastAsia="ja-JP"/>
        </w:rPr>
        <w:t xml:space="preserve">Tutor: Dr </w:t>
      </w:r>
      <w:proofErr w:type="spellStart"/>
      <w:r w:rsidRPr="004C00E0">
        <w:rPr>
          <w:rFonts w:ascii="Times New Roman" w:eastAsiaTheme="minorEastAsia" w:hAnsi="Times New Roman" w:cs="Times New Roman"/>
          <w:kern w:val="24"/>
          <w:sz w:val="28"/>
          <w:szCs w:val="28"/>
          <w:lang w:val="en-US" w:eastAsia="ja-JP"/>
        </w:rPr>
        <w:t>Olu</w:t>
      </w:r>
      <w:proofErr w:type="spellEnd"/>
      <w:r w:rsidRPr="004C00E0">
        <w:rPr>
          <w:rFonts w:ascii="Times New Roman" w:eastAsiaTheme="minorEastAsia" w:hAnsi="Times New Roman" w:cs="Times New Roman"/>
          <w:kern w:val="24"/>
          <w:sz w:val="28"/>
          <w:szCs w:val="28"/>
          <w:lang w:val="en-US" w:eastAsia="ja-JP"/>
        </w:rPr>
        <w:t xml:space="preserve"> Adegbite</w:t>
      </w:r>
    </w:p>
    <w:p w14:paraId="1096811E" w14:textId="77777777" w:rsidR="004C00E0" w:rsidRPr="004C00E0" w:rsidRDefault="004C00E0" w:rsidP="004C00E0">
      <w:pPr>
        <w:spacing w:line="480" w:lineRule="auto"/>
        <w:jc w:val="center"/>
        <w:rPr>
          <w:rFonts w:ascii="Times New Roman" w:eastAsiaTheme="minorEastAsia" w:hAnsi="Times New Roman" w:cs="Times New Roman"/>
          <w:kern w:val="24"/>
          <w:sz w:val="28"/>
          <w:szCs w:val="28"/>
          <w:lang w:val="en-US" w:eastAsia="ja-JP"/>
        </w:rPr>
      </w:pPr>
      <w:r w:rsidRPr="004C00E0">
        <w:rPr>
          <w:rFonts w:ascii="Times New Roman" w:eastAsiaTheme="minorEastAsia" w:hAnsi="Times New Roman" w:cs="Times New Roman"/>
          <w:kern w:val="24"/>
          <w:sz w:val="28"/>
          <w:szCs w:val="28"/>
          <w:lang w:val="en-US" w:eastAsia="ja-JP"/>
        </w:rPr>
        <w:t>UWTSD University Trinity Saint David’s Wales</w:t>
      </w:r>
    </w:p>
    <w:p w14:paraId="78E425C6" w14:textId="77777777" w:rsidR="004C00E0" w:rsidRPr="004C00E0" w:rsidRDefault="004C00E0" w:rsidP="004C00E0">
      <w:pPr>
        <w:spacing w:line="480" w:lineRule="auto"/>
        <w:jc w:val="center"/>
        <w:rPr>
          <w:rFonts w:ascii="Times New Roman" w:eastAsiaTheme="minorEastAsia" w:hAnsi="Times New Roman" w:cs="Times New Roman"/>
          <w:kern w:val="24"/>
          <w:sz w:val="28"/>
          <w:szCs w:val="28"/>
          <w:lang w:val="en-US" w:eastAsia="ja-JP"/>
        </w:rPr>
      </w:pPr>
      <w:r w:rsidRPr="004C00E0">
        <w:rPr>
          <w:rFonts w:ascii="Times New Roman" w:eastAsiaTheme="minorEastAsia" w:hAnsi="Times New Roman" w:cs="Times New Roman"/>
          <w:kern w:val="24"/>
          <w:sz w:val="28"/>
          <w:szCs w:val="28"/>
          <w:lang w:val="en-US" w:eastAsia="ja-JP"/>
        </w:rPr>
        <w:t>School of International Hotel</w:t>
      </w:r>
    </w:p>
    <w:p w14:paraId="638A20E0" w14:textId="77777777" w:rsidR="004C00E0" w:rsidRPr="004C00E0" w:rsidRDefault="004C00E0" w:rsidP="004C00E0">
      <w:pPr>
        <w:spacing w:line="480" w:lineRule="auto"/>
        <w:jc w:val="center"/>
        <w:rPr>
          <w:rFonts w:ascii="Times New Roman" w:eastAsiaTheme="minorEastAsia" w:hAnsi="Times New Roman" w:cs="Times New Roman"/>
          <w:kern w:val="24"/>
          <w:sz w:val="28"/>
          <w:szCs w:val="28"/>
          <w:lang w:val="en-US" w:eastAsia="ja-JP"/>
        </w:rPr>
      </w:pPr>
      <w:r w:rsidRPr="004C00E0">
        <w:rPr>
          <w:rFonts w:ascii="Times New Roman" w:eastAsiaTheme="minorEastAsia" w:hAnsi="Times New Roman" w:cs="Times New Roman"/>
          <w:kern w:val="24"/>
          <w:sz w:val="28"/>
          <w:szCs w:val="28"/>
          <w:lang w:val="en-US" w:eastAsia="ja-JP"/>
        </w:rPr>
        <w:t>Management BA International Hotel Management</w:t>
      </w:r>
    </w:p>
    <w:p w14:paraId="451C2CA2" w14:textId="77777777" w:rsidR="004C00E0" w:rsidRDefault="004C00E0" w:rsidP="004C00E0">
      <w:pPr>
        <w:spacing w:line="480" w:lineRule="auto"/>
        <w:jc w:val="center"/>
        <w:rPr>
          <w:rFonts w:eastAsiaTheme="minorEastAsia"/>
          <w:kern w:val="24"/>
          <w:sz w:val="28"/>
          <w:szCs w:val="28"/>
          <w:lang w:val="en-US" w:eastAsia="ja-JP"/>
        </w:rPr>
      </w:pPr>
      <w:r w:rsidRPr="00254F7C">
        <w:rPr>
          <w:rFonts w:eastAsiaTheme="minorEastAsia"/>
          <w:kern w:val="24"/>
          <w:sz w:val="28"/>
          <w:szCs w:val="28"/>
          <w:lang w:val="en-US" w:eastAsia="ja-JP"/>
        </w:rPr>
        <w:t>Student</w:t>
      </w:r>
      <w:r>
        <w:rPr>
          <w:rFonts w:eastAsiaTheme="minorEastAsia"/>
          <w:kern w:val="24"/>
          <w:sz w:val="28"/>
          <w:szCs w:val="28"/>
          <w:lang w:val="en-US" w:eastAsia="ja-JP"/>
        </w:rPr>
        <w:t>:</w:t>
      </w:r>
      <w:r w:rsidRPr="00254F7C">
        <w:rPr>
          <w:rFonts w:eastAsiaTheme="minorEastAsia"/>
          <w:kern w:val="24"/>
          <w:sz w:val="28"/>
          <w:szCs w:val="28"/>
          <w:lang w:val="en-US" w:eastAsia="ja-JP"/>
        </w:rPr>
        <w:t xml:space="preserve"> Shahzia Ahmed</w:t>
      </w:r>
    </w:p>
    <w:p w14:paraId="03ADA13F" w14:textId="77777777" w:rsidR="00EB2CB6" w:rsidRDefault="00EB2CB6">
      <w:pPr>
        <w:spacing w:line="360" w:lineRule="auto"/>
        <w:ind w:left="360"/>
        <w:jc w:val="both"/>
        <w:rPr>
          <w:rFonts w:ascii="Times New Roman" w:eastAsia="Times New Roman" w:hAnsi="Times New Roman" w:cs="Times New Roman"/>
          <w:b/>
          <w:sz w:val="24"/>
          <w:szCs w:val="24"/>
        </w:rPr>
      </w:pPr>
    </w:p>
    <w:p w14:paraId="370F90CE" w14:textId="77777777" w:rsidR="00EB2CB6" w:rsidRDefault="00EB2CB6">
      <w:pPr>
        <w:spacing w:line="360" w:lineRule="auto"/>
        <w:ind w:left="360"/>
        <w:jc w:val="both"/>
        <w:rPr>
          <w:rFonts w:ascii="Times New Roman" w:eastAsia="Times New Roman" w:hAnsi="Times New Roman" w:cs="Times New Roman"/>
          <w:b/>
          <w:sz w:val="24"/>
          <w:szCs w:val="24"/>
        </w:rPr>
      </w:pPr>
    </w:p>
    <w:p w14:paraId="6B32FB09" w14:textId="77777777" w:rsidR="00EB2CB6" w:rsidRDefault="00EB2CB6">
      <w:pPr>
        <w:spacing w:line="360" w:lineRule="auto"/>
        <w:ind w:left="360"/>
        <w:jc w:val="both"/>
        <w:rPr>
          <w:rFonts w:ascii="Times New Roman" w:eastAsia="Times New Roman" w:hAnsi="Times New Roman" w:cs="Times New Roman"/>
          <w:b/>
          <w:sz w:val="24"/>
          <w:szCs w:val="24"/>
        </w:rPr>
      </w:pPr>
    </w:p>
    <w:p w14:paraId="1DD57E0F" w14:textId="77777777" w:rsidR="00EB2CB6" w:rsidRDefault="00EB2CB6">
      <w:pPr>
        <w:spacing w:line="360" w:lineRule="auto"/>
        <w:ind w:left="360"/>
        <w:jc w:val="both"/>
        <w:rPr>
          <w:rFonts w:ascii="Times New Roman" w:eastAsia="Times New Roman" w:hAnsi="Times New Roman" w:cs="Times New Roman"/>
          <w:b/>
          <w:sz w:val="24"/>
          <w:szCs w:val="24"/>
        </w:rPr>
      </w:pPr>
    </w:p>
    <w:p w14:paraId="2251CD9B" w14:textId="77777777" w:rsidR="00EB2CB6" w:rsidRDefault="00EB2CB6">
      <w:pPr>
        <w:spacing w:line="360" w:lineRule="auto"/>
        <w:ind w:left="360"/>
        <w:jc w:val="both"/>
        <w:rPr>
          <w:rFonts w:ascii="Times New Roman" w:eastAsia="Times New Roman" w:hAnsi="Times New Roman" w:cs="Times New Roman"/>
          <w:b/>
          <w:sz w:val="24"/>
          <w:szCs w:val="24"/>
        </w:rPr>
      </w:pPr>
    </w:p>
    <w:p w14:paraId="29653463" w14:textId="77777777" w:rsidR="00EB2CB6" w:rsidRDefault="00EB2CB6" w:rsidP="004C00E0">
      <w:pPr>
        <w:spacing w:line="360" w:lineRule="auto"/>
        <w:jc w:val="both"/>
        <w:rPr>
          <w:rFonts w:ascii="Times New Roman" w:eastAsia="Times New Roman" w:hAnsi="Times New Roman" w:cs="Times New Roman"/>
          <w:b/>
          <w:sz w:val="24"/>
          <w:szCs w:val="24"/>
        </w:rPr>
      </w:pPr>
    </w:p>
    <w:p w14:paraId="2A9783C5"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Table of Contents</w:t>
      </w:r>
    </w:p>
    <w:p w14:paraId="11A6F330" w14:textId="77777777" w:rsidR="00EB2CB6" w:rsidRDefault="00EB2CB6">
      <w:pPr>
        <w:spacing w:line="360" w:lineRule="auto"/>
        <w:rPr>
          <w:rFonts w:ascii="Times New Roman" w:eastAsia="Times New Roman" w:hAnsi="Times New Roman" w:cs="Times New Roman"/>
          <w:sz w:val="24"/>
          <w:szCs w:val="24"/>
        </w:rPr>
      </w:pPr>
    </w:p>
    <w:p w14:paraId="4CCC2B03" w14:textId="77777777" w:rsidR="00EB2CB6" w:rsidRDefault="000D7342">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3</w:t>
      </w:r>
    </w:p>
    <w:p w14:paraId="4F9B033B"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Canada’s Implemented Strategic Tourism Planning Model: A Review                     4</w:t>
      </w:r>
    </w:p>
    <w:p w14:paraId="08D7D2EB"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Analysis of Canada’s Implemented Strategic Tourism Planning Model              6</w:t>
      </w:r>
    </w:p>
    <w:p w14:paraId="5AC324BC"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Canada’s Strategic Tourism Planning Model: Issues and Implications             </w:t>
      </w:r>
      <w:r>
        <w:rPr>
          <w:rFonts w:ascii="Times New Roman" w:eastAsia="Times New Roman" w:hAnsi="Times New Roman" w:cs="Times New Roman"/>
          <w:sz w:val="24"/>
          <w:szCs w:val="24"/>
        </w:rPr>
        <w:tab/>
        <w:t>8</w:t>
      </w:r>
    </w:p>
    <w:p w14:paraId="0B653650"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Comparison: Canada, France, and Spain                                                          </w:t>
      </w:r>
      <w:r>
        <w:rPr>
          <w:rFonts w:ascii="Times New Roman" w:eastAsia="Times New Roman" w:hAnsi="Times New Roman" w:cs="Times New Roman"/>
          <w:sz w:val="24"/>
          <w:szCs w:val="24"/>
        </w:rPr>
        <w:tab/>
        <w:t>9</w:t>
      </w:r>
    </w:p>
    <w:p w14:paraId="44E151C3"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Conceptual Framework for Improvement</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12</w:t>
      </w:r>
    </w:p>
    <w:p w14:paraId="130A703F"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and Current Theories</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12</w:t>
      </w:r>
    </w:p>
    <w:p w14:paraId="1280E287"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13</w:t>
      </w:r>
    </w:p>
    <w:p w14:paraId="757F0D03"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Bibliography</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14</w:t>
      </w:r>
    </w:p>
    <w:p w14:paraId="2623203B" w14:textId="77777777" w:rsidR="00EB2CB6" w:rsidRDefault="00EB2CB6">
      <w:pPr>
        <w:ind w:left="1440"/>
        <w:rPr>
          <w:rFonts w:ascii="Times New Roman" w:eastAsia="Times New Roman" w:hAnsi="Times New Roman" w:cs="Times New Roman"/>
          <w:sz w:val="24"/>
          <w:szCs w:val="24"/>
        </w:rPr>
      </w:pPr>
    </w:p>
    <w:p w14:paraId="2C983FE4" w14:textId="77777777" w:rsidR="00EB2CB6" w:rsidRDefault="00EB2CB6">
      <w:pPr>
        <w:spacing w:line="360" w:lineRule="auto"/>
        <w:jc w:val="both"/>
        <w:rPr>
          <w:rFonts w:ascii="Times New Roman" w:eastAsia="Times New Roman" w:hAnsi="Times New Roman" w:cs="Times New Roman"/>
          <w:b/>
          <w:sz w:val="24"/>
          <w:szCs w:val="24"/>
        </w:rPr>
      </w:pPr>
    </w:p>
    <w:p w14:paraId="67D7DA1A" w14:textId="77777777" w:rsidR="00EB2CB6" w:rsidRDefault="00EB2CB6">
      <w:pPr>
        <w:spacing w:line="360" w:lineRule="auto"/>
        <w:jc w:val="both"/>
        <w:rPr>
          <w:rFonts w:ascii="Times New Roman" w:eastAsia="Times New Roman" w:hAnsi="Times New Roman" w:cs="Times New Roman"/>
          <w:b/>
          <w:sz w:val="24"/>
          <w:szCs w:val="24"/>
        </w:rPr>
      </w:pPr>
    </w:p>
    <w:p w14:paraId="5ED71433" w14:textId="77777777" w:rsidR="00EB2CB6" w:rsidRDefault="00EB2CB6">
      <w:pPr>
        <w:spacing w:line="360" w:lineRule="auto"/>
        <w:jc w:val="both"/>
        <w:rPr>
          <w:rFonts w:ascii="Times New Roman" w:eastAsia="Times New Roman" w:hAnsi="Times New Roman" w:cs="Times New Roman"/>
          <w:b/>
          <w:sz w:val="24"/>
          <w:szCs w:val="24"/>
        </w:rPr>
      </w:pPr>
    </w:p>
    <w:p w14:paraId="7C2ED2EC" w14:textId="77777777" w:rsidR="00EB2CB6" w:rsidRDefault="00EB2CB6">
      <w:pPr>
        <w:spacing w:line="360" w:lineRule="auto"/>
        <w:jc w:val="both"/>
        <w:rPr>
          <w:rFonts w:ascii="Times New Roman" w:eastAsia="Times New Roman" w:hAnsi="Times New Roman" w:cs="Times New Roman"/>
          <w:b/>
          <w:sz w:val="24"/>
          <w:szCs w:val="24"/>
        </w:rPr>
      </w:pPr>
    </w:p>
    <w:p w14:paraId="2B5EA53E" w14:textId="77777777" w:rsidR="00EB2CB6" w:rsidRDefault="00EB2CB6">
      <w:pPr>
        <w:spacing w:line="360" w:lineRule="auto"/>
        <w:jc w:val="both"/>
        <w:rPr>
          <w:rFonts w:ascii="Times New Roman" w:eastAsia="Times New Roman" w:hAnsi="Times New Roman" w:cs="Times New Roman"/>
          <w:b/>
          <w:sz w:val="24"/>
          <w:szCs w:val="24"/>
        </w:rPr>
      </w:pPr>
    </w:p>
    <w:p w14:paraId="68F5F896" w14:textId="77777777" w:rsidR="00EB2CB6" w:rsidRDefault="00EB2CB6">
      <w:pPr>
        <w:spacing w:line="360" w:lineRule="auto"/>
        <w:jc w:val="both"/>
        <w:rPr>
          <w:rFonts w:ascii="Times New Roman" w:eastAsia="Times New Roman" w:hAnsi="Times New Roman" w:cs="Times New Roman"/>
          <w:b/>
          <w:sz w:val="24"/>
          <w:szCs w:val="24"/>
        </w:rPr>
      </w:pPr>
    </w:p>
    <w:p w14:paraId="3F4E941E" w14:textId="77777777" w:rsidR="00EB2CB6" w:rsidRDefault="00EB2CB6">
      <w:pPr>
        <w:spacing w:line="360" w:lineRule="auto"/>
        <w:jc w:val="both"/>
        <w:rPr>
          <w:rFonts w:ascii="Times New Roman" w:eastAsia="Times New Roman" w:hAnsi="Times New Roman" w:cs="Times New Roman"/>
          <w:b/>
          <w:sz w:val="24"/>
          <w:szCs w:val="24"/>
        </w:rPr>
      </w:pPr>
    </w:p>
    <w:p w14:paraId="449525E1" w14:textId="77777777" w:rsidR="00EB2CB6" w:rsidRDefault="00EB2CB6">
      <w:pPr>
        <w:spacing w:line="360" w:lineRule="auto"/>
        <w:jc w:val="both"/>
        <w:rPr>
          <w:rFonts w:ascii="Times New Roman" w:eastAsia="Times New Roman" w:hAnsi="Times New Roman" w:cs="Times New Roman"/>
          <w:b/>
          <w:sz w:val="24"/>
          <w:szCs w:val="24"/>
        </w:rPr>
      </w:pPr>
    </w:p>
    <w:p w14:paraId="28DB008E" w14:textId="77777777" w:rsidR="00EB2CB6" w:rsidRDefault="00EB2CB6">
      <w:pPr>
        <w:spacing w:line="360" w:lineRule="auto"/>
        <w:jc w:val="both"/>
        <w:rPr>
          <w:rFonts w:ascii="Times New Roman" w:eastAsia="Times New Roman" w:hAnsi="Times New Roman" w:cs="Times New Roman"/>
          <w:b/>
          <w:sz w:val="24"/>
          <w:szCs w:val="24"/>
        </w:rPr>
      </w:pPr>
    </w:p>
    <w:p w14:paraId="74B11CED" w14:textId="77777777" w:rsidR="00EB2CB6" w:rsidRDefault="00EB2CB6">
      <w:pPr>
        <w:spacing w:line="360" w:lineRule="auto"/>
        <w:jc w:val="both"/>
        <w:rPr>
          <w:rFonts w:ascii="Times New Roman" w:eastAsia="Times New Roman" w:hAnsi="Times New Roman" w:cs="Times New Roman"/>
          <w:b/>
          <w:sz w:val="24"/>
          <w:szCs w:val="24"/>
        </w:rPr>
      </w:pPr>
    </w:p>
    <w:p w14:paraId="49AFAC07" w14:textId="77777777" w:rsidR="00EB2CB6" w:rsidRDefault="00EB2CB6">
      <w:pPr>
        <w:spacing w:line="360" w:lineRule="auto"/>
        <w:jc w:val="both"/>
        <w:rPr>
          <w:rFonts w:ascii="Times New Roman" w:eastAsia="Times New Roman" w:hAnsi="Times New Roman" w:cs="Times New Roman"/>
          <w:b/>
          <w:sz w:val="24"/>
          <w:szCs w:val="24"/>
        </w:rPr>
      </w:pPr>
    </w:p>
    <w:p w14:paraId="7367732A" w14:textId="77777777" w:rsidR="00EB2CB6" w:rsidRDefault="00EB2CB6">
      <w:pPr>
        <w:spacing w:line="360" w:lineRule="auto"/>
        <w:jc w:val="both"/>
        <w:rPr>
          <w:rFonts w:ascii="Times New Roman" w:eastAsia="Times New Roman" w:hAnsi="Times New Roman" w:cs="Times New Roman"/>
          <w:b/>
          <w:sz w:val="24"/>
          <w:szCs w:val="24"/>
        </w:rPr>
      </w:pPr>
    </w:p>
    <w:p w14:paraId="62B9FE4D" w14:textId="77777777" w:rsidR="00EB2CB6" w:rsidRDefault="00EB2CB6">
      <w:pPr>
        <w:spacing w:line="360" w:lineRule="auto"/>
        <w:jc w:val="both"/>
        <w:rPr>
          <w:rFonts w:ascii="Times New Roman" w:eastAsia="Times New Roman" w:hAnsi="Times New Roman" w:cs="Times New Roman"/>
          <w:b/>
          <w:sz w:val="24"/>
          <w:szCs w:val="24"/>
        </w:rPr>
      </w:pPr>
    </w:p>
    <w:p w14:paraId="145DCD7B" w14:textId="77777777" w:rsidR="00EB2CB6" w:rsidRDefault="00EB2CB6">
      <w:pPr>
        <w:spacing w:line="360" w:lineRule="auto"/>
        <w:jc w:val="both"/>
        <w:rPr>
          <w:rFonts w:ascii="Times New Roman" w:eastAsia="Times New Roman" w:hAnsi="Times New Roman" w:cs="Times New Roman"/>
          <w:b/>
          <w:sz w:val="24"/>
          <w:szCs w:val="24"/>
        </w:rPr>
      </w:pPr>
    </w:p>
    <w:p w14:paraId="6DA0A4AC" w14:textId="77777777" w:rsidR="00EB2CB6" w:rsidRDefault="00EB2CB6">
      <w:pPr>
        <w:spacing w:line="360" w:lineRule="auto"/>
        <w:jc w:val="both"/>
        <w:rPr>
          <w:rFonts w:ascii="Times New Roman" w:eastAsia="Times New Roman" w:hAnsi="Times New Roman" w:cs="Times New Roman"/>
          <w:b/>
          <w:sz w:val="24"/>
          <w:szCs w:val="24"/>
        </w:rPr>
      </w:pPr>
    </w:p>
    <w:p w14:paraId="46DA5524" w14:textId="17B90E9F" w:rsidR="00EB2CB6" w:rsidRDefault="00EB2CB6">
      <w:pPr>
        <w:spacing w:line="360" w:lineRule="auto"/>
        <w:jc w:val="both"/>
        <w:rPr>
          <w:rFonts w:ascii="Times New Roman" w:eastAsia="Times New Roman" w:hAnsi="Times New Roman" w:cs="Times New Roman"/>
          <w:b/>
          <w:sz w:val="24"/>
          <w:szCs w:val="24"/>
        </w:rPr>
      </w:pPr>
    </w:p>
    <w:p w14:paraId="3172A315" w14:textId="15E734BF" w:rsidR="0079318D" w:rsidRDefault="0079318D">
      <w:pPr>
        <w:spacing w:line="360" w:lineRule="auto"/>
        <w:jc w:val="both"/>
        <w:rPr>
          <w:rFonts w:ascii="Times New Roman" w:eastAsia="Times New Roman" w:hAnsi="Times New Roman" w:cs="Times New Roman"/>
          <w:b/>
          <w:sz w:val="24"/>
          <w:szCs w:val="24"/>
        </w:rPr>
      </w:pPr>
    </w:p>
    <w:p w14:paraId="61DF4E3D" w14:textId="4EC9659B" w:rsidR="0079318D" w:rsidRDefault="0079318D">
      <w:pPr>
        <w:spacing w:line="360" w:lineRule="auto"/>
        <w:jc w:val="both"/>
        <w:rPr>
          <w:rFonts w:ascii="Times New Roman" w:eastAsia="Times New Roman" w:hAnsi="Times New Roman" w:cs="Times New Roman"/>
          <w:b/>
          <w:sz w:val="24"/>
          <w:szCs w:val="24"/>
        </w:rPr>
      </w:pPr>
    </w:p>
    <w:p w14:paraId="1F4BD748" w14:textId="77777777" w:rsidR="0079318D" w:rsidRDefault="0079318D">
      <w:pPr>
        <w:spacing w:line="360" w:lineRule="auto"/>
        <w:jc w:val="both"/>
        <w:rPr>
          <w:rFonts w:ascii="Times New Roman" w:eastAsia="Times New Roman" w:hAnsi="Times New Roman" w:cs="Times New Roman"/>
          <w:b/>
          <w:sz w:val="24"/>
          <w:szCs w:val="24"/>
        </w:rPr>
      </w:pPr>
    </w:p>
    <w:p w14:paraId="41012D41"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Introduction</w:t>
      </w:r>
    </w:p>
    <w:p w14:paraId="6531F505" w14:textId="77777777" w:rsidR="00EB2CB6" w:rsidRDefault="00EB2CB6">
      <w:pPr>
        <w:spacing w:line="360" w:lineRule="auto"/>
        <w:jc w:val="both"/>
        <w:rPr>
          <w:rFonts w:ascii="Times New Roman" w:eastAsia="Times New Roman" w:hAnsi="Times New Roman" w:cs="Times New Roman"/>
          <w:sz w:val="24"/>
          <w:szCs w:val="24"/>
        </w:rPr>
      </w:pPr>
    </w:p>
    <w:p w14:paraId="4891BBEC"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contemporary age, overall tourism development is mainly directed towards tourists, guests, and clients. On the other hand, tourism is considered one of the most profitable industries worldwide and has immense importance for every country (</w:t>
      </w:r>
      <w:proofErr w:type="spellStart"/>
      <w:r>
        <w:rPr>
          <w:rFonts w:ascii="Times New Roman" w:eastAsia="Times New Roman" w:hAnsi="Times New Roman" w:cs="Times New Roman"/>
          <w:sz w:val="24"/>
          <w:szCs w:val="24"/>
        </w:rPr>
        <w:t>Vukotic</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Vojnović</w:t>
      </w:r>
      <w:proofErr w:type="spellEnd"/>
      <w:r>
        <w:rPr>
          <w:rFonts w:ascii="Times New Roman" w:eastAsia="Times New Roman" w:hAnsi="Times New Roman" w:cs="Times New Roman"/>
          <w:sz w:val="24"/>
          <w:szCs w:val="24"/>
        </w:rPr>
        <w:t xml:space="preserve">, 2016). </w:t>
      </w:r>
    </w:p>
    <w:p w14:paraId="19E33749" w14:textId="77777777" w:rsidR="00EB2CB6" w:rsidRDefault="00EB2CB6">
      <w:pPr>
        <w:spacing w:line="360" w:lineRule="auto"/>
        <w:jc w:val="both"/>
        <w:rPr>
          <w:rFonts w:ascii="Times New Roman" w:eastAsia="Times New Roman" w:hAnsi="Times New Roman" w:cs="Times New Roman"/>
          <w:sz w:val="24"/>
          <w:szCs w:val="24"/>
        </w:rPr>
      </w:pPr>
    </w:p>
    <w:p w14:paraId="3CCCAA3C"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Canada, the tourism industry generates $102 billion annually. It produces 1.8 million jobs and composes more than 2% of the country’s gross domestic product (GDP), as written in Canada’s latest tourism strategic report (2019). Given the enormous part tourism plays in Canada’s economy, it released a tourism growth strategy report last year. </w:t>
      </w:r>
    </w:p>
    <w:p w14:paraId="12AB9AEA" w14:textId="77777777" w:rsidR="00EB2CB6" w:rsidRDefault="00EB2CB6">
      <w:pPr>
        <w:spacing w:line="360" w:lineRule="auto"/>
        <w:jc w:val="both"/>
        <w:rPr>
          <w:rFonts w:ascii="Times New Roman" w:eastAsia="Times New Roman" w:hAnsi="Times New Roman" w:cs="Times New Roman"/>
          <w:sz w:val="24"/>
          <w:szCs w:val="24"/>
        </w:rPr>
      </w:pPr>
    </w:p>
    <w:p w14:paraId="5C62B1B0"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planning and management involve the set of strategic choices and goals made by certain entities such as companies, organizations, or countries. These strategies are then managed so the entities can effectively implement them to reach desired outcomes. In a nutshell, it is the process of looking at an organization’s future and the development of procedures and operations to achieve specific objectives (</w:t>
      </w:r>
      <w:proofErr w:type="spellStart"/>
      <w:r>
        <w:rPr>
          <w:rFonts w:ascii="Times New Roman" w:eastAsia="Times New Roman" w:hAnsi="Times New Roman" w:cs="Times New Roman"/>
          <w:sz w:val="24"/>
          <w:szCs w:val="24"/>
        </w:rPr>
        <w:t>Vukotic</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Vojnović</w:t>
      </w:r>
      <w:proofErr w:type="spellEnd"/>
      <w:r>
        <w:rPr>
          <w:rFonts w:ascii="Times New Roman" w:eastAsia="Times New Roman" w:hAnsi="Times New Roman" w:cs="Times New Roman"/>
          <w:sz w:val="24"/>
          <w:szCs w:val="24"/>
        </w:rPr>
        <w:t xml:space="preserve">, 2016; Hill &amp; Jones, 2001). </w:t>
      </w:r>
    </w:p>
    <w:p w14:paraId="51478CFF" w14:textId="77777777" w:rsidR="00EB2CB6" w:rsidRDefault="00EB2CB6">
      <w:pPr>
        <w:spacing w:line="360" w:lineRule="auto"/>
        <w:jc w:val="both"/>
        <w:rPr>
          <w:rFonts w:ascii="Times New Roman" w:eastAsia="Times New Roman" w:hAnsi="Times New Roman" w:cs="Times New Roman"/>
          <w:sz w:val="24"/>
          <w:szCs w:val="24"/>
        </w:rPr>
      </w:pPr>
    </w:p>
    <w:p w14:paraId="40F8E73B"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tourism is vulnerable to internal and external shocks such as economic crises, natural disasters, pandemics (most recently, the COVID-19 pandemic), and conflicts, tourism strategic planning and management are highly important for countries to survive (Jiang, Scott, &amp; Ritchie, 2018). </w:t>
      </w:r>
    </w:p>
    <w:p w14:paraId="27CB9F0C" w14:textId="77777777" w:rsidR="00EB2CB6" w:rsidRDefault="00EB2CB6">
      <w:pPr>
        <w:spacing w:line="360" w:lineRule="auto"/>
        <w:jc w:val="both"/>
        <w:rPr>
          <w:rFonts w:ascii="Times New Roman" w:eastAsia="Times New Roman" w:hAnsi="Times New Roman" w:cs="Times New Roman"/>
          <w:sz w:val="24"/>
          <w:szCs w:val="24"/>
        </w:rPr>
      </w:pPr>
    </w:p>
    <w:p w14:paraId="49A15651"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Aside from the </w:t>
      </w:r>
      <w:proofErr w:type="gramStart"/>
      <w:r>
        <w:rPr>
          <w:rFonts w:ascii="Times New Roman" w:eastAsia="Times New Roman" w:hAnsi="Times New Roman" w:cs="Times New Roman"/>
          <w:sz w:val="24"/>
          <w:szCs w:val="24"/>
        </w:rPr>
        <w:t>aforementioned shocks</w:t>
      </w:r>
      <w:proofErr w:type="gramEnd"/>
      <w:r>
        <w:rPr>
          <w:rFonts w:ascii="Times New Roman" w:eastAsia="Times New Roman" w:hAnsi="Times New Roman" w:cs="Times New Roman"/>
          <w:sz w:val="24"/>
          <w:szCs w:val="24"/>
        </w:rPr>
        <w:t xml:space="preserve">, tourism is also subjected to competition on a regular basis. Hence, tourism strategic planning and management are crucial. Policy makers and stakeholders must make, develop, and implement strategies that are beneficial to both tourists and destinations. Such reports also help countries’ tourism economies from destabilizing (Rate,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xml:space="preserve">, &amp; Ballantyne, 2018). </w:t>
      </w:r>
    </w:p>
    <w:p w14:paraId="4D793BCA" w14:textId="77777777" w:rsidR="00EB2CB6" w:rsidRDefault="00EB2CB6">
      <w:pPr>
        <w:spacing w:line="360" w:lineRule="auto"/>
        <w:jc w:val="both"/>
        <w:rPr>
          <w:rFonts w:ascii="Times New Roman" w:eastAsia="Times New Roman" w:hAnsi="Times New Roman" w:cs="Times New Roman"/>
          <w:sz w:val="24"/>
          <w:szCs w:val="24"/>
        </w:rPr>
      </w:pPr>
    </w:p>
    <w:p w14:paraId="3EF79078" w14:textId="77777777" w:rsidR="00EB2CB6" w:rsidRDefault="00EB2CB6">
      <w:pPr>
        <w:spacing w:line="360" w:lineRule="auto"/>
        <w:jc w:val="both"/>
        <w:rPr>
          <w:rFonts w:ascii="Times New Roman" w:eastAsia="Times New Roman" w:hAnsi="Times New Roman" w:cs="Times New Roman"/>
          <w:sz w:val="24"/>
          <w:szCs w:val="24"/>
        </w:rPr>
      </w:pPr>
    </w:p>
    <w:p w14:paraId="3A6E2E80"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Canada’s Implemented Strategic Tourism Planning Model: A Review</w:t>
      </w:r>
    </w:p>
    <w:p w14:paraId="2FFAB559" w14:textId="77777777" w:rsidR="00EB2CB6" w:rsidRDefault="00EB2CB6">
      <w:pPr>
        <w:spacing w:line="360" w:lineRule="auto"/>
        <w:jc w:val="both"/>
        <w:rPr>
          <w:rFonts w:ascii="Times New Roman" w:eastAsia="Times New Roman" w:hAnsi="Times New Roman" w:cs="Times New Roman"/>
          <w:b/>
          <w:sz w:val="24"/>
          <w:szCs w:val="24"/>
        </w:rPr>
      </w:pPr>
    </w:p>
    <w:p w14:paraId="400BF0CC" w14:textId="77777777" w:rsidR="00EB2CB6" w:rsidRDefault="000D734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overarching objective of Canada’s tourism strategy is to allow tourism to drive economic growth and create jobs in all regions of the country. It is based on the recognition that every Canadian community has something to offer and can aspire to be a </w:t>
      </w:r>
      <w:proofErr w:type="gramStart"/>
      <w:r>
        <w:rPr>
          <w:rFonts w:ascii="Times New Roman" w:eastAsia="Times New Roman" w:hAnsi="Times New Roman" w:cs="Times New Roman"/>
          <w:sz w:val="24"/>
          <w:szCs w:val="24"/>
        </w:rPr>
        <w:t>destination in its own right</w:t>
      </w:r>
      <w:proofErr w:type="gramEnd"/>
      <w:r>
        <w:rPr>
          <w:rFonts w:ascii="Times New Roman" w:eastAsia="Times New Roman" w:hAnsi="Times New Roman" w:cs="Times New Roman"/>
          <w:sz w:val="24"/>
          <w:szCs w:val="24"/>
        </w:rPr>
        <w:t xml:space="preserve">. Canada’s tourism strategy consists of three pillars, which are innovations focused on boosting the tourism economy (Innovation, Science, &amp; Economic Development Canada, 2019). </w:t>
      </w:r>
    </w:p>
    <w:p w14:paraId="2521974E" w14:textId="77777777" w:rsidR="00EB2CB6" w:rsidRDefault="000D734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excerpts in this section were taken from Canada’s tourism growth strategy report entitled “Creating Middle Class Jobs: A Federal Tourism Growth Strategy”</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published in 2019. </w:t>
      </w:r>
    </w:p>
    <w:p w14:paraId="14B652F8" w14:textId="77777777" w:rsidR="00EB2CB6" w:rsidRDefault="000D7342">
      <w:pPr>
        <w:pStyle w:val="Heading3"/>
        <w:keepNext w:val="0"/>
        <w:keepLines w:val="0"/>
        <w:spacing w:before="280" w:line="360" w:lineRule="auto"/>
        <w:jc w:val="both"/>
        <w:rPr>
          <w:rFonts w:ascii="Times New Roman" w:eastAsia="Times New Roman" w:hAnsi="Times New Roman" w:cs="Times New Roman"/>
          <w:sz w:val="24"/>
          <w:szCs w:val="24"/>
        </w:rPr>
      </w:pPr>
      <w:bookmarkStart w:id="0" w:name="_b92m3uqya0p7" w:colFirst="0" w:colLast="0"/>
      <w:bookmarkEnd w:id="0"/>
      <w:r>
        <w:rPr>
          <w:rFonts w:ascii="Times New Roman" w:eastAsia="Times New Roman" w:hAnsi="Times New Roman" w:cs="Times New Roman"/>
          <w:b/>
          <w:color w:val="000000"/>
          <w:sz w:val="24"/>
          <w:szCs w:val="24"/>
        </w:rPr>
        <w:t>2.1 Pillar 1 — Building Tourism in Canada's Communities</w:t>
      </w:r>
    </w:p>
    <w:p w14:paraId="3199C072"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grow and benefit from tourism, communities must exploit and develop the characteristics that make them special. In doing so, they will be better able to convince tourists to get off the beaten path, explore the lesser-known parts of the country, and to visit during the off-peak seasons (p. 19).</w:t>
      </w:r>
    </w:p>
    <w:p w14:paraId="7278B2C6"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strategy recognizes that a competitive tourism sector starts with a commitment to quality and differentiation. This means that Canada must offer exciting, </w:t>
      </w:r>
      <w:proofErr w:type="gramStart"/>
      <w:r>
        <w:rPr>
          <w:rFonts w:ascii="Times New Roman" w:eastAsia="Times New Roman" w:hAnsi="Times New Roman" w:cs="Times New Roman"/>
          <w:sz w:val="24"/>
          <w:szCs w:val="24"/>
        </w:rPr>
        <w:t>compelling</w:t>
      </w:r>
      <w:proofErr w:type="gramEnd"/>
      <w:r>
        <w:rPr>
          <w:rFonts w:ascii="Times New Roman" w:eastAsia="Times New Roman" w:hAnsi="Times New Roman" w:cs="Times New Roman"/>
          <w:sz w:val="24"/>
          <w:szCs w:val="24"/>
        </w:rPr>
        <w:t xml:space="preserve"> and singular offerings for tourists to see, do and, increasingly, share via social media. If Canada is to be widely known as a premier international destination, unique products and experiences are vital to stand out in a crowded field (p. 19).</w:t>
      </w:r>
    </w:p>
    <w:p w14:paraId="1B6F3C36"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Canadian Experiences Fund has five key product lines for investment:</w:t>
      </w:r>
    </w:p>
    <w:p w14:paraId="156594D9"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1" w:name="_iz4hdh4zzxqg" w:colFirst="0" w:colLast="0"/>
      <w:bookmarkEnd w:id="1"/>
      <w:r>
        <w:rPr>
          <w:rFonts w:ascii="Times New Roman" w:eastAsia="Times New Roman" w:hAnsi="Times New Roman" w:cs="Times New Roman"/>
          <w:b/>
          <w:color w:val="000000"/>
        </w:rPr>
        <w:t>2.1.1 Winter and Shoulder-season Tourism</w:t>
      </w:r>
    </w:p>
    <w:p w14:paraId="750C0944"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Canada is known for its winters, spectacular fall colors and rugged northern landscapes, our peak season remains the summer months. By investing in winter and shoulder season offerings, the Canadian Experiences Fund will strengthen an advantage for which Canada is already well known, while providing more reasons to visit in the off-peak seasons (p. 19). </w:t>
      </w:r>
    </w:p>
    <w:p w14:paraId="69CC7DFF"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2" w:name="_zdbnwmj3p27" w:colFirst="0" w:colLast="0"/>
      <w:bookmarkEnd w:id="2"/>
      <w:r>
        <w:rPr>
          <w:rFonts w:ascii="Times New Roman" w:eastAsia="Times New Roman" w:hAnsi="Times New Roman" w:cs="Times New Roman"/>
          <w:b/>
          <w:color w:val="000000"/>
        </w:rPr>
        <w:t>2.1.2 Indigenous Tourism</w:t>
      </w:r>
    </w:p>
    <w:p w14:paraId="650A890F"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Canadian Experiences Fund will help Indigenous Peoples present their histories, traditional stories, creative </w:t>
      </w:r>
      <w:proofErr w:type="gramStart"/>
      <w:r>
        <w:rPr>
          <w:rFonts w:ascii="Times New Roman" w:eastAsia="Times New Roman" w:hAnsi="Times New Roman" w:cs="Times New Roman"/>
          <w:sz w:val="24"/>
          <w:szCs w:val="24"/>
        </w:rPr>
        <w:t>arts</w:t>
      </w:r>
      <w:proofErr w:type="gramEnd"/>
      <w:r>
        <w:rPr>
          <w:rFonts w:ascii="Times New Roman" w:eastAsia="Times New Roman" w:hAnsi="Times New Roman" w:cs="Times New Roman"/>
          <w:sz w:val="24"/>
          <w:szCs w:val="24"/>
        </w:rPr>
        <w:t xml:space="preserve"> and contemporary values to the world, while creating new economic opportunities (p. 20). </w:t>
      </w:r>
    </w:p>
    <w:p w14:paraId="6038F417"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3" w:name="_drl4ii3x24vn" w:colFirst="0" w:colLast="0"/>
      <w:bookmarkEnd w:id="3"/>
      <w:r>
        <w:rPr>
          <w:rFonts w:ascii="Times New Roman" w:eastAsia="Times New Roman" w:hAnsi="Times New Roman" w:cs="Times New Roman"/>
          <w:b/>
          <w:color w:val="000000"/>
        </w:rPr>
        <w:t>2.1.3 Rural and Remote Tourism</w:t>
      </w:r>
    </w:p>
    <w:p w14:paraId="03F908ED"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Canadian Experiences Fund will prioritize investments in rural and remote areas to create middle class jobs and new economic opportunities in communities, and to entice tourists to lesser known parts of the country (p. 20). </w:t>
      </w:r>
    </w:p>
    <w:p w14:paraId="03D8152A"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4" w:name="_o2cuqxvefnca" w:colFirst="0" w:colLast="0"/>
      <w:bookmarkEnd w:id="4"/>
      <w:r>
        <w:rPr>
          <w:rFonts w:ascii="Times New Roman" w:eastAsia="Times New Roman" w:hAnsi="Times New Roman" w:cs="Times New Roman"/>
          <w:b/>
          <w:color w:val="000000"/>
        </w:rPr>
        <w:t>2.1.4 Farm-to-Table/Sea-to-Table and Culinary Tourism</w:t>
      </w:r>
    </w:p>
    <w:p w14:paraId="13B08E0E"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Canada is a great place to eat, meet and sample local wines and craft beers, only 20% of our visitors come here for such pleasures. To capitalize on this, the Canadian Experiences Fund will prioritize investments in projects like culinary trails, Indigenous culinary experiences, food festivals and farmers' markets, as well as onsite experience development such as breweries, wineries, farms, fisheries and maple syrup producers (p. 21). </w:t>
      </w:r>
    </w:p>
    <w:p w14:paraId="77465F7D" w14:textId="77777777" w:rsidR="00EB2CB6" w:rsidRDefault="000D7342">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sz w:val="24"/>
          <w:szCs w:val="24"/>
        </w:rPr>
        <w:t xml:space="preserve">2.1.5 </w:t>
      </w:r>
      <w:r>
        <w:rPr>
          <w:rFonts w:ascii="Times New Roman" w:eastAsia="Times New Roman" w:hAnsi="Times New Roman" w:cs="Times New Roman"/>
          <w:b/>
          <w:color w:val="000000"/>
          <w:sz w:val="24"/>
          <w:szCs w:val="24"/>
        </w:rPr>
        <w:t xml:space="preserve">Inclusive </w:t>
      </w:r>
      <w:r>
        <w:rPr>
          <w:rFonts w:ascii="Times New Roman" w:eastAsia="Times New Roman" w:hAnsi="Times New Roman" w:cs="Times New Roman"/>
          <w:b/>
          <w:sz w:val="24"/>
          <w:szCs w:val="24"/>
        </w:rPr>
        <w:t>T</w:t>
      </w:r>
      <w:r>
        <w:rPr>
          <w:rFonts w:ascii="Times New Roman" w:eastAsia="Times New Roman" w:hAnsi="Times New Roman" w:cs="Times New Roman"/>
          <w:b/>
          <w:color w:val="000000"/>
          <w:sz w:val="24"/>
          <w:szCs w:val="24"/>
        </w:rPr>
        <w:t>ourism</w:t>
      </w:r>
    </w:p>
    <w:p w14:paraId="61CA2549"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Canadian Experiences Fund will prioritize investments in LGBTQ2 tourism. Among supported projects, we will expand LGBTQ2 Diversity Training and Market Readiness programs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provide safe and respectful sites that everyone can enjoy across Canada. Funds have also been allocated to support both major Pride festivals, which have become international tourism attractions, and other smaller Pride events are invited to work with </w:t>
      </w:r>
      <w:proofErr w:type="spellStart"/>
      <w:r>
        <w:rPr>
          <w:rFonts w:ascii="Times New Roman" w:eastAsia="Times New Roman" w:hAnsi="Times New Roman" w:cs="Times New Roman"/>
          <w:sz w:val="24"/>
          <w:szCs w:val="24"/>
        </w:rPr>
        <w:t>Fierté</w:t>
      </w:r>
      <w:proofErr w:type="spellEnd"/>
      <w:r>
        <w:rPr>
          <w:rFonts w:ascii="Times New Roman" w:eastAsia="Times New Roman" w:hAnsi="Times New Roman" w:cs="Times New Roman"/>
          <w:sz w:val="24"/>
          <w:szCs w:val="24"/>
        </w:rPr>
        <w:t xml:space="preserve"> Canada Pride and the Regional Development Agencies to seek funding through the Canadian Experiences Fund (p. 21). </w:t>
      </w:r>
    </w:p>
    <w:p w14:paraId="23054A7F" w14:textId="77777777" w:rsidR="00EB2CB6" w:rsidRDefault="000D7342">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5" w:name="_ci87nswtonru" w:colFirst="0" w:colLast="0"/>
      <w:bookmarkEnd w:id="5"/>
      <w:r>
        <w:rPr>
          <w:rFonts w:ascii="Times New Roman" w:eastAsia="Times New Roman" w:hAnsi="Times New Roman" w:cs="Times New Roman"/>
          <w:b/>
          <w:color w:val="000000"/>
          <w:sz w:val="24"/>
          <w:szCs w:val="24"/>
        </w:rPr>
        <w:t>2.2 Pillar 2 — Attracting Investment to the Visitor Economy</w:t>
      </w:r>
    </w:p>
    <w:p w14:paraId="1D07AFF9"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6" w:name="_kj71u8mls4zg" w:colFirst="0" w:colLast="0"/>
      <w:bookmarkEnd w:id="6"/>
      <w:r>
        <w:rPr>
          <w:rFonts w:ascii="Times New Roman" w:eastAsia="Times New Roman" w:hAnsi="Times New Roman" w:cs="Times New Roman"/>
          <w:b/>
          <w:color w:val="000000"/>
        </w:rPr>
        <w:t>Working Better Together</w:t>
      </w:r>
    </w:p>
    <w:p w14:paraId="4AF6A206"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improve coordination among jurisdictions and help attract private investment into the sector, this strategy will establish Tourism Investment Groups in every region of Canada to enable the development of impactful tourism projects, including large scale destination projects (p. 21).</w:t>
      </w:r>
    </w:p>
    <w:p w14:paraId="72B28D5A"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7" w:name="_ice1z9xqlxzb" w:colFirst="0" w:colLast="0"/>
      <w:bookmarkEnd w:id="7"/>
      <w:r>
        <w:rPr>
          <w:rFonts w:ascii="Times New Roman" w:eastAsia="Times New Roman" w:hAnsi="Times New Roman" w:cs="Times New Roman"/>
          <w:b/>
          <w:color w:val="000000"/>
        </w:rPr>
        <w:lastRenderedPageBreak/>
        <w:t>2.2.1 Federal Partners</w:t>
      </w:r>
    </w:p>
    <w:p w14:paraId="46E5B958"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the federal government alone, several departments and agencies have key roles in tourism. The participation of these agencies in the new federal tourism strategy is a significant step toward ensuring sustained growth in Canadian tourism (p. 21).</w:t>
      </w:r>
    </w:p>
    <w:p w14:paraId="76044459"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8" w:name="_aw6ytohwzl4e" w:colFirst="0" w:colLast="0"/>
      <w:bookmarkEnd w:id="8"/>
      <w:r>
        <w:rPr>
          <w:rFonts w:ascii="Times New Roman" w:eastAsia="Times New Roman" w:hAnsi="Times New Roman" w:cs="Times New Roman"/>
          <w:b/>
          <w:color w:val="000000"/>
        </w:rPr>
        <w:t>2.2.2 Alignment with the Provinces and Territories</w:t>
      </w:r>
    </w:p>
    <w:p w14:paraId="1CBF134E"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federal government will work through the Tourism Investment Groups to become a more effective partner to each of the regions, enabling promising products to be developed and ensuring that investments are coherent and congruent (p. 22). </w:t>
      </w:r>
    </w:p>
    <w:p w14:paraId="69544C4F"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Provincial and territorial partners will also be invited to the table to participate in identifying opportunities and aligning investments (p. 22).  </w:t>
      </w:r>
    </w:p>
    <w:p w14:paraId="62005CA5" w14:textId="77777777" w:rsidR="00EB2CB6" w:rsidRDefault="000D7342">
      <w:pPr>
        <w:pStyle w:val="Heading3"/>
        <w:keepNext w:val="0"/>
        <w:keepLines w:val="0"/>
        <w:spacing w:before="280" w:line="360" w:lineRule="auto"/>
        <w:jc w:val="both"/>
        <w:rPr>
          <w:rFonts w:ascii="Times New Roman" w:eastAsia="Times New Roman" w:hAnsi="Times New Roman" w:cs="Times New Roman"/>
          <w:sz w:val="24"/>
          <w:szCs w:val="24"/>
        </w:rPr>
      </w:pPr>
      <w:bookmarkStart w:id="9" w:name="_rzjtocqyosls" w:colFirst="0" w:colLast="0"/>
      <w:bookmarkEnd w:id="9"/>
      <w:r>
        <w:rPr>
          <w:rFonts w:ascii="Times New Roman" w:eastAsia="Times New Roman" w:hAnsi="Times New Roman" w:cs="Times New Roman"/>
          <w:b/>
          <w:color w:val="000000"/>
          <w:sz w:val="24"/>
          <w:szCs w:val="24"/>
        </w:rPr>
        <w:t>2.3 Pillar 3 — A Renewed Focus on Public-Private Collaboration</w:t>
      </w:r>
    </w:p>
    <w:p w14:paraId="42EF2000"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part of the Federal Tourism Growth Strategy, the new Table was launched in spring 2019. It provides a unique platform for targeted actions to stimulate and sustain growth in Canada's tourism sector. Government working collaboratively with industry in this way will ensure that tourism is on the front lines of economic policy-making, so that challenges are effectively addressed and strategic opportunities are seized to grow the visitor economy and create good middle class jobs (p. 22).</w:t>
      </w:r>
    </w:p>
    <w:p w14:paraId="6AAB75B7"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 Analysis of Canada’s Implemented Strategic Tourism Planning Model</w:t>
      </w:r>
    </w:p>
    <w:p w14:paraId="4ECFE5E4" w14:textId="77777777" w:rsidR="00EB2CB6" w:rsidRDefault="00EB2CB6">
      <w:pPr>
        <w:spacing w:line="360" w:lineRule="auto"/>
        <w:jc w:val="both"/>
        <w:rPr>
          <w:rFonts w:ascii="Times New Roman" w:eastAsia="Times New Roman" w:hAnsi="Times New Roman" w:cs="Times New Roman"/>
          <w:b/>
          <w:sz w:val="24"/>
          <w:szCs w:val="24"/>
        </w:rPr>
      </w:pPr>
    </w:p>
    <w:p w14:paraId="18B331B3"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analyze Canada’s strategic tourism planning model properly, the SCEPTICAL (Social, Cultural, Economic, Physical, Technical, International, Communication &amp; Infrastructure, Administrative &amp; Institutional, and Legal &amp; Political) Analysis will be used (Rate,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xml:space="preserve">, &amp; Ballantyne, 2018). </w:t>
      </w:r>
    </w:p>
    <w:p w14:paraId="2D8659A6" w14:textId="77777777" w:rsidR="00EB2CB6" w:rsidRDefault="00EB2CB6">
      <w:pPr>
        <w:spacing w:line="360" w:lineRule="auto"/>
        <w:jc w:val="both"/>
        <w:rPr>
          <w:rFonts w:ascii="Times New Roman" w:eastAsia="Times New Roman" w:hAnsi="Times New Roman" w:cs="Times New Roman"/>
          <w:sz w:val="24"/>
          <w:szCs w:val="24"/>
        </w:rPr>
      </w:pPr>
    </w:p>
    <w:p w14:paraId="162A02EF" w14:textId="6CC97F3F"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Given that tourism involves inter- and </w:t>
      </w:r>
      <w:r w:rsidR="0079318D">
        <w:rPr>
          <w:rFonts w:ascii="Times New Roman" w:eastAsia="Times New Roman" w:hAnsi="Times New Roman" w:cs="Times New Roman"/>
          <w:sz w:val="24"/>
          <w:szCs w:val="24"/>
        </w:rPr>
        <w:t>intra-connected</w:t>
      </w:r>
      <w:r>
        <w:rPr>
          <w:rFonts w:ascii="Times New Roman" w:eastAsia="Times New Roman" w:hAnsi="Times New Roman" w:cs="Times New Roman"/>
          <w:sz w:val="24"/>
          <w:szCs w:val="24"/>
        </w:rPr>
        <w:t xml:space="preserve"> societies, Canada touched on various communities that could help its tourism industry. Canada explicitly mentioned the LGBTQ community, indigenous community, and rural communities in its tourism planning model. The </w:t>
      </w:r>
      <w:r>
        <w:rPr>
          <w:rFonts w:ascii="Times New Roman" w:eastAsia="Times New Roman" w:hAnsi="Times New Roman" w:cs="Times New Roman"/>
          <w:sz w:val="24"/>
          <w:szCs w:val="24"/>
        </w:rPr>
        <w:lastRenderedPageBreak/>
        <w:t xml:space="preserve">ministry also explained how these communities can help in growing Canada’s tourism, which shows that the country seriously takes into consideration the social factors at play in its reach for better tourism. </w:t>
      </w:r>
    </w:p>
    <w:p w14:paraId="64BF4531" w14:textId="77777777" w:rsidR="00EB2CB6" w:rsidRDefault="00EB2CB6">
      <w:pPr>
        <w:spacing w:line="360" w:lineRule="auto"/>
        <w:jc w:val="both"/>
        <w:rPr>
          <w:rFonts w:ascii="Times New Roman" w:eastAsia="Times New Roman" w:hAnsi="Times New Roman" w:cs="Times New Roman"/>
          <w:sz w:val="24"/>
          <w:szCs w:val="24"/>
        </w:rPr>
      </w:pPr>
    </w:p>
    <w:p w14:paraId="18CE55C0" w14:textId="71682B51"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Canada mentioned unique cultural offerings that might help attract more international tourists to the country. Among these are gastronomic journeys, festivals, and immersions. In this case, Canada evidently knew that culture plays a huge role in determining the choice of international tourists. After all, international tourists are mostly adventurous </w:t>
      </w:r>
      <w:r w:rsidR="0079318D">
        <w:rPr>
          <w:rFonts w:ascii="Times New Roman" w:eastAsia="Times New Roman" w:hAnsi="Times New Roman" w:cs="Times New Roman"/>
          <w:sz w:val="24"/>
          <w:szCs w:val="24"/>
        </w:rPr>
        <w:t>travelers</w:t>
      </w:r>
      <w:r>
        <w:rPr>
          <w:rFonts w:ascii="Times New Roman" w:eastAsia="Times New Roman" w:hAnsi="Times New Roman" w:cs="Times New Roman"/>
          <w:sz w:val="24"/>
          <w:szCs w:val="24"/>
        </w:rPr>
        <w:t xml:space="preserve"> who always want to experience something new. </w:t>
      </w:r>
    </w:p>
    <w:p w14:paraId="3EBC5E46" w14:textId="77777777" w:rsidR="00EB2CB6" w:rsidRDefault="00EB2CB6">
      <w:pPr>
        <w:spacing w:line="360" w:lineRule="auto"/>
        <w:jc w:val="both"/>
        <w:rPr>
          <w:rFonts w:ascii="Times New Roman" w:eastAsia="Times New Roman" w:hAnsi="Times New Roman" w:cs="Times New Roman"/>
          <w:sz w:val="24"/>
          <w:szCs w:val="24"/>
        </w:rPr>
      </w:pPr>
    </w:p>
    <w:p w14:paraId="5B796DC2"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Economically speaking, Canada made a wise decision to tap private sectors to improve its tourism industry. Doing this can result in a win-win situation in which Canada will see a growth in its tourism industry, and private sectors will appreciate their investments. As stated in the full report, Canada’s budget for tourism in 2019 is higher than that of 2017. </w:t>
      </w:r>
    </w:p>
    <w:p w14:paraId="5C748C82" w14:textId="77777777" w:rsidR="00EB2CB6" w:rsidRDefault="00EB2CB6">
      <w:pPr>
        <w:spacing w:line="360" w:lineRule="auto"/>
        <w:jc w:val="both"/>
        <w:rPr>
          <w:rFonts w:ascii="Times New Roman" w:eastAsia="Times New Roman" w:hAnsi="Times New Roman" w:cs="Times New Roman"/>
          <w:sz w:val="24"/>
          <w:szCs w:val="24"/>
        </w:rPr>
      </w:pPr>
    </w:p>
    <w:p w14:paraId="7E3F39AE"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Rate,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xml:space="preserve">, &amp; Ballantyne, the physical analysis in their model pertains to the ecological aspect (2018). However, Canada’s tourism strategy report did not mention anything related to the environment. This is a disadvantage since having clauses related to taking care of the environment and sustainability can draw in tourists. </w:t>
      </w:r>
    </w:p>
    <w:p w14:paraId="5A94BBF9" w14:textId="77777777" w:rsidR="00EB2CB6" w:rsidRDefault="00EB2CB6">
      <w:pPr>
        <w:spacing w:line="360" w:lineRule="auto"/>
        <w:jc w:val="both"/>
        <w:rPr>
          <w:rFonts w:ascii="Times New Roman" w:eastAsia="Times New Roman" w:hAnsi="Times New Roman" w:cs="Times New Roman"/>
          <w:sz w:val="24"/>
          <w:szCs w:val="24"/>
        </w:rPr>
      </w:pPr>
    </w:p>
    <w:p w14:paraId="16FC31BA" w14:textId="34E1F92B"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Canada’s lack of ecological attention, its technical aspect is something to be applauded. Its strategy report touched on the use of technology to market its tourist destinations. </w:t>
      </w:r>
      <w:r w:rsidR="0079318D">
        <w:rPr>
          <w:rFonts w:ascii="Times New Roman" w:eastAsia="Times New Roman" w:hAnsi="Times New Roman" w:cs="Times New Roman"/>
          <w:sz w:val="24"/>
          <w:szCs w:val="24"/>
        </w:rPr>
        <w:t>Focus</w:t>
      </w:r>
      <w:r>
        <w:rPr>
          <w:rFonts w:ascii="Times New Roman" w:eastAsia="Times New Roman" w:hAnsi="Times New Roman" w:cs="Times New Roman"/>
          <w:sz w:val="24"/>
          <w:szCs w:val="24"/>
        </w:rPr>
        <w:t xml:space="preserve"> was given to social media to promote Canada’s tourism industry. This will clearly benefit the country as many people nowadays rely on information they find online. Furthermore, the information they get online heavily affects their travel destination choices. </w:t>
      </w:r>
    </w:p>
    <w:p w14:paraId="640C601E" w14:textId="77777777" w:rsidR="00EB2CB6" w:rsidRDefault="00EB2CB6">
      <w:pPr>
        <w:spacing w:line="360" w:lineRule="auto"/>
        <w:jc w:val="both"/>
        <w:rPr>
          <w:rFonts w:ascii="Times New Roman" w:eastAsia="Times New Roman" w:hAnsi="Times New Roman" w:cs="Times New Roman"/>
          <w:sz w:val="24"/>
          <w:szCs w:val="24"/>
        </w:rPr>
      </w:pPr>
    </w:p>
    <w:p w14:paraId="49D05DE7"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Canada is also attempting to utilize its international relations to attract tourists. It gave enough emphasis on international tourists in its strategic model, which could potentially benefit the country. After all, Canada is an English-speaking country, which means that tourists can go there with confidence of not being lost due to language barriers. Moreover, Canada’s visa processing is easy for many countries. </w:t>
      </w:r>
    </w:p>
    <w:p w14:paraId="59AF3C2F" w14:textId="77777777" w:rsidR="00EB2CB6" w:rsidRDefault="00EB2CB6">
      <w:pPr>
        <w:spacing w:line="360" w:lineRule="auto"/>
        <w:jc w:val="both"/>
        <w:rPr>
          <w:rFonts w:ascii="Times New Roman" w:eastAsia="Times New Roman" w:hAnsi="Times New Roman" w:cs="Times New Roman"/>
          <w:sz w:val="24"/>
          <w:szCs w:val="24"/>
        </w:rPr>
      </w:pPr>
    </w:p>
    <w:p w14:paraId="32A4CC0A" w14:textId="354E242B"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Next, Canada had </w:t>
      </w:r>
      <w:r w:rsidR="0079318D">
        <w:rPr>
          <w:rFonts w:ascii="Times New Roman" w:eastAsia="Times New Roman" w:hAnsi="Times New Roman" w:cs="Times New Roman"/>
          <w:sz w:val="24"/>
          <w:szCs w:val="24"/>
        </w:rPr>
        <w:t>clauses</w:t>
      </w:r>
      <w:r>
        <w:rPr>
          <w:rFonts w:ascii="Times New Roman" w:eastAsia="Times New Roman" w:hAnsi="Times New Roman" w:cs="Times New Roman"/>
          <w:sz w:val="24"/>
          <w:szCs w:val="24"/>
        </w:rPr>
        <w:t xml:space="preserve"> in its strategic tourism planning model which would be more likely effective in boosting its tourism industry. Allotting a huge budget for the improvement of infrastructure such as train systems for tourists and the maintenance of popular tourist destinations would help encourage more tourists to choose Canada.</w:t>
      </w:r>
    </w:p>
    <w:p w14:paraId="773463DC" w14:textId="77777777" w:rsidR="00EB2CB6" w:rsidRDefault="00EB2CB6">
      <w:pPr>
        <w:spacing w:line="360" w:lineRule="auto"/>
        <w:jc w:val="both"/>
        <w:rPr>
          <w:rFonts w:ascii="Times New Roman" w:eastAsia="Times New Roman" w:hAnsi="Times New Roman" w:cs="Times New Roman"/>
          <w:sz w:val="24"/>
          <w:szCs w:val="24"/>
        </w:rPr>
      </w:pPr>
    </w:p>
    <w:p w14:paraId="2FE7F306"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Canada’s federal and provincial partnerships are excellent strategies because they affect the operation of businesses such as hotels, restaurants, and parks. Making sure that the provincial and federal governments are in tune will greatly benefit the tourism industry, administrative- and institutional-wise. </w:t>
      </w:r>
    </w:p>
    <w:p w14:paraId="7062E9A5" w14:textId="77777777" w:rsidR="00EB2CB6" w:rsidRDefault="00EB2CB6">
      <w:pPr>
        <w:spacing w:line="360" w:lineRule="auto"/>
        <w:jc w:val="both"/>
        <w:rPr>
          <w:rFonts w:ascii="Times New Roman" w:eastAsia="Times New Roman" w:hAnsi="Times New Roman" w:cs="Times New Roman"/>
          <w:sz w:val="24"/>
          <w:szCs w:val="24"/>
        </w:rPr>
      </w:pPr>
    </w:p>
    <w:p w14:paraId="1DAA4F30" w14:textId="11CE604A"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Canada’s recognition of the importance of tourism shows that the legal and political aspects of its tourism strategy are flourishing. The messages given by the Prime Minister, Minister of Tourism, Official Languages &amp; La Francophonie, and Chair of the Advisory Council on Jobs and the Visitor Economy at the beginning of the report shows that Canada is taking tourism seriously. </w:t>
      </w:r>
    </w:p>
    <w:p w14:paraId="29AC9BD0" w14:textId="77777777" w:rsidR="00EB2CB6" w:rsidRDefault="00EB2CB6">
      <w:pPr>
        <w:spacing w:line="360" w:lineRule="auto"/>
        <w:jc w:val="both"/>
        <w:rPr>
          <w:rFonts w:ascii="Times New Roman" w:eastAsia="Times New Roman" w:hAnsi="Times New Roman" w:cs="Times New Roman"/>
          <w:sz w:val="24"/>
          <w:szCs w:val="24"/>
        </w:rPr>
      </w:pPr>
    </w:p>
    <w:p w14:paraId="5DE236F4"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Canada’s Strategic Tourism Planning Model: Issues and Implications</w:t>
      </w:r>
    </w:p>
    <w:p w14:paraId="4A6317EA" w14:textId="77777777" w:rsidR="00EB2CB6" w:rsidRDefault="00EB2CB6">
      <w:pPr>
        <w:spacing w:line="360" w:lineRule="auto"/>
        <w:jc w:val="both"/>
        <w:rPr>
          <w:rFonts w:ascii="Times New Roman" w:eastAsia="Times New Roman" w:hAnsi="Times New Roman" w:cs="Times New Roman"/>
          <w:sz w:val="24"/>
          <w:szCs w:val="24"/>
        </w:rPr>
      </w:pPr>
    </w:p>
    <w:p w14:paraId="56994DB7" w14:textId="77777777" w:rsidR="00EB2CB6" w:rsidRDefault="000D734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4.1 Canada’s High Cost of Accommodation</w:t>
      </w:r>
    </w:p>
    <w:p w14:paraId="524739ED" w14:textId="77777777" w:rsidR="00EB2CB6" w:rsidRDefault="00EB2CB6">
      <w:pPr>
        <w:spacing w:line="360" w:lineRule="auto"/>
        <w:jc w:val="both"/>
        <w:rPr>
          <w:rFonts w:ascii="Times New Roman" w:eastAsia="Times New Roman" w:hAnsi="Times New Roman" w:cs="Times New Roman"/>
          <w:b/>
          <w:sz w:val="24"/>
          <w:szCs w:val="24"/>
        </w:rPr>
      </w:pPr>
    </w:p>
    <w:p w14:paraId="118607C7"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Canada’s strategic tourism planning model duly recognizes that accommodation in Canada can be lucrative. However, it was only recognized.</w:t>
      </w:r>
    </w:p>
    <w:p w14:paraId="5DE50621" w14:textId="77777777" w:rsidR="00EB2CB6" w:rsidRDefault="00EB2CB6">
      <w:pPr>
        <w:spacing w:line="360" w:lineRule="auto"/>
        <w:jc w:val="both"/>
        <w:rPr>
          <w:rFonts w:ascii="Times New Roman" w:eastAsia="Times New Roman" w:hAnsi="Times New Roman" w:cs="Times New Roman"/>
          <w:sz w:val="24"/>
          <w:szCs w:val="24"/>
        </w:rPr>
      </w:pPr>
    </w:p>
    <w:p w14:paraId="3628F99A"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an issue worth tackling, as Canada is an expensive country to travel to. Despite the presence of Airbnb’s and motels in Canada, accommodation remains lucrative. </w:t>
      </w:r>
    </w:p>
    <w:p w14:paraId="5CFC6C13" w14:textId="77777777" w:rsidR="00EB2CB6" w:rsidRDefault="00EB2CB6">
      <w:pPr>
        <w:spacing w:line="360" w:lineRule="auto"/>
        <w:jc w:val="both"/>
        <w:rPr>
          <w:rFonts w:ascii="Times New Roman" w:eastAsia="Times New Roman" w:hAnsi="Times New Roman" w:cs="Times New Roman"/>
          <w:sz w:val="24"/>
          <w:szCs w:val="24"/>
        </w:rPr>
      </w:pPr>
    </w:p>
    <w:p w14:paraId="5ACAFAA7"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the cost of accommodation remains the main concern for travelers to Canada (</w:t>
      </w:r>
      <w:proofErr w:type="spellStart"/>
      <w:r>
        <w:rPr>
          <w:rFonts w:ascii="Times New Roman" w:eastAsia="Times New Roman" w:hAnsi="Times New Roman" w:cs="Times New Roman"/>
          <w:sz w:val="24"/>
          <w:szCs w:val="24"/>
        </w:rPr>
        <w:t>LaMondia</w:t>
      </w:r>
      <w:proofErr w:type="spellEnd"/>
      <w:r>
        <w:rPr>
          <w:rFonts w:ascii="Times New Roman" w:eastAsia="Times New Roman" w:hAnsi="Times New Roman" w:cs="Times New Roman"/>
          <w:sz w:val="24"/>
          <w:szCs w:val="24"/>
        </w:rPr>
        <w:t xml:space="preserve"> &amp; Bhat, 2011), the non-existence of a potential solution to this issue may cost Canada some international tourists, especially backpackers. Backpackers are known to save money while traveling, so they might eliminate Canada from their destination list. </w:t>
      </w:r>
    </w:p>
    <w:p w14:paraId="37FECC22" w14:textId="77777777" w:rsidR="00EB2CB6" w:rsidRDefault="00EB2CB6">
      <w:pPr>
        <w:spacing w:line="360" w:lineRule="auto"/>
        <w:jc w:val="both"/>
        <w:rPr>
          <w:rFonts w:ascii="Times New Roman" w:eastAsia="Times New Roman" w:hAnsi="Times New Roman" w:cs="Times New Roman"/>
          <w:b/>
          <w:sz w:val="24"/>
          <w:szCs w:val="24"/>
        </w:rPr>
      </w:pPr>
    </w:p>
    <w:p w14:paraId="44EA0AAB" w14:textId="77777777" w:rsidR="00EB2CB6" w:rsidRDefault="000D734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4.2 Canada’s Concentration on Big Cities</w:t>
      </w:r>
    </w:p>
    <w:p w14:paraId="61A8258D" w14:textId="77777777" w:rsidR="00EB2CB6" w:rsidRDefault="00EB2CB6">
      <w:pPr>
        <w:spacing w:line="360" w:lineRule="auto"/>
        <w:jc w:val="both"/>
        <w:rPr>
          <w:rFonts w:ascii="Times New Roman" w:eastAsia="Times New Roman" w:hAnsi="Times New Roman" w:cs="Times New Roman"/>
          <w:b/>
          <w:sz w:val="24"/>
          <w:szCs w:val="24"/>
        </w:rPr>
      </w:pPr>
    </w:p>
    <w:p w14:paraId="0AB56D7D"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issue in Canada’s strategic planning model is the unbalanced attention it gave to its rural and urban destinations. While it is true that Canada has certain clauses for addressing the lack of tourists in rural areas, the attention on urban infrastructure remains bigger. </w:t>
      </w:r>
    </w:p>
    <w:p w14:paraId="6D361106" w14:textId="77777777" w:rsidR="00EB2CB6" w:rsidRDefault="00EB2CB6">
      <w:pPr>
        <w:spacing w:line="360" w:lineRule="auto"/>
        <w:jc w:val="both"/>
        <w:rPr>
          <w:rFonts w:ascii="Times New Roman" w:eastAsia="Times New Roman" w:hAnsi="Times New Roman" w:cs="Times New Roman"/>
          <w:sz w:val="24"/>
          <w:szCs w:val="24"/>
        </w:rPr>
      </w:pPr>
    </w:p>
    <w:p w14:paraId="4E38115C" w14:textId="6F02E65B"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an issue since </w:t>
      </w:r>
      <w:r w:rsidR="0079318D">
        <w:rPr>
          <w:rFonts w:ascii="Times New Roman" w:eastAsia="Times New Roman" w:hAnsi="Times New Roman" w:cs="Times New Roman"/>
          <w:sz w:val="24"/>
          <w:szCs w:val="24"/>
        </w:rPr>
        <w:t>travelers</w:t>
      </w:r>
      <w:r>
        <w:rPr>
          <w:rFonts w:ascii="Times New Roman" w:eastAsia="Times New Roman" w:hAnsi="Times New Roman" w:cs="Times New Roman"/>
          <w:sz w:val="24"/>
          <w:szCs w:val="24"/>
        </w:rPr>
        <w:t xml:space="preserve"> prefer the urban landscape due to the great number of accommodation, tourist spots, and restaurants among others (Khan, 2018). Moreover, hosts and towns in rural areas might sense the bias Canada’s tourism strategy model has towards the big cities. As a result, this can discourage the said hosts to not optimally perform to improve their accommodation, maintenance of potential tourist destinations, and other types of travel-related service. </w:t>
      </w:r>
    </w:p>
    <w:p w14:paraId="57FECBC4" w14:textId="77777777" w:rsidR="00EB2CB6" w:rsidRDefault="00EB2CB6">
      <w:pPr>
        <w:spacing w:line="360" w:lineRule="auto"/>
        <w:jc w:val="both"/>
        <w:rPr>
          <w:rFonts w:ascii="Times New Roman" w:eastAsia="Times New Roman" w:hAnsi="Times New Roman" w:cs="Times New Roman"/>
          <w:sz w:val="24"/>
          <w:szCs w:val="24"/>
        </w:rPr>
      </w:pPr>
    </w:p>
    <w:p w14:paraId="64DBF3C5"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Comparison: Canada, France, and Spain</w:t>
      </w:r>
    </w:p>
    <w:p w14:paraId="6523B70A" w14:textId="77777777" w:rsidR="00EB2CB6" w:rsidRDefault="00EB2CB6">
      <w:pPr>
        <w:spacing w:line="360" w:lineRule="auto"/>
        <w:jc w:val="both"/>
        <w:rPr>
          <w:rFonts w:ascii="Times New Roman" w:eastAsia="Times New Roman" w:hAnsi="Times New Roman" w:cs="Times New Roman"/>
          <w:sz w:val="24"/>
          <w:szCs w:val="24"/>
        </w:rPr>
      </w:pPr>
    </w:p>
    <w:p w14:paraId="2631D8BF"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is a comparison of Canada’s, France’, and Spain’s strategic tourism planning models. France and Spain were chosen since they are the most visited destinations in the world, according to the latest report of the United Nations World Tourism Organization (2019). Again, the SCEPTICAL Analysis by Rate,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xml:space="preserve">, &amp; Ballantyne (2018) will be used to compare the three countries’ strategic models. </w:t>
      </w:r>
    </w:p>
    <w:p w14:paraId="6154D041" w14:textId="77777777" w:rsidR="00EB2CB6" w:rsidRDefault="00EB2CB6">
      <w:pPr>
        <w:spacing w:line="360" w:lineRule="auto"/>
        <w:jc w:val="both"/>
        <w:rPr>
          <w:rFonts w:ascii="Times New Roman" w:eastAsia="Times New Roman" w:hAnsi="Times New Roman" w:cs="Times New Roman"/>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25"/>
        <w:gridCol w:w="2355"/>
        <w:gridCol w:w="2340"/>
      </w:tblGrid>
      <w:tr w:rsidR="00EB2CB6" w14:paraId="19CEE0F2" w14:textId="77777777">
        <w:tc>
          <w:tcPr>
            <w:tcW w:w="2340" w:type="dxa"/>
            <w:shd w:val="clear" w:color="auto" w:fill="auto"/>
            <w:tcMar>
              <w:top w:w="100" w:type="dxa"/>
              <w:left w:w="100" w:type="dxa"/>
              <w:bottom w:w="100" w:type="dxa"/>
              <w:right w:w="100" w:type="dxa"/>
            </w:tcMar>
          </w:tcPr>
          <w:p w14:paraId="0DC648A6" w14:textId="77777777" w:rsidR="00EB2CB6" w:rsidRDefault="00EB2CB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2325" w:type="dxa"/>
            <w:shd w:val="clear" w:color="auto" w:fill="auto"/>
            <w:tcMar>
              <w:top w:w="100" w:type="dxa"/>
              <w:left w:w="100" w:type="dxa"/>
              <w:bottom w:w="100" w:type="dxa"/>
              <w:right w:w="100" w:type="dxa"/>
            </w:tcMar>
          </w:tcPr>
          <w:p w14:paraId="0ADDC586"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Canada</w:t>
            </w:r>
          </w:p>
        </w:tc>
        <w:tc>
          <w:tcPr>
            <w:tcW w:w="2355" w:type="dxa"/>
            <w:shd w:val="clear" w:color="auto" w:fill="auto"/>
            <w:tcMar>
              <w:top w:w="100" w:type="dxa"/>
              <w:left w:w="100" w:type="dxa"/>
              <w:bottom w:w="100" w:type="dxa"/>
              <w:right w:w="100" w:type="dxa"/>
            </w:tcMar>
          </w:tcPr>
          <w:p w14:paraId="78EF6883"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France</w:t>
            </w:r>
          </w:p>
        </w:tc>
        <w:tc>
          <w:tcPr>
            <w:tcW w:w="2340" w:type="dxa"/>
            <w:shd w:val="clear" w:color="auto" w:fill="auto"/>
            <w:tcMar>
              <w:top w:w="100" w:type="dxa"/>
              <w:left w:w="100" w:type="dxa"/>
              <w:bottom w:w="100" w:type="dxa"/>
              <w:right w:w="100" w:type="dxa"/>
            </w:tcMar>
          </w:tcPr>
          <w:p w14:paraId="13896AB2"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Spain </w:t>
            </w:r>
          </w:p>
        </w:tc>
      </w:tr>
      <w:tr w:rsidR="00EB2CB6" w14:paraId="020991D5" w14:textId="77777777">
        <w:tc>
          <w:tcPr>
            <w:tcW w:w="2340" w:type="dxa"/>
            <w:shd w:val="clear" w:color="auto" w:fill="auto"/>
            <w:tcMar>
              <w:top w:w="100" w:type="dxa"/>
              <w:left w:w="100" w:type="dxa"/>
              <w:bottom w:w="100" w:type="dxa"/>
              <w:right w:w="100" w:type="dxa"/>
            </w:tcMar>
          </w:tcPr>
          <w:p w14:paraId="309852D2"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w:t>
            </w:r>
          </w:p>
        </w:tc>
        <w:tc>
          <w:tcPr>
            <w:tcW w:w="2325" w:type="dxa"/>
            <w:shd w:val="clear" w:color="auto" w:fill="auto"/>
            <w:tcMar>
              <w:top w:w="100" w:type="dxa"/>
              <w:left w:w="100" w:type="dxa"/>
              <w:bottom w:w="100" w:type="dxa"/>
              <w:right w:w="100" w:type="dxa"/>
            </w:tcMar>
          </w:tcPr>
          <w:p w14:paraId="5EAE10E3"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Inclusion of LGBTQ community and indigenous people</w:t>
            </w:r>
          </w:p>
        </w:tc>
        <w:tc>
          <w:tcPr>
            <w:tcW w:w="2355" w:type="dxa"/>
            <w:shd w:val="clear" w:color="auto" w:fill="auto"/>
            <w:tcMar>
              <w:top w:w="100" w:type="dxa"/>
              <w:left w:w="100" w:type="dxa"/>
              <w:bottom w:w="100" w:type="dxa"/>
              <w:right w:w="100" w:type="dxa"/>
            </w:tcMar>
          </w:tcPr>
          <w:p w14:paraId="56CAC30F"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Inclusion of handicaps and LGBTQ community </w:t>
            </w:r>
          </w:p>
        </w:tc>
        <w:tc>
          <w:tcPr>
            <w:tcW w:w="2340" w:type="dxa"/>
            <w:shd w:val="clear" w:color="auto" w:fill="auto"/>
            <w:tcMar>
              <w:top w:w="100" w:type="dxa"/>
              <w:left w:w="100" w:type="dxa"/>
              <w:bottom w:w="100" w:type="dxa"/>
              <w:right w:w="100" w:type="dxa"/>
            </w:tcMar>
          </w:tcPr>
          <w:p w14:paraId="3BA9F42F"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Inclusive, but not specified</w:t>
            </w:r>
          </w:p>
        </w:tc>
      </w:tr>
      <w:tr w:rsidR="00EB2CB6" w14:paraId="1FC763AE" w14:textId="77777777">
        <w:tc>
          <w:tcPr>
            <w:tcW w:w="2340" w:type="dxa"/>
            <w:shd w:val="clear" w:color="auto" w:fill="auto"/>
            <w:tcMar>
              <w:top w:w="100" w:type="dxa"/>
              <w:left w:w="100" w:type="dxa"/>
              <w:bottom w:w="100" w:type="dxa"/>
              <w:right w:w="100" w:type="dxa"/>
            </w:tcMar>
          </w:tcPr>
          <w:p w14:paraId="442C5B4A"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w:t>
            </w:r>
          </w:p>
        </w:tc>
        <w:tc>
          <w:tcPr>
            <w:tcW w:w="2325" w:type="dxa"/>
            <w:shd w:val="clear" w:color="auto" w:fill="auto"/>
            <w:tcMar>
              <w:top w:w="100" w:type="dxa"/>
              <w:left w:w="100" w:type="dxa"/>
              <w:bottom w:w="100" w:type="dxa"/>
              <w:right w:w="100" w:type="dxa"/>
            </w:tcMar>
          </w:tcPr>
          <w:p w14:paraId="74B70797"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Unique cultural offerings such as gastronomic journeys, </w:t>
            </w:r>
            <w:r>
              <w:rPr>
                <w:rFonts w:ascii="Times New Roman" w:eastAsia="Times New Roman" w:hAnsi="Times New Roman" w:cs="Times New Roman"/>
                <w:sz w:val="24"/>
                <w:szCs w:val="24"/>
              </w:rPr>
              <w:lastRenderedPageBreak/>
              <w:t xml:space="preserve">festivals, and immersions. </w:t>
            </w:r>
          </w:p>
        </w:tc>
        <w:tc>
          <w:tcPr>
            <w:tcW w:w="2355" w:type="dxa"/>
            <w:shd w:val="clear" w:color="auto" w:fill="auto"/>
            <w:tcMar>
              <w:top w:w="100" w:type="dxa"/>
              <w:left w:w="100" w:type="dxa"/>
              <w:bottom w:w="100" w:type="dxa"/>
              <w:right w:w="100" w:type="dxa"/>
            </w:tcMar>
          </w:tcPr>
          <w:p w14:paraId="2CAB174E"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Unique cultural offerings focused on brand destination. Touches on wine, </w:t>
            </w:r>
            <w:r>
              <w:rPr>
                <w:rFonts w:ascii="Times New Roman" w:eastAsia="Times New Roman" w:hAnsi="Times New Roman" w:cs="Times New Roman"/>
                <w:sz w:val="24"/>
                <w:szCs w:val="24"/>
              </w:rPr>
              <w:lastRenderedPageBreak/>
              <w:t xml:space="preserve">cruise, and golf tourism as well. </w:t>
            </w:r>
          </w:p>
        </w:tc>
        <w:tc>
          <w:tcPr>
            <w:tcW w:w="2340" w:type="dxa"/>
            <w:shd w:val="clear" w:color="auto" w:fill="auto"/>
            <w:tcMar>
              <w:top w:w="100" w:type="dxa"/>
              <w:left w:w="100" w:type="dxa"/>
              <w:bottom w:w="100" w:type="dxa"/>
              <w:right w:w="100" w:type="dxa"/>
            </w:tcMar>
          </w:tcPr>
          <w:p w14:paraId="3AA9D118"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Unique cultural offerings focused on architecture, food, and historical places. </w:t>
            </w:r>
          </w:p>
        </w:tc>
      </w:tr>
      <w:tr w:rsidR="00EB2CB6" w14:paraId="0346D040" w14:textId="77777777">
        <w:tc>
          <w:tcPr>
            <w:tcW w:w="2340" w:type="dxa"/>
            <w:shd w:val="clear" w:color="auto" w:fill="auto"/>
            <w:tcMar>
              <w:top w:w="100" w:type="dxa"/>
              <w:left w:w="100" w:type="dxa"/>
              <w:bottom w:w="100" w:type="dxa"/>
              <w:right w:w="100" w:type="dxa"/>
            </w:tcMar>
          </w:tcPr>
          <w:p w14:paraId="3F47DB82"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w:t>
            </w:r>
          </w:p>
        </w:tc>
        <w:tc>
          <w:tcPr>
            <w:tcW w:w="2325" w:type="dxa"/>
            <w:shd w:val="clear" w:color="auto" w:fill="auto"/>
            <w:tcMar>
              <w:top w:w="100" w:type="dxa"/>
              <w:left w:w="100" w:type="dxa"/>
              <w:bottom w:w="100" w:type="dxa"/>
              <w:right w:w="100" w:type="dxa"/>
            </w:tcMar>
          </w:tcPr>
          <w:p w14:paraId="42BCE723"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Public-private partnership</w:t>
            </w:r>
          </w:p>
        </w:tc>
        <w:tc>
          <w:tcPr>
            <w:tcW w:w="2355" w:type="dxa"/>
            <w:shd w:val="clear" w:color="auto" w:fill="auto"/>
            <w:tcMar>
              <w:top w:w="100" w:type="dxa"/>
              <w:left w:w="100" w:type="dxa"/>
              <w:bottom w:w="100" w:type="dxa"/>
              <w:right w:w="100" w:type="dxa"/>
            </w:tcMar>
          </w:tcPr>
          <w:p w14:paraId="63FC0C8B" w14:textId="77777777" w:rsidR="00EB2CB6" w:rsidRDefault="000D734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Public-private partnership</w:t>
            </w:r>
          </w:p>
        </w:tc>
        <w:tc>
          <w:tcPr>
            <w:tcW w:w="2340" w:type="dxa"/>
            <w:shd w:val="clear" w:color="auto" w:fill="auto"/>
            <w:tcMar>
              <w:top w:w="100" w:type="dxa"/>
              <w:left w:w="100" w:type="dxa"/>
              <w:bottom w:w="100" w:type="dxa"/>
              <w:right w:w="100" w:type="dxa"/>
            </w:tcMar>
          </w:tcPr>
          <w:p w14:paraId="577A20BD" w14:textId="77777777" w:rsidR="00EB2CB6" w:rsidRDefault="000D734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Public-private partnership</w:t>
            </w:r>
          </w:p>
        </w:tc>
      </w:tr>
      <w:tr w:rsidR="00EB2CB6" w14:paraId="457F5543" w14:textId="77777777">
        <w:tc>
          <w:tcPr>
            <w:tcW w:w="2340" w:type="dxa"/>
            <w:shd w:val="clear" w:color="auto" w:fill="auto"/>
            <w:tcMar>
              <w:top w:w="100" w:type="dxa"/>
              <w:left w:w="100" w:type="dxa"/>
              <w:bottom w:w="100" w:type="dxa"/>
              <w:right w:w="100" w:type="dxa"/>
            </w:tcMar>
          </w:tcPr>
          <w:p w14:paraId="4EAFD5B4"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Physical</w:t>
            </w:r>
          </w:p>
        </w:tc>
        <w:tc>
          <w:tcPr>
            <w:tcW w:w="2325" w:type="dxa"/>
            <w:shd w:val="clear" w:color="auto" w:fill="auto"/>
            <w:tcMar>
              <w:top w:w="100" w:type="dxa"/>
              <w:left w:w="100" w:type="dxa"/>
              <w:bottom w:w="100" w:type="dxa"/>
              <w:right w:w="100" w:type="dxa"/>
            </w:tcMar>
          </w:tcPr>
          <w:p w14:paraId="4AA64BE9"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None was found</w:t>
            </w:r>
          </w:p>
        </w:tc>
        <w:tc>
          <w:tcPr>
            <w:tcW w:w="2355" w:type="dxa"/>
            <w:shd w:val="clear" w:color="auto" w:fill="auto"/>
            <w:tcMar>
              <w:top w:w="100" w:type="dxa"/>
              <w:left w:w="100" w:type="dxa"/>
              <w:bottom w:w="100" w:type="dxa"/>
              <w:right w:w="100" w:type="dxa"/>
            </w:tcMar>
          </w:tcPr>
          <w:p w14:paraId="68BAFB3D" w14:textId="77777777" w:rsidR="00EB2CB6" w:rsidRDefault="000D734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Focus on ecotourism</w:t>
            </w:r>
          </w:p>
        </w:tc>
        <w:tc>
          <w:tcPr>
            <w:tcW w:w="2340" w:type="dxa"/>
            <w:shd w:val="clear" w:color="auto" w:fill="auto"/>
            <w:tcMar>
              <w:top w:w="100" w:type="dxa"/>
              <w:left w:w="100" w:type="dxa"/>
              <w:bottom w:w="100" w:type="dxa"/>
              <w:right w:w="100" w:type="dxa"/>
            </w:tcMar>
          </w:tcPr>
          <w:p w14:paraId="68454BF1"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Focus on sustainability goals set by the UN</w:t>
            </w:r>
          </w:p>
        </w:tc>
      </w:tr>
      <w:tr w:rsidR="00EB2CB6" w14:paraId="009E6D0A" w14:textId="77777777">
        <w:tc>
          <w:tcPr>
            <w:tcW w:w="2340" w:type="dxa"/>
            <w:shd w:val="clear" w:color="auto" w:fill="auto"/>
            <w:tcMar>
              <w:top w:w="100" w:type="dxa"/>
              <w:left w:w="100" w:type="dxa"/>
              <w:bottom w:w="100" w:type="dxa"/>
              <w:right w:w="100" w:type="dxa"/>
            </w:tcMar>
          </w:tcPr>
          <w:p w14:paraId="40F6B6B8"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Technical</w:t>
            </w:r>
          </w:p>
        </w:tc>
        <w:tc>
          <w:tcPr>
            <w:tcW w:w="2325" w:type="dxa"/>
            <w:shd w:val="clear" w:color="auto" w:fill="auto"/>
            <w:tcMar>
              <w:top w:w="100" w:type="dxa"/>
              <w:left w:w="100" w:type="dxa"/>
              <w:bottom w:w="100" w:type="dxa"/>
              <w:right w:w="100" w:type="dxa"/>
            </w:tcMar>
          </w:tcPr>
          <w:p w14:paraId="53CC8057"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social media to boost tourism</w:t>
            </w:r>
          </w:p>
        </w:tc>
        <w:tc>
          <w:tcPr>
            <w:tcW w:w="2355" w:type="dxa"/>
            <w:shd w:val="clear" w:color="auto" w:fill="auto"/>
            <w:tcMar>
              <w:top w:w="100" w:type="dxa"/>
              <w:left w:w="100" w:type="dxa"/>
              <w:bottom w:w="100" w:type="dxa"/>
              <w:right w:w="100" w:type="dxa"/>
            </w:tcMar>
          </w:tcPr>
          <w:p w14:paraId="67647F17"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digital practices to boost tourism</w:t>
            </w:r>
          </w:p>
        </w:tc>
        <w:tc>
          <w:tcPr>
            <w:tcW w:w="2340" w:type="dxa"/>
            <w:shd w:val="clear" w:color="auto" w:fill="auto"/>
            <w:tcMar>
              <w:top w:w="100" w:type="dxa"/>
              <w:left w:w="100" w:type="dxa"/>
              <w:bottom w:w="100" w:type="dxa"/>
              <w:right w:w="100" w:type="dxa"/>
            </w:tcMar>
          </w:tcPr>
          <w:p w14:paraId="156C8E5E"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Strengthening of digital marketing strategy</w:t>
            </w:r>
          </w:p>
        </w:tc>
      </w:tr>
      <w:tr w:rsidR="00EB2CB6" w14:paraId="648A0DA7" w14:textId="77777777">
        <w:tc>
          <w:tcPr>
            <w:tcW w:w="2340" w:type="dxa"/>
            <w:shd w:val="clear" w:color="auto" w:fill="auto"/>
            <w:tcMar>
              <w:top w:w="100" w:type="dxa"/>
              <w:left w:w="100" w:type="dxa"/>
              <w:bottom w:w="100" w:type="dxa"/>
              <w:right w:w="100" w:type="dxa"/>
            </w:tcMar>
          </w:tcPr>
          <w:p w14:paraId="58C9D7A5"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w:t>
            </w:r>
          </w:p>
        </w:tc>
        <w:tc>
          <w:tcPr>
            <w:tcW w:w="2325" w:type="dxa"/>
            <w:shd w:val="clear" w:color="auto" w:fill="auto"/>
            <w:tcMar>
              <w:top w:w="100" w:type="dxa"/>
              <w:left w:w="100" w:type="dxa"/>
              <w:bottom w:w="100" w:type="dxa"/>
              <w:right w:w="100" w:type="dxa"/>
            </w:tcMar>
          </w:tcPr>
          <w:p w14:paraId="5262CBEE"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Visa processing made easy for many countries</w:t>
            </w:r>
          </w:p>
        </w:tc>
        <w:tc>
          <w:tcPr>
            <w:tcW w:w="2355" w:type="dxa"/>
            <w:shd w:val="clear" w:color="auto" w:fill="auto"/>
            <w:tcMar>
              <w:top w:w="100" w:type="dxa"/>
              <w:left w:w="100" w:type="dxa"/>
              <w:bottom w:w="100" w:type="dxa"/>
              <w:right w:w="100" w:type="dxa"/>
            </w:tcMar>
          </w:tcPr>
          <w:p w14:paraId="3336397C"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Accelerated visa policy </w:t>
            </w:r>
          </w:p>
        </w:tc>
        <w:tc>
          <w:tcPr>
            <w:tcW w:w="2340" w:type="dxa"/>
            <w:shd w:val="clear" w:color="auto" w:fill="auto"/>
            <w:tcMar>
              <w:top w:w="100" w:type="dxa"/>
              <w:left w:w="100" w:type="dxa"/>
              <w:bottom w:w="100" w:type="dxa"/>
              <w:right w:w="100" w:type="dxa"/>
            </w:tcMar>
          </w:tcPr>
          <w:p w14:paraId="42482396"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visa management</w:t>
            </w:r>
          </w:p>
        </w:tc>
      </w:tr>
      <w:tr w:rsidR="00EB2CB6" w14:paraId="5EA2F8CB" w14:textId="77777777">
        <w:tc>
          <w:tcPr>
            <w:tcW w:w="2340" w:type="dxa"/>
            <w:shd w:val="clear" w:color="auto" w:fill="auto"/>
            <w:tcMar>
              <w:top w:w="100" w:type="dxa"/>
              <w:left w:w="100" w:type="dxa"/>
              <w:bottom w:w="100" w:type="dxa"/>
              <w:right w:w="100" w:type="dxa"/>
            </w:tcMar>
          </w:tcPr>
          <w:p w14:paraId="1F3AA98B"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&amp; Infrastructure</w:t>
            </w:r>
          </w:p>
        </w:tc>
        <w:tc>
          <w:tcPr>
            <w:tcW w:w="2325" w:type="dxa"/>
            <w:shd w:val="clear" w:color="auto" w:fill="auto"/>
            <w:tcMar>
              <w:top w:w="100" w:type="dxa"/>
              <w:left w:w="100" w:type="dxa"/>
              <w:bottom w:w="100" w:type="dxa"/>
              <w:right w:w="100" w:type="dxa"/>
            </w:tcMar>
          </w:tcPr>
          <w:p w14:paraId="28870639"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budget for buildings and transport systems</w:t>
            </w:r>
          </w:p>
        </w:tc>
        <w:tc>
          <w:tcPr>
            <w:tcW w:w="2355" w:type="dxa"/>
            <w:shd w:val="clear" w:color="auto" w:fill="auto"/>
            <w:tcMar>
              <w:top w:w="100" w:type="dxa"/>
              <w:left w:w="100" w:type="dxa"/>
              <w:bottom w:w="100" w:type="dxa"/>
              <w:right w:w="100" w:type="dxa"/>
            </w:tcMar>
          </w:tcPr>
          <w:p w14:paraId="5F06928B"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budget for tourism engineering</w:t>
            </w:r>
          </w:p>
        </w:tc>
        <w:tc>
          <w:tcPr>
            <w:tcW w:w="2340" w:type="dxa"/>
            <w:shd w:val="clear" w:color="auto" w:fill="auto"/>
            <w:tcMar>
              <w:top w:w="100" w:type="dxa"/>
              <w:left w:w="100" w:type="dxa"/>
              <w:bottom w:w="100" w:type="dxa"/>
              <w:right w:w="100" w:type="dxa"/>
            </w:tcMar>
          </w:tcPr>
          <w:p w14:paraId="1A30D689"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 for public spaces, infrastructure, and transport systems</w:t>
            </w:r>
          </w:p>
        </w:tc>
      </w:tr>
      <w:tr w:rsidR="00EB2CB6" w14:paraId="5EB366E3" w14:textId="77777777">
        <w:tc>
          <w:tcPr>
            <w:tcW w:w="2340" w:type="dxa"/>
            <w:shd w:val="clear" w:color="auto" w:fill="auto"/>
            <w:tcMar>
              <w:top w:w="100" w:type="dxa"/>
              <w:left w:w="100" w:type="dxa"/>
              <w:bottom w:w="100" w:type="dxa"/>
              <w:right w:w="100" w:type="dxa"/>
            </w:tcMar>
          </w:tcPr>
          <w:p w14:paraId="2D2F7856"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Administrative &amp; Institutional</w:t>
            </w:r>
          </w:p>
        </w:tc>
        <w:tc>
          <w:tcPr>
            <w:tcW w:w="2325" w:type="dxa"/>
            <w:shd w:val="clear" w:color="auto" w:fill="auto"/>
            <w:tcMar>
              <w:top w:w="100" w:type="dxa"/>
              <w:left w:w="100" w:type="dxa"/>
              <w:bottom w:w="100" w:type="dxa"/>
              <w:right w:w="100" w:type="dxa"/>
            </w:tcMar>
          </w:tcPr>
          <w:p w14:paraId="112846FF"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Federal and provincial partnerships</w:t>
            </w:r>
          </w:p>
        </w:tc>
        <w:tc>
          <w:tcPr>
            <w:tcW w:w="2355" w:type="dxa"/>
            <w:shd w:val="clear" w:color="auto" w:fill="auto"/>
            <w:tcMar>
              <w:top w:w="100" w:type="dxa"/>
              <w:left w:w="100" w:type="dxa"/>
              <w:bottom w:w="100" w:type="dxa"/>
              <w:right w:w="100" w:type="dxa"/>
            </w:tcMar>
          </w:tcPr>
          <w:p w14:paraId="5138709D"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Regional partnerships</w:t>
            </w:r>
          </w:p>
        </w:tc>
        <w:tc>
          <w:tcPr>
            <w:tcW w:w="2340" w:type="dxa"/>
            <w:shd w:val="clear" w:color="auto" w:fill="auto"/>
            <w:tcMar>
              <w:top w:w="100" w:type="dxa"/>
              <w:left w:w="100" w:type="dxa"/>
              <w:bottom w:w="100" w:type="dxa"/>
              <w:right w:w="100" w:type="dxa"/>
            </w:tcMar>
          </w:tcPr>
          <w:p w14:paraId="7D4517EA"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Narrowing the gap between cities and smaller towns </w:t>
            </w:r>
          </w:p>
        </w:tc>
      </w:tr>
      <w:tr w:rsidR="00EB2CB6" w14:paraId="7B463CA3" w14:textId="77777777">
        <w:tc>
          <w:tcPr>
            <w:tcW w:w="2340" w:type="dxa"/>
            <w:shd w:val="clear" w:color="auto" w:fill="auto"/>
            <w:tcMar>
              <w:top w:w="100" w:type="dxa"/>
              <w:left w:w="100" w:type="dxa"/>
              <w:bottom w:w="100" w:type="dxa"/>
              <w:right w:w="100" w:type="dxa"/>
            </w:tcMar>
          </w:tcPr>
          <w:p w14:paraId="237F0E79"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 &amp; Political</w:t>
            </w:r>
          </w:p>
        </w:tc>
        <w:tc>
          <w:tcPr>
            <w:tcW w:w="2325" w:type="dxa"/>
            <w:shd w:val="clear" w:color="auto" w:fill="auto"/>
            <w:tcMar>
              <w:top w:w="100" w:type="dxa"/>
              <w:left w:w="100" w:type="dxa"/>
              <w:bottom w:w="100" w:type="dxa"/>
              <w:right w:w="100" w:type="dxa"/>
            </w:tcMar>
          </w:tcPr>
          <w:p w14:paraId="5C5B0309"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Recognition of top public officials of the importance of tourism</w:t>
            </w:r>
          </w:p>
        </w:tc>
        <w:tc>
          <w:tcPr>
            <w:tcW w:w="2355" w:type="dxa"/>
            <w:shd w:val="clear" w:color="auto" w:fill="auto"/>
            <w:tcMar>
              <w:top w:w="100" w:type="dxa"/>
              <w:left w:w="100" w:type="dxa"/>
              <w:bottom w:w="100" w:type="dxa"/>
              <w:right w:w="100" w:type="dxa"/>
            </w:tcMar>
          </w:tcPr>
          <w:p w14:paraId="2A904A43"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Recognition of top public officials of the importance of tourism</w:t>
            </w:r>
          </w:p>
        </w:tc>
        <w:tc>
          <w:tcPr>
            <w:tcW w:w="2340" w:type="dxa"/>
            <w:shd w:val="clear" w:color="auto" w:fill="auto"/>
            <w:tcMar>
              <w:top w:w="100" w:type="dxa"/>
              <w:left w:w="100" w:type="dxa"/>
              <w:bottom w:w="100" w:type="dxa"/>
              <w:right w:w="100" w:type="dxa"/>
            </w:tcMar>
          </w:tcPr>
          <w:p w14:paraId="7C7DA595"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Recognition of top public officials of the importance of tourism</w:t>
            </w:r>
          </w:p>
        </w:tc>
      </w:tr>
    </w:tbl>
    <w:p w14:paraId="50912EA0" w14:textId="77777777" w:rsidR="00EB2CB6" w:rsidRDefault="00EB2CB6">
      <w:pPr>
        <w:spacing w:line="360" w:lineRule="auto"/>
        <w:jc w:val="both"/>
        <w:rPr>
          <w:rFonts w:ascii="Times New Roman" w:eastAsia="Times New Roman" w:hAnsi="Times New Roman" w:cs="Times New Roman"/>
          <w:sz w:val="24"/>
          <w:szCs w:val="24"/>
        </w:rPr>
      </w:pPr>
    </w:p>
    <w:p w14:paraId="6CB6A23D"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(Canada’s Creating Middle Class Jobs: A Federal Tourism Growth Strategy, 2019; France’s National Tourism Strategy, 2019; General Guidelines of the Sustainable Tourism Strategy of Spain 2030, 2019) </w:t>
      </w:r>
    </w:p>
    <w:p w14:paraId="357AF080" w14:textId="77777777" w:rsidR="00EB2CB6" w:rsidRDefault="00EB2CB6">
      <w:pPr>
        <w:spacing w:line="360" w:lineRule="auto"/>
        <w:jc w:val="both"/>
        <w:rPr>
          <w:rFonts w:ascii="Times New Roman" w:eastAsia="Times New Roman" w:hAnsi="Times New Roman" w:cs="Times New Roman"/>
          <w:sz w:val="24"/>
          <w:szCs w:val="24"/>
        </w:rPr>
      </w:pPr>
    </w:p>
    <w:p w14:paraId="48693F88" w14:textId="77777777" w:rsidR="00EB2CB6" w:rsidRDefault="00EB2CB6">
      <w:pPr>
        <w:spacing w:line="360" w:lineRule="auto"/>
        <w:jc w:val="both"/>
        <w:rPr>
          <w:rFonts w:ascii="Times New Roman" w:eastAsia="Times New Roman" w:hAnsi="Times New Roman" w:cs="Times New Roman"/>
          <w:sz w:val="24"/>
          <w:szCs w:val="24"/>
        </w:rPr>
      </w:pPr>
    </w:p>
    <w:p w14:paraId="08B726DE" w14:textId="77777777" w:rsidR="00EB2CB6" w:rsidRDefault="00EB2CB6">
      <w:pPr>
        <w:spacing w:line="360" w:lineRule="auto"/>
        <w:jc w:val="both"/>
        <w:rPr>
          <w:rFonts w:ascii="Times New Roman" w:eastAsia="Times New Roman" w:hAnsi="Times New Roman" w:cs="Times New Roman"/>
          <w:sz w:val="24"/>
          <w:szCs w:val="24"/>
        </w:rPr>
      </w:pPr>
    </w:p>
    <w:p w14:paraId="755AB9AF" w14:textId="77777777" w:rsidR="00EB2CB6" w:rsidRDefault="00EB2CB6">
      <w:pPr>
        <w:spacing w:line="360" w:lineRule="auto"/>
        <w:jc w:val="both"/>
        <w:rPr>
          <w:rFonts w:ascii="Times New Roman" w:eastAsia="Times New Roman" w:hAnsi="Times New Roman" w:cs="Times New Roman"/>
          <w:sz w:val="24"/>
          <w:szCs w:val="24"/>
        </w:rPr>
      </w:pPr>
    </w:p>
    <w:p w14:paraId="349260C4" w14:textId="77777777" w:rsidR="00EB2CB6" w:rsidRDefault="00EB2CB6">
      <w:pPr>
        <w:spacing w:line="360" w:lineRule="auto"/>
        <w:jc w:val="both"/>
        <w:rPr>
          <w:rFonts w:ascii="Times New Roman" w:eastAsia="Times New Roman" w:hAnsi="Times New Roman" w:cs="Times New Roman"/>
          <w:sz w:val="24"/>
          <w:szCs w:val="24"/>
        </w:rPr>
      </w:pPr>
    </w:p>
    <w:p w14:paraId="6E971225" w14:textId="77777777" w:rsidR="00EB2CB6" w:rsidRDefault="00EB2CB6">
      <w:pPr>
        <w:spacing w:line="360" w:lineRule="auto"/>
        <w:jc w:val="both"/>
        <w:rPr>
          <w:rFonts w:ascii="Times New Roman" w:eastAsia="Times New Roman" w:hAnsi="Times New Roman" w:cs="Times New Roman"/>
          <w:sz w:val="24"/>
          <w:szCs w:val="24"/>
        </w:rPr>
      </w:pPr>
    </w:p>
    <w:p w14:paraId="34A01891" w14:textId="77777777" w:rsidR="00EB2CB6" w:rsidRDefault="00EB2CB6">
      <w:pPr>
        <w:spacing w:line="360" w:lineRule="auto"/>
        <w:jc w:val="both"/>
        <w:rPr>
          <w:rFonts w:ascii="Times New Roman" w:eastAsia="Times New Roman" w:hAnsi="Times New Roman" w:cs="Times New Roman"/>
          <w:sz w:val="24"/>
          <w:szCs w:val="24"/>
        </w:rPr>
      </w:pPr>
    </w:p>
    <w:p w14:paraId="7CDB47B7" w14:textId="77777777" w:rsidR="00EB2CB6" w:rsidRDefault="00EB2CB6">
      <w:pPr>
        <w:spacing w:line="360" w:lineRule="auto"/>
        <w:jc w:val="both"/>
        <w:rPr>
          <w:rFonts w:ascii="Times New Roman" w:eastAsia="Times New Roman" w:hAnsi="Times New Roman" w:cs="Times New Roman"/>
          <w:sz w:val="24"/>
          <w:szCs w:val="24"/>
        </w:rPr>
      </w:pPr>
    </w:p>
    <w:p w14:paraId="035B3DE8" w14:textId="77777777" w:rsidR="00EB2CB6" w:rsidRDefault="00EB2CB6">
      <w:pPr>
        <w:spacing w:line="360" w:lineRule="auto"/>
        <w:jc w:val="both"/>
        <w:rPr>
          <w:rFonts w:ascii="Times New Roman" w:eastAsia="Times New Roman" w:hAnsi="Times New Roman" w:cs="Times New Roman"/>
          <w:sz w:val="24"/>
          <w:szCs w:val="24"/>
        </w:rPr>
      </w:pPr>
    </w:p>
    <w:p w14:paraId="5E629BA9" w14:textId="77777777" w:rsidR="00EB2CB6" w:rsidRDefault="00EB2CB6">
      <w:pPr>
        <w:spacing w:line="360" w:lineRule="auto"/>
        <w:jc w:val="both"/>
        <w:rPr>
          <w:rFonts w:ascii="Times New Roman" w:eastAsia="Times New Roman" w:hAnsi="Times New Roman" w:cs="Times New Roman"/>
          <w:sz w:val="24"/>
          <w:szCs w:val="24"/>
        </w:rPr>
      </w:pPr>
    </w:p>
    <w:p w14:paraId="07FA8CF2" w14:textId="77777777" w:rsidR="00EB2CB6" w:rsidRDefault="00EB2CB6">
      <w:pPr>
        <w:spacing w:line="360" w:lineRule="auto"/>
        <w:jc w:val="both"/>
        <w:rPr>
          <w:rFonts w:ascii="Times New Roman" w:eastAsia="Times New Roman" w:hAnsi="Times New Roman" w:cs="Times New Roman"/>
          <w:sz w:val="24"/>
          <w:szCs w:val="24"/>
        </w:rPr>
      </w:pPr>
    </w:p>
    <w:p w14:paraId="31FDDEA1" w14:textId="77777777" w:rsidR="00EB2CB6" w:rsidRDefault="00EB2CB6">
      <w:pPr>
        <w:spacing w:line="360" w:lineRule="auto"/>
        <w:jc w:val="both"/>
        <w:rPr>
          <w:rFonts w:ascii="Times New Roman" w:eastAsia="Times New Roman" w:hAnsi="Times New Roman" w:cs="Times New Roman"/>
          <w:sz w:val="24"/>
          <w:szCs w:val="24"/>
        </w:rPr>
      </w:pPr>
    </w:p>
    <w:p w14:paraId="7352A199" w14:textId="77777777" w:rsidR="00EB2CB6" w:rsidRDefault="00EB2CB6">
      <w:pPr>
        <w:spacing w:line="360" w:lineRule="auto"/>
        <w:jc w:val="both"/>
        <w:rPr>
          <w:rFonts w:ascii="Times New Roman" w:eastAsia="Times New Roman" w:hAnsi="Times New Roman" w:cs="Times New Roman"/>
          <w:sz w:val="24"/>
          <w:szCs w:val="24"/>
        </w:rPr>
      </w:pPr>
    </w:p>
    <w:p w14:paraId="440E65FD" w14:textId="77777777" w:rsidR="00EB2CB6" w:rsidRDefault="00EB2CB6">
      <w:pPr>
        <w:spacing w:line="360" w:lineRule="auto"/>
        <w:jc w:val="both"/>
        <w:rPr>
          <w:rFonts w:ascii="Times New Roman" w:eastAsia="Times New Roman" w:hAnsi="Times New Roman" w:cs="Times New Roman"/>
          <w:sz w:val="24"/>
          <w:szCs w:val="24"/>
        </w:rPr>
      </w:pPr>
    </w:p>
    <w:p w14:paraId="776B7B0A"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Conceptual Framework for Improvement</w:t>
      </w:r>
    </w:p>
    <w:p w14:paraId="715C308E" w14:textId="77777777" w:rsidR="00EB2CB6" w:rsidRDefault="00EB2CB6">
      <w:pPr>
        <w:spacing w:line="360" w:lineRule="auto"/>
        <w:jc w:val="both"/>
        <w:rPr>
          <w:rFonts w:ascii="Times New Roman" w:eastAsia="Times New Roman" w:hAnsi="Times New Roman" w:cs="Times New Roman"/>
          <w:b/>
          <w:sz w:val="24"/>
          <w:szCs w:val="24"/>
        </w:rPr>
      </w:pPr>
    </w:p>
    <w:p w14:paraId="78BFB696"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9581C5A" wp14:editId="14444D30">
            <wp:extent cx="5853113" cy="425059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16025" t="6552" r="16506" b="6267"/>
                    <a:stretch>
                      <a:fillRect/>
                    </a:stretch>
                  </pic:blipFill>
                  <pic:spPr>
                    <a:xfrm>
                      <a:off x="0" y="0"/>
                      <a:ext cx="5853113" cy="4250591"/>
                    </a:xfrm>
                    <a:prstGeom prst="rect">
                      <a:avLst/>
                    </a:prstGeom>
                    <a:ln/>
                  </pic:spPr>
                </pic:pic>
              </a:graphicData>
            </a:graphic>
          </wp:inline>
        </w:drawing>
      </w:r>
    </w:p>
    <w:p w14:paraId="6DCC9432" w14:textId="77777777" w:rsidR="00EB2CB6" w:rsidRDefault="00EB2CB6">
      <w:pPr>
        <w:spacing w:line="360" w:lineRule="auto"/>
        <w:jc w:val="both"/>
        <w:rPr>
          <w:rFonts w:ascii="Times New Roman" w:eastAsia="Times New Roman" w:hAnsi="Times New Roman" w:cs="Times New Roman"/>
          <w:b/>
          <w:sz w:val="24"/>
          <w:szCs w:val="24"/>
        </w:rPr>
      </w:pPr>
    </w:p>
    <w:p w14:paraId="5C5E3E2B" w14:textId="77777777" w:rsidR="00EB2CB6" w:rsidRDefault="00EB2CB6">
      <w:pPr>
        <w:spacing w:line="360" w:lineRule="auto"/>
        <w:jc w:val="both"/>
        <w:rPr>
          <w:rFonts w:ascii="Times New Roman" w:eastAsia="Times New Roman" w:hAnsi="Times New Roman" w:cs="Times New Roman"/>
          <w:b/>
          <w:sz w:val="24"/>
          <w:szCs w:val="24"/>
        </w:rPr>
      </w:pPr>
    </w:p>
    <w:p w14:paraId="2683E924"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Relevant and Current Theories</w:t>
      </w:r>
    </w:p>
    <w:p w14:paraId="2D93C4AC" w14:textId="77777777" w:rsidR="00EB2CB6" w:rsidRDefault="00EB2CB6">
      <w:pPr>
        <w:spacing w:line="360" w:lineRule="auto"/>
        <w:jc w:val="both"/>
        <w:rPr>
          <w:rFonts w:ascii="Times New Roman" w:eastAsia="Times New Roman" w:hAnsi="Times New Roman" w:cs="Times New Roman"/>
          <w:sz w:val="24"/>
          <w:szCs w:val="24"/>
        </w:rPr>
      </w:pPr>
    </w:p>
    <w:p w14:paraId="18ECD5F9"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practical strategic tourism planning model for Canada would be based on various theories. The first theory used as a basis for the said model was discussed in class. Abraham Maslow’s hierarchy of needs is the best theory of motivation. It states that each person has needs ranked according to its intensity (Maslow, 1954). Many theories based on tourism demand have been based on Maslow's ideology. </w:t>
      </w:r>
    </w:p>
    <w:p w14:paraId="50D982FA" w14:textId="77777777" w:rsidR="00EB2CB6" w:rsidRDefault="00EB2CB6">
      <w:pPr>
        <w:spacing w:line="360" w:lineRule="auto"/>
        <w:jc w:val="both"/>
        <w:rPr>
          <w:rFonts w:ascii="Times New Roman" w:eastAsia="Times New Roman" w:hAnsi="Times New Roman" w:cs="Times New Roman"/>
          <w:sz w:val="24"/>
          <w:szCs w:val="24"/>
        </w:rPr>
      </w:pPr>
    </w:p>
    <w:p w14:paraId="4382A2A3"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excellent model for Canada is one that taps on the physiological needs (Maslow, 1954) of </w:t>
      </w:r>
      <w:proofErr w:type="gramStart"/>
      <w:r>
        <w:rPr>
          <w:rFonts w:ascii="Times New Roman" w:eastAsia="Times New Roman" w:hAnsi="Times New Roman" w:cs="Times New Roman"/>
          <w:sz w:val="24"/>
          <w:szCs w:val="24"/>
        </w:rPr>
        <w:t>tourists, since</w:t>
      </w:r>
      <w:proofErr w:type="gramEnd"/>
      <w:r>
        <w:rPr>
          <w:rFonts w:ascii="Times New Roman" w:eastAsia="Times New Roman" w:hAnsi="Times New Roman" w:cs="Times New Roman"/>
          <w:sz w:val="24"/>
          <w:szCs w:val="24"/>
        </w:rPr>
        <w:t xml:space="preserve"> humans will always opt to fulfill it first. Delicious food was already offered in Canada’s gastronomic tours. However, accommodation is crucial because shelter and sleep are among a tourist’s physiological needs. Thus, as suggested in the conceptual framework, Canada’s strategic model must include the improvement of accommodation. </w:t>
      </w:r>
    </w:p>
    <w:p w14:paraId="05A61DB0" w14:textId="77777777" w:rsidR="00EB2CB6" w:rsidRDefault="00EB2CB6">
      <w:pPr>
        <w:spacing w:line="360" w:lineRule="auto"/>
        <w:jc w:val="both"/>
        <w:rPr>
          <w:rFonts w:ascii="Times New Roman" w:eastAsia="Times New Roman" w:hAnsi="Times New Roman" w:cs="Times New Roman"/>
          <w:sz w:val="24"/>
          <w:szCs w:val="24"/>
        </w:rPr>
      </w:pPr>
    </w:p>
    <w:p w14:paraId="50CD8D94"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Psychographic Theory by Stanley </w:t>
      </w:r>
      <w:proofErr w:type="spellStart"/>
      <w:r>
        <w:rPr>
          <w:rFonts w:ascii="Times New Roman" w:eastAsia="Times New Roman" w:hAnsi="Times New Roman" w:cs="Times New Roman"/>
          <w:sz w:val="24"/>
          <w:szCs w:val="24"/>
        </w:rPr>
        <w:t>Plog</w:t>
      </w:r>
      <w:proofErr w:type="spellEnd"/>
      <w:r>
        <w:rPr>
          <w:rFonts w:ascii="Times New Roman" w:eastAsia="Times New Roman" w:hAnsi="Times New Roman" w:cs="Times New Roman"/>
          <w:sz w:val="24"/>
          <w:szCs w:val="24"/>
        </w:rPr>
        <w:t xml:space="preserve"> (1974) can also be used to craft a practical model. According to the theory, tourists can be classified into different personalities. Their personalities affect their destination choice and traveling pattern. Hence, Canada must create a list of activities and pinpoint certain tourist destinations that can cater to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personalities described by </w:t>
      </w:r>
      <w:proofErr w:type="spellStart"/>
      <w:r>
        <w:rPr>
          <w:rFonts w:ascii="Times New Roman" w:eastAsia="Times New Roman" w:hAnsi="Times New Roman" w:cs="Times New Roman"/>
          <w:sz w:val="24"/>
          <w:szCs w:val="24"/>
        </w:rPr>
        <w:t>Plog</w:t>
      </w:r>
      <w:proofErr w:type="spellEnd"/>
      <w:r>
        <w:rPr>
          <w:rFonts w:ascii="Times New Roman" w:eastAsia="Times New Roman" w:hAnsi="Times New Roman" w:cs="Times New Roman"/>
          <w:sz w:val="24"/>
          <w:szCs w:val="24"/>
        </w:rPr>
        <w:t>. By doing this, a tourist will more likely choose Canada because it can cater to his or her wants.</w:t>
      </w:r>
    </w:p>
    <w:p w14:paraId="78BD39C8" w14:textId="77777777" w:rsidR="00EB2CB6" w:rsidRDefault="00EB2CB6">
      <w:pPr>
        <w:spacing w:line="360" w:lineRule="auto"/>
        <w:jc w:val="both"/>
        <w:rPr>
          <w:rFonts w:ascii="Times New Roman" w:eastAsia="Times New Roman" w:hAnsi="Times New Roman" w:cs="Times New Roman"/>
          <w:sz w:val="24"/>
          <w:szCs w:val="24"/>
        </w:rPr>
      </w:pPr>
    </w:p>
    <w:p w14:paraId="0E5EB7C1"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according to Lew (2018), the knowledge of the world is the basis for the consciousness of the world. Tourists desire to visit a place that they are aware of. The motivation for such can be explained through the sense of place theory, which is an emotional connection between people and places. This theory is heavily used in explaining patterns of leisure and </w:t>
      </w:r>
      <w:proofErr w:type="gramStart"/>
      <w:r>
        <w:rPr>
          <w:rFonts w:ascii="Times New Roman" w:eastAsia="Times New Roman" w:hAnsi="Times New Roman" w:cs="Times New Roman"/>
          <w:sz w:val="24"/>
          <w:szCs w:val="24"/>
        </w:rPr>
        <w:t>travel  (</w:t>
      </w:r>
      <w:proofErr w:type="gramEnd"/>
      <w:r>
        <w:rPr>
          <w:rFonts w:ascii="Times New Roman" w:eastAsia="Times New Roman" w:hAnsi="Times New Roman" w:cs="Times New Roman"/>
          <w:sz w:val="24"/>
          <w:szCs w:val="24"/>
        </w:rPr>
        <w:t xml:space="preserve">Raymond, </w:t>
      </w:r>
      <w:proofErr w:type="spellStart"/>
      <w:r>
        <w:rPr>
          <w:rFonts w:ascii="Times New Roman" w:eastAsia="Times New Roman" w:hAnsi="Times New Roman" w:cs="Times New Roman"/>
          <w:sz w:val="24"/>
          <w:szCs w:val="24"/>
        </w:rPr>
        <w:t>Kyttä</w:t>
      </w:r>
      <w:proofErr w:type="spellEnd"/>
      <w:r>
        <w:rPr>
          <w:rFonts w:ascii="Times New Roman" w:eastAsia="Times New Roman" w:hAnsi="Times New Roman" w:cs="Times New Roman"/>
          <w:sz w:val="24"/>
          <w:szCs w:val="24"/>
        </w:rPr>
        <w:t xml:space="preserve">, &amp; Stedman, 2017). Thus, a practical model is one that induces the sense of place among tourists so they will be encouraged to visit and keep coming back to Canada. </w:t>
      </w:r>
    </w:p>
    <w:p w14:paraId="62BC1199" w14:textId="77777777" w:rsidR="00EB2CB6" w:rsidRDefault="00EB2CB6">
      <w:pPr>
        <w:spacing w:line="360" w:lineRule="auto"/>
        <w:jc w:val="both"/>
        <w:rPr>
          <w:rFonts w:ascii="Times New Roman" w:eastAsia="Times New Roman" w:hAnsi="Times New Roman" w:cs="Times New Roman"/>
          <w:sz w:val="24"/>
          <w:szCs w:val="24"/>
        </w:rPr>
      </w:pPr>
    </w:p>
    <w:p w14:paraId="63FBF40B"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53CE458D" w14:textId="77777777" w:rsidR="00EB2CB6" w:rsidRDefault="00EB2CB6">
      <w:pPr>
        <w:spacing w:line="360" w:lineRule="auto"/>
        <w:jc w:val="both"/>
        <w:rPr>
          <w:rFonts w:ascii="Times New Roman" w:eastAsia="Times New Roman" w:hAnsi="Times New Roman" w:cs="Times New Roman"/>
          <w:sz w:val="24"/>
          <w:szCs w:val="24"/>
        </w:rPr>
      </w:pPr>
    </w:p>
    <w:p w14:paraId="2B4F2038"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Most components of Canada’s strategic tourism planning model are excellent. The model was highly detailed and precise. It is inclusive, has a good grasp of how important tourism is, and strikes a good balance between the role of the government and private sector. </w:t>
      </w:r>
    </w:p>
    <w:p w14:paraId="1593D0B3" w14:textId="77777777" w:rsidR="00EB2CB6" w:rsidRDefault="00EB2CB6">
      <w:pPr>
        <w:spacing w:line="360" w:lineRule="auto"/>
        <w:jc w:val="both"/>
        <w:rPr>
          <w:rFonts w:ascii="Times New Roman" w:eastAsia="Times New Roman" w:hAnsi="Times New Roman" w:cs="Times New Roman"/>
          <w:sz w:val="24"/>
          <w:szCs w:val="24"/>
        </w:rPr>
      </w:pPr>
    </w:p>
    <w:p w14:paraId="62BA1A06"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Canada’s strategic tourism planning model contains some flaws. These flaws can easily be fixed, however, with the guidance of the SCEPTICAL Analysis Model and relevant theories. </w:t>
      </w:r>
    </w:p>
    <w:p w14:paraId="18853E76" w14:textId="77777777" w:rsidR="00EB2CB6" w:rsidRDefault="00EB2CB6">
      <w:pPr>
        <w:spacing w:line="360" w:lineRule="auto"/>
        <w:jc w:val="both"/>
        <w:rPr>
          <w:rFonts w:ascii="Times New Roman" w:eastAsia="Times New Roman" w:hAnsi="Times New Roman" w:cs="Times New Roman"/>
          <w:sz w:val="24"/>
          <w:szCs w:val="24"/>
        </w:rPr>
      </w:pPr>
    </w:p>
    <w:p w14:paraId="4AB9E605"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Canada is already at a great position in terms of tourism, but its quest to reach greater heights proves that tourism can contribute more to its economy. </w:t>
      </w:r>
    </w:p>
    <w:p w14:paraId="58BA2DA6" w14:textId="77777777" w:rsidR="00EB2CB6" w:rsidRDefault="00EB2CB6">
      <w:pPr>
        <w:spacing w:line="360" w:lineRule="auto"/>
        <w:jc w:val="both"/>
        <w:rPr>
          <w:rFonts w:ascii="Times New Roman" w:eastAsia="Times New Roman" w:hAnsi="Times New Roman" w:cs="Times New Roman"/>
          <w:sz w:val="24"/>
          <w:szCs w:val="24"/>
        </w:rPr>
      </w:pPr>
    </w:p>
    <w:p w14:paraId="79761F5B" w14:textId="77777777" w:rsidR="00EB2CB6" w:rsidRDefault="00EB2CB6">
      <w:pPr>
        <w:spacing w:line="360" w:lineRule="auto"/>
        <w:jc w:val="both"/>
        <w:rPr>
          <w:rFonts w:ascii="Times New Roman" w:eastAsia="Times New Roman" w:hAnsi="Times New Roman" w:cs="Times New Roman"/>
          <w:sz w:val="24"/>
          <w:szCs w:val="24"/>
        </w:rPr>
      </w:pPr>
    </w:p>
    <w:p w14:paraId="439DCF09" w14:textId="77777777" w:rsidR="00EB2CB6" w:rsidRDefault="00EB2CB6">
      <w:pPr>
        <w:spacing w:line="360" w:lineRule="auto"/>
        <w:jc w:val="both"/>
        <w:rPr>
          <w:rFonts w:ascii="Times New Roman" w:eastAsia="Times New Roman" w:hAnsi="Times New Roman" w:cs="Times New Roman"/>
          <w:sz w:val="24"/>
          <w:szCs w:val="24"/>
        </w:rPr>
      </w:pPr>
    </w:p>
    <w:p w14:paraId="181C522E" w14:textId="77777777" w:rsidR="00EB2CB6" w:rsidRDefault="00EB2CB6">
      <w:pPr>
        <w:spacing w:line="360" w:lineRule="auto"/>
        <w:jc w:val="both"/>
        <w:rPr>
          <w:rFonts w:ascii="Times New Roman" w:eastAsia="Times New Roman" w:hAnsi="Times New Roman" w:cs="Times New Roman"/>
          <w:sz w:val="24"/>
          <w:szCs w:val="24"/>
        </w:rPr>
      </w:pPr>
    </w:p>
    <w:p w14:paraId="1189743F" w14:textId="77777777" w:rsidR="00EB2CB6" w:rsidRDefault="00EB2CB6">
      <w:pPr>
        <w:spacing w:line="360" w:lineRule="auto"/>
        <w:jc w:val="both"/>
        <w:rPr>
          <w:rFonts w:ascii="Times New Roman" w:eastAsia="Times New Roman" w:hAnsi="Times New Roman" w:cs="Times New Roman"/>
          <w:sz w:val="24"/>
          <w:szCs w:val="24"/>
        </w:rPr>
      </w:pPr>
    </w:p>
    <w:p w14:paraId="613D5DF1" w14:textId="77777777" w:rsidR="00EB2CB6" w:rsidRDefault="00EB2CB6">
      <w:pPr>
        <w:spacing w:line="360" w:lineRule="auto"/>
        <w:jc w:val="both"/>
        <w:rPr>
          <w:rFonts w:ascii="Times New Roman" w:eastAsia="Times New Roman" w:hAnsi="Times New Roman" w:cs="Times New Roman"/>
          <w:sz w:val="24"/>
          <w:szCs w:val="24"/>
        </w:rPr>
      </w:pPr>
    </w:p>
    <w:p w14:paraId="0A49C437" w14:textId="77777777" w:rsidR="00EB2CB6" w:rsidRDefault="00EB2CB6">
      <w:pPr>
        <w:spacing w:line="360" w:lineRule="auto"/>
        <w:jc w:val="both"/>
        <w:rPr>
          <w:rFonts w:ascii="Times New Roman" w:eastAsia="Times New Roman" w:hAnsi="Times New Roman" w:cs="Times New Roman"/>
          <w:sz w:val="24"/>
          <w:szCs w:val="24"/>
        </w:rPr>
      </w:pPr>
    </w:p>
    <w:p w14:paraId="4AF92767" w14:textId="77777777" w:rsidR="00EB2CB6" w:rsidRDefault="00EB2CB6">
      <w:pPr>
        <w:spacing w:line="360" w:lineRule="auto"/>
        <w:jc w:val="both"/>
        <w:rPr>
          <w:rFonts w:ascii="Times New Roman" w:eastAsia="Times New Roman" w:hAnsi="Times New Roman" w:cs="Times New Roman"/>
          <w:sz w:val="24"/>
          <w:szCs w:val="24"/>
        </w:rPr>
      </w:pPr>
    </w:p>
    <w:p w14:paraId="536987D0" w14:textId="77777777" w:rsidR="00EB2CB6" w:rsidRDefault="00EB2CB6">
      <w:pPr>
        <w:spacing w:line="360" w:lineRule="auto"/>
        <w:jc w:val="both"/>
        <w:rPr>
          <w:rFonts w:ascii="Times New Roman" w:eastAsia="Times New Roman" w:hAnsi="Times New Roman" w:cs="Times New Roman"/>
          <w:sz w:val="24"/>
          <w:szCs w:val="24"/>
        </w:rPr>
      </w:pPr>
    </w:p>
    <w:p w14:paraId="128C17E6" w14:textId="77777777" w:rsidR="00EB2CB6" w:rsidRDefault="00EB2CB6">
      <w:pPr>
        <w:spacing w:line="360" w:lineRule="auto"/>
        <w:jc w:val="both"/>
        <w:rPr>
          <w:rFonts w:ascii="Times New Roman" w:eastAsia="Times New Roman" w:hAnsi="Times New Roman" w:cs="Times New Roman"/>
          <w:sz w:val="24"/>
          <w:szCs w:val="24"/>
        </w:rPr>
      </w:pPr>
    </w:p>
    <w:p w14:paraId="237D8429" w14:textId="77777777" w:rsidR="00EB2CB6" w:rsidRDefault="00EB2CB6">
      <w:pPr>
        <w:spacing w:line="360" w:lineRule="auto"/>
        <w:jc w:val="both"/>
        <w:rPr>
          <w:rFonts w:ascii="Times New Roman" w:eastAsia="Times New Roman" w:hAnsi="Times New Roman" w:cs="Times New Roman"/>
          <w:sz w:val="24"/>
          <w:szCs w:val="24"/>
        </w:rPr>
      </w:pPr>
    </w:p>
    <w:p w14:paraId="2143D5D0" w14:textId="77777777" w:rsidR="00EB2CB6" w:rsidRDefault="00EB2CB6">
      <w:pPr>
        <w:spacing w:line="360" w:lineRule="auto"/>
        <w:jc w:val="both"/>
        <w:rPr>
          <w:rFonts w:ascii="Times New Roman" w:eastAsia="Times New Roman" w:hAnsi="Times New Roman" w:cs="Times New Roman"/>
          <w:sz w:val="24"/>
          <w:szCs w:val="24"/>
        </w:rPr>
      </w:pPr>
    </w:p>
    <w:p w14:paraId="426E59E4" w14:textId="77777777" w:rsidR="00EB2CB6" w:rsidRDefault="00EB2CB6">
      <w:pPr>
        <w:spacing w:line="360" w:lineRule="auto"/>
        <w:jc w:val="both"/>
        <w:rPr>
          <w:rFonts w:ascii="Times New Roman" w:eastAsia="Times New Roman" w:hAnsi="Times New Roman" w:cs="Times New Roman"/>
          <w:sz w:val="24"/>
          <w:szCs w:val="24"/>
        </w:rPr>
      </w:pPr>
    </w:p>
    <w:p w14:paraId="1E7B44B1" w14:textId="77777777" w:rsidR="00EB2CB6" w:rsidRDefault="00EB2CB6">
      <w:pPr>
        <w:spacing w:line="360" w:lineRule="auto"/>
        <w:jc w:val="both"/>
        <w:rPr>
          <w:rFonts w:ascii="Times New Roman" w:eastAsia="Times New Roman" w:hAnsi="Times New Roman" w:cs="Times New Roman"/>
          <w:sz w:val="24"/>
          <w:szCs w:val="24"/>
        </w:rPr>
      </w:pPr>
    </w:p>
    <w:p w14:paraId="7A06EB00" w14:textId="77777777" w:rsidR="00EB2CB6" w:rsidRDefault="00EB2CB6">
      <w:pPr>
        <w:spacing w:line="360" w:lineRule="auto"/>
        <w:jc w:val="both"/>
        <w:rPr>
          <w:rFonts w:ascii="Times New Roman" w:eastAsia="Times New Roman" w:hAnsi="Times New Roman" w:cs="Times New Roman"/>
          <w:sz w:val="24"/>
          <w:szCs w:val="24"/>
        </w:rPr>
      </w:pPr>
    </w:p>
    <w:p w14:paraId="767261BF" w14:textId="77777777" w:rsidR="00EB2CB6" w:rsidRDefault="00EB2CB6">
      <w:pPr>
        <w:spacing w:line="360" w:lineRule="auto"/>
        <w:jc w:val="both"/>
        <w:rPr>
          <w:rFonts w:ascii="Times New Roman" w:eastAsia="Times New Roman" w:hAnsi="Times New Roman" w:cs="Times New Roman"/>
          <w:sz w:val="24"/>
          <w:szCs w:val="24"/>
        </w:rPr>
      </w:pPr>
    </w:p>
    <w:p w14:paraId="1D1CDB3E" w14:textId="77777777" w:rsidR="00EB2CB6" w:rsidRDefault="00EB2CB6">
      <w:pPr>
        <w:spacing w:line="360" w:lineRule="auto"/>
        <w:jc w:val="both"/>
        <w:rPr>
          <w:rFonts w:ascii="Times New Roman" w:eastAsia="Times New Roman" w:hAnsi="Times New Roman" w:cs="Times New Roman"/>
          <w:sz w:val="24"/>
          <w:szCs w:val="24"/>
        </w:rPr>
      </w:pPr>
    </w:p>
    <w:p w14:paraId="7713A0ED" w14:textId="77777777" w:rsidR="00EB2CB6" w:rsidRDefault="00EB2CB6">
      <w:pPr>
        <w:spacing w:line="360" w:lineRule="auto"/>
        <w:jc w:val="both"/>
        <w:rPr>
          <w:rFonts w:ascii="Times New Roman" w:eastAsia="Times New Roman" w:hAnsi="Times New Roman" w:cs="Times New Roman"/>
          <w:sz w:val="24"/>
          <w:szCs w:val="24"/>
        </w:rPr>
      </w:pPr>
    </w:p>
    <w:p w14:paraId="4711A845" w14:textId="77777777" w:rsidR="00EB2CB6" w:rsidRDefault="00EB2CB6">
      <w:pPr>
        <w:spacing w:line="360" w:lineRule="auto"/>
        <w:jc w:val="both"/>
        <w:rPr>
          <w:rFonts w:ascii="Times New Roman" w:eastAsia="Times New Roman" w:hAnsi="Times New Roman" w:cs="Times New Roman"/>
          <w:sz w:val="24"/>
          <w:szCs w:val="24"/>
        </w:rPr>
      </w:pPr>
    </w:p>
    <w:p w14:paraId="0B7148CB" w14:textId="77777777" w:rsidR="00EB2CB6" w:rsidRDefault="00EB2CB6">
      <w:pPr>
        <w:spacing w:line="360" w:lineRule="auto"/>
        <w:jc w:val="both"/>
        <w:rPr>
          <w:rFonts w:ascii="Times New Roman" w:eastAsia="Times New Roman" w:hAnsi="Times New Roman" w:cs="Times New Roman"/>
          <w:sz w:val="24"/>
          <w:szCs w:val="24"/>
        </w:rPr>
      </w:pPr>
    </w:p>
    <w:p w14:paraId="1402528A" w14:textId="77777777" w:rsidR="00EB2CB6" w:rsidRDefault="00EB2CB6">
      <w:pPr>
        <w:spacing w:line="360" w:lineRule="auto"/>
        <w:jc w:val="both"/>
        <w:rPr>
          <w:rFonts w:ascii="Times New Roman" w:eastAsia="Times New Roman" w:hAnsi="Times New Roman" w:cs="Times New Roman"/>
          <w:sz w:val="24"/>
          <w:szCs w:val="24"/>
        </w:rPr>
      </w:pPr>
    </w:p>
    <w:p w14:paraId="382533DA" w14:textId="77777777" w:rsidR="00EB2CB6" w:rsidRDefault="00EB2CB6">
      <w:pPr>
        <w:spacing w:line="360" w:lineRule="auto"/>
        <w:jc w:val="both"/>
        <w:rPr>
          <w:rFonts w:ascii="Times New Roman" w:eastAsia="Times New Roman" w:hAnsi="Times New Roman" w:cs="Times New Roman"/>
          <w:sz w:val="24"/>
          <w:szCs w:val="24"/>
        </w:rPr>
      </w:pPr>
    </w:p>
    <w:p w14:paraId="0643031F" w14:textId="77777777" w:rsidR="00EB2CB6" w:rsidRDefault="00EB2CB6">
      <w:pPr>
        <w:spacing w:line="360" w:lineRule="auto"/>
        <w:jc w:val="both"/>
        <w:rPr>
          <w:rFonts w:ascii="Times New Roman" w:eastAsia="Times New Roman" w:hAnsi="Times New Roman" w:cs="Times New Roman"/>
          <w:sz w:val="24"/>
          <w:szCs w:val="24"/>
        </w:rPr>
      </w:pPr>
    </w:p>
    <w:p w14:paraId="53DB7655" w14:textId="77777777" w:rsidR="00EB2CB6" w:rsidRDefault="000D734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Bibliography</w:t>
      </w:r>
    </w:p>
    <w:p w14:paraId="25576BF4" w14:textId="77777777" w:rsidR="00EB2CB6" w:rsidRDefault="00EB2CB6">
      <w:pPr>
        <w:spacing w:line="360" w:lineRule="auto"/>
        <w:jc w:val="both"/>
        <w:rPr>
          <w:rFonts w:ascii="Times New Roman" w:eastAsia="Times New Roman" w:hAnsi="Times New Roman" w:cs="Times New Roman"/>
          <w:b/>
          <w:sz w:val="24"/>
          <w:szCs w:val="24"/>
        </w:rPr>
      </w:pPr>
    </w:p>
    <w:p w14:paraId="25D537A6"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Hill, C., W., L., Jones, G., R., </w:t>
      </w:r>
      <w:proofErr w:type="gramStart"/>
      <w:r>
        <w:rPr>
          <w:rFonts w:ascii="Times New Roman" w:eastAsia="Times New Roman" w:hAnsi="Times New Roman" w:cs="Times New Roman"/>
          <w:sz w:val="24"/>
          <w:szCs w:val="24"/>
        </w:rPr>
        <w:t xml:space="preserve">2001,  </w:t>
      </w:r>
      <w:r>
        <w:rPr>
          <w:rFonts w:ascii="Times New Roman" w:eastAsia="Times New Roman" w:hAnsi="Times New Roman" w:cs="Times New Roman"/>
          <w:i/>
          <w:sz w:val="24"/>
          <w:szCs w:val="24"/>
        </w:rPr>
        <w:t>Strategic</w:t>
      </w:r>
      <w:proofErr w:type="gramEnd"/>
      <w:r>
        <w:rPr>
          <w:rFonts w:ascii="Times New Roman" w:eastAsia="Times New Roman" w:hAnsi="Times New Roman" w:cs="Times New Roman"/>
          <w:i/>
          <w:sz w:val="24"/>
          <w:szCs w:val="24"/>
        </w:rPr>
        <w:t xml:space="preserve"> Management – An Integrated Approach</w:t>
      </w:r>
      <w:r>
        <w:rPr>
          <w:rFonts w:ascii="Times New Roman" w:eastAsia="Times New Roman" w:hAnsi="Times New Roman" w:cs="Times New Roman"/>
          <w:sz w:val="24"/>
          <w:szCs w:val="24"/>
        </w:rPr>
        <w:t xml:space="preserve">, 5th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xml:space="preserve">, Houghton Mifflin Company, Boston. </w:t>
      </w:r>
    </w:p>
    <w:p w14:paraId="7FC4A422" w14:textId="77777777" w:rsidR="00EB2CB6" w:rsidRDefault="00EB2CB6">
      <w:pPr>
        <w:spacing w:line="360" w:lineRule="auto"/>
        <w:jc w:val="both"/>
        <w:rPr>
          <w:rFonts w:ascii="Times New Roman" w:eastAsia="Times New Roman" w:hAnsi="Times New Roman" w:cs="Times New Roman"/>
          <w:sz w:val="24"/>
          <w:szCs w:val="24"/>
        </w:rPr>
      </w:pPr>
    </w:p>
    <w:p w14:paraId="35D99B79"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Innovation, Science and Economic Development Canada, 2019, ‘Creating Middle Class Jobs: A Federal Tourism Growth Strategy’ </w:t>
      </w:r>
    </w:p>
    <w:p w14:paraId="782E32D1" w14:textId="77777777" w:rsidR="00EB2CB6" w:rsidRDefault="00EB2CB6">
      <w:pPr>
        <w:spacing w:line="360" w:lineRule="auto"/>
        <w:jc w:val="both"/>
        <w:rPr>
          <w:rFonts w:ascii="Times New Roman" w:eastAsia="Times New Roman" w:hAnsi="Times New Roman" w:cs="Times New Roman"/>
          <w:sz w:val="24"/>
          <w:szCs w:val="24"/>
        </w:rPr>
      </w:pPr>
    </w:p>
    <w:p w14:paraId="1F606F2B"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Inter-ministerial Council Meeting on Tourism France, 2019, National Tourism Strategy. </w:t>
      </w:r>
    </w:p>
    <w:p w14:paraId="5195862F" w14:textId="77777777" w:rsidR="00EB2CB6" w:rsidRDefault="00EB2CB6">
      <w:pPr>
        <w:spacing w:line="360" w:lineRule="auto"/>
        <w:rPr>
          <w:rFonts w:ascii="Times New Roman" w:eastAsia="Times New Roman" w:hAnsi="Times New Roman" w:cs="Times New Roman"/>
          <w:sz w:val="24"/>
          <w:szCs w:val="24"/>
        </w:rPr>
      </w:pPr>
    </w:p>
    <w:p w14:paraId="70499070"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Jiang, Y., Scott, N., &amp; Ritchie, B., 2018, ‘Crisis Management and Strategic Implications’ in L.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xml:space="preserve"> &amp; A. Vargas-Sanchez (eds), </w:t>
      </w:r>
      <w:r>
        <w:rPr>
          <w:rFonts w:ascii="Times New Roman" w:eastAsia="Times New Roman" w:hAnsi="Times New Roman" w:cs="Times New Roman"/>
          <w:i/>
          <w:sz w:val="24"/>
          <w:szCs w:val="24"/>
        </w:rPr>
        <w:t>Strategic Management in Tourism</w:t>
      </w:r>
      <w:r>
        <w:rPr>
          <w:rFonts w:ascii="Times New Roman" w:eastAsia="Times New Roman" w:hAnsi="Times New Roman" w:cs="Times New Roman"/>
          <w:sz w:val="24"/>
          <w:szCs w:val="24"/>
        </w:rPr>
        <w:t xml:space="preserve">, Bell and Bain Ltd, Glasgow, pp. 264- 278. </w:t>
      </w:r>
    </w:p>
    <w:p w14:paraId="513710F2" w14:textId="77777777" w:rsidR="00EB2CB6" w:rsidRDefault="00EB2CB6">
      <w:pPr>
        <w:spacing w:line="360" w:lineRule="auto"/>
        <w:rPr>
          <w:rFonts w:ascii="Times New Roman" w:eastAsia="Times New Roman" w:hAnsi="Times New Roman" w:cs="Times New Roman"/>
          <w:sz w:val="24"/>
          <w:szCs w:val="24"/>
        </w:rPr>
      </w:pPr>
    </w:p>
    <w:p w14:paraId="48920249"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Y., 2018, ‘Urban tourism: the perspective on tourism impacts in Cambridge, United Kingdom’, </w:t>
      </w:r>
      <w:r>
        <w:rPr>
          <w:rFonts w:ascii="Times New Roman" w:eastAsia="Times New Roman" w:hAnsi="Times New Roman" w:cs="Times New Roman"/>
          <w:i/>
          <w:sz w:val="24"/>
          <w:szCs w:val="24"/>
        </w:rPr>
        <w:t>Marketing and Management of Innovation</w:t>
      </w:r>
      <w:r>
        <w:rPr>
          <w:rFonts w:ascii="Times New Roman" w:eastAsia="Times New Roman" w:hAnsi="Times New Roman" w:cs="Times New Roman"/>
          <w:sz w:val="24"/>
          <w:szCs w:val="24"/>
        </w:rPr>
        <w:t xml:space="preserve">s. vol. 10, issue 3, pp. 268-275,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10.21272/mmi.2018.3-24.</w:t>
      </w:r>
    </w:p>
    <w:p w14:paraId="246E735A" w14:textId="77777777" w:rsidR="00EB2CB6" w:rsidRDefault="00EB2CB6">
      <w:pPr>
        <w:spacing w:line="360" w:lineRule="auto"/>
        <w:rPr>
          <w:rFonts w:ascii="Times New Roman" w:eastAsia="Times New Roman" w:hAnsi="Times New Roman" w:cs="Times New Roman"/>
          <w:sz w:val="24"/>
          <w:szCs w:val="24"/>
        </w:rPr>
      </w:pPr>
    </w:p>
    <w:p w14:paraId="3C4C0C74" w14:textId="77777777" w:rsidR="00EB2CB6" w:rsidRDefault="000D734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LaMondia</w:t>
      </w:r>
      <w:proofErr w:type="spellEnd"/>
      <w:r>
        <w:rPr>
          <w:rFonts w:ascii="Times New Roman" w:eastAsia="Times New Roman" w:hAnsi="Times New Roman" w:cs="Times New Roman"/>
          <w:sz w:val="24"/>
          <w:szCs w:val="24"/>
        </w:rPr>
        <w:t xml:space="preserve">, J. &amp; Bhat, C. , 2011, ‘A study of visitors' leisure travel behavior in the northwest territories of Canada’,  </w:t>
      </w:r>
      <w:r>
        <w:rPr>
          <w:rFonts w:ascii="Times New Roman" w:eastAsia="Times New Roman" w:hAnsi="Times New Roman" w:cs="Times New Roman"/>
          <w:i/>
          <w:sz w:val="24"/>
          <w:szCs w:val="24"/>
        </w:rPr>
        <w:t>Transportation Letters: The International Journal of Transportation Research</w:t>
      </w:r>
      <w:r>
        <w:rPr>
          <w:rFonts w:ascii="Times New Roman" w:eastAsia="Times New Roman" w:hAnsi="Times New Roman" w:cs="Times New Roman"/>
          <w:sz w:val="24"/>
          <w:szCs w:val="24"/>
        </w:rPr>
        <w:t xml:space="preserve">, vol. 3, no. 10, pp. 1-35,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xml:space="preserve">: 10.3328/TL.2011.03.01.1-19. </w:t>
      </w:r>
    </w:p>
    <w:p w14:paraId="4C867FED" w14:textId="77777777" w:rsidR="00EB2CB6" w:rsidRDefault="00EB2CB6">
      <w:pPr>
        <w:spacing w:line="360" w:lineRule="auto"/>
        <w:rPr>
          <w:rFonts w:ascii="Times New Roman" w:eastAsia="Times New Roman" w:hAnsi="Times New Roman" w:cs="Times New Roman"/>
          <w:sz w:val="24"/>
          <w:szCs w:val="24"/>
        </w:rPr>
      </w:pPr>
    </w:p>
    <w:p w14:paraId="5EE6935E" w14:textId="77777777" w:rsidR="00EB2CB6" w:rsidRDefault="000D7342">
      <w:pPr>
        <w:spacing w:line="360" w:lineRule="auto"/>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Lew, A., 2018, ‘Why travel? – travel, tourism, and global consciousness’, </w:t>
      </w:r>
      <w:r>
        <w:rPr>
          <w:rFonts w:ascii="Times New Roman" w:eastAsia="Times New Roman" w:hAnsi="Times New Roman" w:cs="Times New Roman"/>
          <w:i/>
          <w:sz w:val="24"/>
          <w:szCs w:val="24"/>
        </w:rPr>
        <w:t>Tourism Geographies</w:t>
      </w:r>
      <w:r>
        <w:rPr>
          <w:rFonts w:ascii="Times New Roman" w:eastAsia="Times New Roman" w:hAnsi="Times New Roman" w:cs="Times New Roman"/>
          <w:sz w:val="24"/>
          <w:szCs w:val="24"/>
        </w:rPr>
        <w:t xml:space="preserve">, vol. 20, no. 4, pp. 742-749,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10.1080/14616688.2018.1490343</w:t>
      </w:r>
    </w:p>
    <w:p w14:paraId="4EB0690B" w14:textId="77777777" w:rsidR="00EB2CB6" w:rsidRDefault="00EB2CB6">
      <w:pPr>
        <w:spacing w:line="360" w:lineRule="auto"/>
        <w:rPr>
          <w:rFonts w:ascii="Times New Roman" w:eastAsia="Times New Roman" w:hAnsi="Times New Roman" w:cs="Times New Roman"/>
          <w:color w:val="1155CC"/>
          <w:sz w:val="24"/>
          <w:szCs w:val="24"/>
          <w:u w:val="single"/>
        </w:rPr>
      </w:pPr>
    </w:p>
    <w:p w14:paraId="60BABA6A"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Maslow, A. H., 1954, </w:t>
      </w:r>
      <w:r>
        <w:rPr>
          <w:rFonts w:ascii="Times New Roman" w:eastAsia="Times New Roman" w:hAnsi="Times New Roman" w:cs="Times New Roman"/>
          <w:i/>
          <w:sz w:val="24"/>
          <w:szCs w:val="24"/>
        </w:rPr>
        <w:t>Motivation and Personality</w:t>
      </w:r>
      <w:r>
        <w:rPr>
          <w:rFonts w:ascii="Times New Roman" w:eastAsia="Times New Roman" w:hAnsi="Times New Roman" w:cs="Times New Roman"/>
          <w:sz w:val="24"/>
          <w:szCs w:val="24"/>
        </w:rPr>
        <w:t xml:space="preserve">, Harper and Row, New York. </w:t>
      </w:r>
    </w:p>
    <w:p w14:paraId="768E522A" w14:textId="77777777" w:rsidR="00EB2CB6" w:rsidRDefault="00EB2CB6">
      <w:pPr>
        <w:spacing w:line="360" w:lineRule="auto"/>
        <w:rPr>
          <w:rFonts w:ascii="Times New Roman" w:eastAsia="Times New Roman" w:hAnsi="Times New Roman" w:cs="Times New Roman"/>
          <w:sz w:val="24"/>
          <w:szCs w:val="24"/>
        </w:rPr>
      </w:pPr>
    </w:p>
    <w:p w14:paraId="4CF31768" w14:textId="77777777" w:rsidR="00EB2CB6" w:rsidRDefault="000D734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Plog</w:t>
      </w:r>
      <w:proofErr w:type="spellEnd"/>
      <w:r>
        <w:rPr>
          <w:rFonts w:ascii="Times New Roman" w:eastAsia="Times New Roman" w:hAnsi="Times New Roman" w:cs="Times New Roman"/>
          <w:sz w:val="24"/>
          <w:szCs w:val="24"/>
        </w:rPr>
        <w:t xml:space="preserve">, S.C., 1974, ‘Why destination areas rise and fall in popularity’, </w:t>
      </w:r>
      <w:r>
        <w:rPr>
          <w:rFonts w:ascii="Times New Roman" w:eastAsia="Times New Roman" w:hAnsi="Times New Roman" w:cs="Times New Roman"/>
          <w:i/>
          <w:sz w:val="24"/>
          <w:szCs w:val="24"/>
        </w:rPr>
        <w:t xml:space="preserve">The Cornell Hotel and Restaurant Administration Quarterly, </w:t>
      </w:r>
      <w:r>
        <w:rPr>
          <w:rFonts w:ascii="Times New Roman" w:eastAsia="Times New Roman" w:hAnsi="Times New Roman" w:cs="Times New Roman"/>
          <w:sz w:val="24"/>
          <w:szCs w:val="24"/>
        </w:rPr>
        <w:t>vol. 14, no. 4, pp. 55-58.</w:t>
      </w:r>
    </w:p>
    <w:p w14:paraId="24D5DE41"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Rate, S.,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xml:space="preserve">, L., &amp; Ballantyne, R., 2018, ‘The New Business Environment and trends in Tourism’, in L.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xml:space="preserve"> &amp; A. Vargas-Sanchez (eds), </w:t>
      </w:r>
      <w:r>
        <w:rPr>
          <w:rFonts w:ascii="Times New Roman" w:eastAsia="Times New Roman" w:hAnsi="Times New Roman" w:cs="Times New Roman"/>
          <w:i/>
          <w:sz w:val="24"/>
          <w:szCs w:val="24"/>
        </w:rPr>
        <w:t>Strategic Management in Tourism</w:t>
      </w:r>
      <w:r>
        <w:rPr>
          <w:rFonts w:ascii="Times New Roman" w:eastAsia="Times New Roman" w:hAnsi="Times New Roman" w:cs="Times New Roman"/>
          <w:sz w:val="24"/>
          <w:szCs w:val="24"/>
        </w:rPr>
        <w:t>, Bell and Bain Ltd, Glasgow, pp. 1-15.</w:t>
      </w:r>
    </w:p>
    <w:p w14:paraId="3BBC258D" w14:textId="77777777" w:rsidR="00EB2CB6" w:rsidRDefault="00EB2CB6">
      <w:pPr>
        <w:spacing w:line="360" w:lineRule="auto"/>
        <w:rPr>
          <w:rFonts w:ascii="Times New Roman" w:eastAsia="Times New Roman" w:hAnsi="Times New Roman" w:cs="Times New Roman"/>
          <w:sz w:val="24"/>
          <w:szCs w:val="24"/>
        </w:rPr>
      </w:pPr>
    </w:p>
    <w:p w14:paraId="3BF96611"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Raymond, C.,  </w:t>
      </w:r>
      <w:proofErr w:type="spellStart"/>
      <w:r>
        <w:rPr>
          <w:rFonts w:ascii="Times New Roman" w:eastAsia="Times New Roman" w:hAnsi="Times New Roman" w:cs="Times New Roman"/>
          <w:sz w:val="24"/>
          <w:szCs w:val="24"/>
        </w:rPr>
        <w:t>Kyttä</w:t>
      </w:r>
      <w:proofErr w:type="spellEnd"/>
      <w:r>
        <w:rPr>
          <w:rFonts w:ascii="Times New Roman" w:eastAsia="Times New Roman" w:hAnsi="Times New Roman" w:cs="Times New Roman"/>
          <w:sz w:val="24"/>
          <w:szCs w:val="24"/>
        </w:rPr>
        <w:t>, M., &amp; Stedman, R., 2017, ‘Sense of Place, Fast and Slow: The Potential Contributions of Affordance Theory to Sense of Place’,</w:t>
      </w:r>
      <w:r>
        <w:rPr>
          <w:rFonts w:ascii="Times New Roman" w:eastAsia="Times New Roman" w:hAnsi="Times New Roman" w:cs="Times New Roman"/>
          <w:i/>
          <w:sz w:val="24"/>
          <w:szCs w:val="24"/>
        </w:rPr>
        <w:t xml:space="preserve"> Frontiers in Psychology,</w:t>
      </w:r>
      <w:r>
        <w:rPr>
          <w:rFonts w:ascii="Times New Roman" w:eastAsia="Times New Roman" w:hAnsi="Times New Roman" w:cs="Times New Roman"/>
          <w:sz w:val="24"/>
          <w:szCs w:val="24"/>
        </w:rPr>
        <w:t xml:space="preserve"> vol. 8, article 1674, pp. 1-4, doi:10.3389/fpsyg.2017.01674</w:t>
      </w:r>
    </w:p>
    <w:p w14:paraId="69CD7DD4" w14:textId="77777777" w:rsidR="00EB2CB6" w:rsidRDefault="00EB2CB6">
      <w:pPr>
        <w:spacing w:line="360" w:lineRule="auto"/>
        <w:rPr>
          <w:rFonts w:ascii="Times New Roman" w:eastAsia="Times New Roman" w:hAnsi="Times New Roman" w:cs="Times New Roman"/>
          <w:sz w:val="24"/>
          <w:szCs w:val="24"/>
        </w:rPr>
      </w:pPr>
    </w:p>
    <w:p w14:paraId="0B611E30"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Secretary of State for Tourism, 2019, </w:t>
      </w:r>
      <w:r>
        <w:rPr>
          <w:rFonts w:ascii="Times New Roman" w:eastAsia="Times New Roman" w:hAnsi="Times New Roman" w:cs="Times New Roman"/>
          <w:i/>
          <w:sz w:val="24"/>
          <w:szCs w:val="24"/>
        </w:rPr>
        <w:t>General Guidelines of the Sustainable Tourism Strategy of Spain 2030</w:t>
      </w:r>
      <w:r>
        <w:rPr>
          <w:rFonts w:ascii="Times New Roman" w:eastAsia="Times New Roman" w:hAnsi="Times New Roman" w:cs="Times New Roman"/>
          <w:sz w:val="24"/>
          <w:szCs w:val="24"/>
        </w:rPr>
        <w:t xml:space="preserve">, trans. L. </w:t>
      </w:r>
      <w:proofErr w:type="spellStart"/>
      <w:r>
        <w:rPr>
          <w:rFonts w:ascii="Times New Roman" w:eastAsia="Times New Roman" w:hAnsi="Times New Roman" w:cs="Times New Roman"/>
          <w:sz w:val="24"/>
          <w:szCs w:val="24"/>
        </w:rPr>
        <w:t>Legarde</w:t>
      </w:r>
      <w:proofErr w:type="spellEnd"/>
      <w:r>
        <w:rPr>
          <w:rFonts w:ascii="Times New Roman" w:eastAsia="Times New Roman" w:hAnsi="Times New Roman" w:cs="Times New Roman"/>
          <w:sz w:val="24"/>
          <w:szCs w:val="24"/>
        </w:rPr>
        <w:t xml:space="preserve">. </w:t>
      </w:r>
    </w:p>
    <w:p w14:paraId="27CFC7B1" w14:textId="77777777" w:rsidR="00EB2CB6" w:rsidRDefault="00EB2CB6">
      <w:pPr>
        <w:spacing w:line="360" w:lineRule="auto"/>
        <w:rPr>
          <w:rFonts w:ascii="Times New Roman" w:eastAsia="Times New Roman" w:hAnsi="Times New Roman" w:cs="Times New Roman"/>
          <w:sz w:val="24"/>
          <w:szCs w:val="24"/>
        </w:rPr>
      </w:pPr>
    </w:p>
    <w:p w14:paraId="692CAA3D"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United Nations World Tourism Organization, 2019, International Tourism Highlights, 2019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&lt;https://www.e-unwto.org/doi/pdf/10.18111/9789284421152&gt;</w:t>
      </w:r>
    </w:p>
    <w:p w14:paraId="718BD74D" w14:textId="77777777" w:rsidR="00EB2CB6" w:rsidRDefault="00EB2CB6">
      <w:pPr>
        <w:spacing w:line="360" w:lineRule="auto"/>
        <w:rPr>
          <w:rFonts w:ascii="Times New Roman" w:eastAsia="Times New Roman" w:hAnsi="Times New Roman" w:cs="Times New Roman"/>
          <w:sz w:val="24"/>
          <w:szCs w:val="24"/>
        </w:rPr>
      </w:pPr>
    </w:p>
    <w:p w14:paraId="1CCF8974" w14:textId="77777777" w:rsidR="00EB2CB6" w:rsidRDefault="000D734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Vukotic</w:t>
      </w:r>
      <w:proofErr w:type="spellEnd"/>
      <w:r>
        <w:rPr>
          <w:rFonts w:ascii="Times New Roman" w:eastAsia="Times New Roman" w:hAnsi="Times New Roman" w:cs="Times New Roman"/>
          <w:sz w:val="24"/>
          <w:szCs w:val="24"/>
        </w:rPr>
        <w:t xml:space="preserve">, S. &amp; </w:t>
      </w:r>
      <w:proofErr w:type="spellStart"/>
      <w:r>
        <w:rPr>
          <w:rFonts w:ascii="Times New Roman" w:eastAsia="Times New Roman" w:hAnsi="Times New Roman" w:cs="Times New Roman"/>
          <w:sz w:val="24"/>
          <w:szCs w:val="24"/>
        </w:rPr>
        <w:t>Vojnović</w:t>
      </w:r>
      <w:proofErr w:type="spellEnd"/>
      <w:r>
        <w:rPr>
          <w:rFonts w:ascii="Times New Roman" w:eastAsia="Times New Roman" w:hAnsi="Times New Roman" w:cs="Times New Roman"/>
          <w:sz w:val="24"/>
          <w:szCs w:val="24"/>
        </w:rPr>
        <w:t xml:space="preserve">, B., 2016, </w:t>
      </w:r>
      <w:proofErr w:type="gramStart"/>
      <w:r>
        <w:rPr>
          <w:rFonts w:ascii="Times New Roman" w:eastAsia="Times New Roman" w:hAnsi="Times New Roman" w:cs="Times New Roman"/>
          <w:sz w:val="24"/>
          <w:szCs w:val="24"/>
        </w:rPr>
        <w:t>‘ The</w:t>
      </w:r>
      <w:proofErr w:type="gramEnd"/>
      <w:r>
        <w:rPr>
          <w:rFonts w:ascii="Times New Roman" w:eastAsia="Times New Roman" w:hAnsi="Times New Roman" w:cs="Times New Roman"/>
          <w:sz w:val="24"/>
          <w:szCs w:val="24"/>
        </w:rPr>
        <w:t xml:space="preserve"> role and importance of strategic plans in the development of tourism’, </w:t>
      </w:r>
      <w:r>
        <w:rPr>
          <w:rFonts w:ascii="Times New Roman" w:eastAsia="Times New Roman" w:hAnsi="Times New Roman" w:cs="Times New Roman"/>
          <w:i/>
          <w:sz w:val="24"/>
          <w:szCs w:val="24"/>
        </w:rPr>
        <w:t>Proceedings of the International Scientific Conference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Vrnjacka</w:t>
      </w:r>
      <w:proofErr w:type="spellEnd"/>
      <w:r>
        <w:rPr>
          <w:rFonts w:ascii="Times New Roman" w:eastAsia="Times New Roman" w:hAnsi="Times New Roman" w:cs="Times New Roman"/>
          <w:sz w:val="24"/>
          <w:szCs w:val="24"/>
        </w:rPr>
        <w:t xml:space="preserve">, </w:t>
      </w:r>
    </w:p>
    <w:p w14:paraId="60D8F0F1"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Banja, Serbia, pp. 118-</w:t>
      </w:r>
      <w:proofErr w:type="gramStart"/>
      <w:r>
        <w:rPr>
          <w:rFonts w:ascii="Times New Roman" w:eastAsia="Times New Roman" w:hAnsi="Times New Roman" w:cs="Times New Roman"/>
          <w:sz w:val="24"/>
          <w:szCs w:val="24"/>
        </w:rPr>
        <w:t>134 ,</w:t>
      </w:r>
      <w:proofErr w:type="gramEnd"/>
      <w:r>
        <w:rPr>
          <w:rFonts w:ascii="Times New Roman" w:eastAsia="Times New Roman" w:hAnsi="Times New Roman" w:cs="Times New Roman"/>
          <w:sz w:val="24"/>
          <w:szCs w:val="24"/>
        </w:rPr>
        <w:t xml:space="preserve"> &lt;https://www.researchgate.net/publication/333371427&gt;</w:t>
      </w:r>
    </w:p>
    <w:p w14:paraId="7DA04A87" w14:textId="77777777" w:rsidR="00EB2CB6" w:rsidRDefault="00EB2CB6">
      <w:pPr>
        <w:spacing w:line="360" w:lineRule="auto"/>
        <w:jc w:val="both"/>
        <w:rPr>
          <w:rFonts w:ascii="Times New Roman" w:eastAsia="Times New Roman" w:hAnsi="Times New Roman" w:cs="Times New Roman"/>
          <w:sz w:val="24"/>
          <w:szCs w:val="24"/>
        </w:rPr>
      </w:pPr>
    </w:p>
    <w:sectPr w:rsidR="00EB2CB6">
      <w:head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6EDE18" w14:textId="77777777" w:rsidR="0065334B" w:rsidRDefault="0065334B">
      <w:pPr>
        <w:spacing w:line="240" w:lineRule="auto"/>
      </w:pPr>
      <w:r>
        <w:separator/>
      </w:r>
    </w:p>
  </w:endnote>
  <w:endnote w:type="continuationSeparator" w:id="0">
    <w:p w14:paraId="70675E37" w14:textId="77777777" w:rsidR="0065334B" w:rsidRDefault="006533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E74594" w14:textId="77777777" w:rsidR="0065334B" w:rsidRDefault="0065334B">
      <w:pPr>
        <w:spacing w:line="240" w:lineRule="auto"/>
      </w:pPr>
      <w:r>
        <w:separator/>
      </w:r>
    </w:p>
  </w:footnote>
  <w:footnote w:type="continuationSeparator" w:id="0">
    <w:p w14:paraId="42F17B80" w14:textId="77777777" w:rsidR="0065334B" w:rsidRDefault="0065334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65B715" w14:textId="77777777" w:rsidR="00EB2CB6" w:rsidRDefault="000D7342">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79318D">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C06531"/>
    <w:multiLevelType w:val="multilevel"/>
    <w:tmpl w:val="96D2914E"/>
    <w:lvl w:ilvl="0">
      <w:start w:val="1"/>
      <w:numFmt w:val="decimal"/>
      <w:lvlText w:val="%1."/>
      <w:lvlJc w:val="left"/>
      <w:pPr>
        <w:ind w:left="36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8E8585B"/>
    <w:multiLevelType w:val="multilevel"/>
    <w:tmpl w:val="DA5803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CB6"/>
    <w:rsid w:val="000D7342"/>
    <w:rsid w:val="004C00E0"/>
    <w:rsid w:val="0065334B"/>
    <w:rsid w:val="0079318D"/>
    <w:rsid w:val="00EB2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C16E9"/>
  <w15:docId w15:val="{8248A50D-379B-422A-98F4-06C628FE4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C00E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00E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15</Pages>
  <Words>3042</Words>
  <Characters>17342</Characters>
  <Application>Microsoft Office Word</Application>
  <DocSecurity>0</DocSecurity>
  <Lines>144</Lines>
  <Paragraphs>40</Paragraphs>
  <ScaleCrop>false</ScaleCrop>
  <Company/>
  <LinksUpToDate>false</LinksUpToDate>
  <CharactersWithSpaces>20344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shahzia Ahmed</cp:lastModifiedBy>
  <cp:revision>3</cp:revision>
  <dcterms:created xsi:type="dcterms:W3CDTF">2020-07-30T11:48:00Z</dcterms:created>
  <dcterms:modified xsi:type="dcterms:W3CDTF">2020-07-30T12:02:00Z</dcterms:modified>
</cp:coreProperties>
</file>