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48"/>
          <w:szCs w:val="24"/>
        </w:rPr>
      </w:pPr>
    </w:p>
    <w:p w:rsidR="008D271A" w:rsidRPr="004A2443" w:rsidRDefault="008D271A" w:rsidP="00487BDD">
      <w:pPr>
        <w:rPr>
          <w:rFonts w:ascii="Times New Roman" w:hAnsi="Times New Roman" w:cs="Times New Roman"/>
          <w:b/>
          <w:bCs/>
          <w:sz w:val="48"/>
          <w:szCs w:val="24"/>
        </w:rPr>
      </w:pPr>
    </w:p>
    <w:p w:rsidR="008D271A" w:rsidRPr="004A2443" w:rsidRDefault="008D271A" w:rsidP="00487BDD">
      <w:pPr>
        <w:rPr>
          <w:rFonts w:ascii="Times New Roman" w:hAnsi="Times New Roman" w:cs="Times New Roman"/>
          <w:b/>
          <w:bCs/>
          <w:sz w:val="48"/>
          <w:szCs w:val="24"/>
        </w:rPr>
      </w:pPr>
    </w:p>
    <w:p w:rsidR="00487BDD" w:rsidRPr="004A2443" w:rsidRDefault="00487BDD" w:rsidP="00487BDD">
      <w:pPr>
        <w:rPr>
          <w:rFonts w:ascii="Times New Roman" w:hAnsi="Times New Roman" w:cs="Times New Roman"/>
          <w:b/>
          <w:bCs/>
          <w:sz w:val="48"/>
          <w:szCs w:val="24"/>
        </w:rPr>
      </w:pPr>
      <w:r w:rsidRPr="004A2443">
        <w:rPr>
          <w:rFonts w:ascii="Times New Roman" w:hAnsi="Times New Roman" w:cs="Times New Roman"/>
          <w:b/>
          <w:bCs/>
          <w:sz w:val="48"/>
          <w:szCs w:val="24"/>
        </w:rPr>
        <w:t>Title: Comparative Analysis of Human Resource Management Practices between India and the United Kingdom</w:t>
      </w: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Cs/>
          <w:color w:val="2E74B5" w:themeColor="accent1" w:themeShade="BF"/>
          <w:sz w:val="24"/>
          <w:szCs w:val="24"/>
        </w:rPr>
      </w:pPr>
      <w:r w:rsidRPr="004A2443">
        <w:rPr>
          <w:rFonts w:ascii="Times New Roman" w:hAnsi="Times New Roman" w:cs="Times New Roman"/>
          <w:b/>
          <w:bCs/>
          <w:color w:val="2E74B5" w:themeColor="accent1" w:themeShade="BF"/>
          <w:sz w:val="24"/>
          <w:szCs w:val="24"/>
        </w:rPr>
        <w:t>Abstract</w:t>
      </w:r>
    </w:p>
    <w:p w:rsidR="008D271A" w:rsidRPr="004A2443" w:rsidRDefault="008D271A" w:rsidP="008D271A">
      <w:pPr>
        <w:rPr>
          <w:rFonts w:ascii="Times New Roman" w:hAnsi="Times New Roman" w:cs="Times New Roman"/>
          <w:bCs/>
          <w:sz w:val="24"/>
          <w:szCs w:val="24"/>
        </w:rPr>
      </w:pPr>
      <w:r w:rsidRPr="004A2443">
        <w:rPr>
          <w:rFonts w:ascii="Times New Roman" w:hAnsi="Times New Roman" w:cs="Times New Roman"/>
          <w:bCs/>
          <w:sz w:val="24"/>
          <w:szCs w:val="24"/>
        </w:rPr>
        <w:t>The study provides a comprehensive comparative analysis of HRM practices in India and the United Kingdom, illuminating the nuanced complexities and key disparities prevalent in managing human capital within distinct cultural, economic, and regulatory contexts. Through an exploration of talent acquisition challenges, employee retention strategies, ethical considerations, institutional frameworks, and workplace cultural differences, this analysis reveals multifaceted insights into the dynamic HR landscapes of both countries.</w:t>
      </w:r>
    </w:p>
    <w:p w:rsidR="008D271A" w:rsidRPr="004A2443" w:rsidRDefault="008D271A" w:rsidP="008D271A">
      <w:pPr>
        <w:rPr>
          <w:rFonts w:ascii="Times New Roman" w:hAnsi="Times New Roman" w:cs="Times New Roman"/>
          <w:bCs/>
          <w:sz w:val="24"/>
          <w:szCs w:val="24"/>
        </w:rPr>
      </w:pPr>
      <w:r w:rsidRPr="004A2443">
        <w:rPr>
          <w:rFonts w:ascii="Times New Roman" w:hAnsi="Times New Roman" w:cs="Times New Roman"/>
          <w:bCs/>
          <w:sz w:val="24"/>
          <w:szCs w:val="24"/>
        </w:rPr>
        <w:t>India, renowned for its diverse cultural heritage and burgeoning economy, showcases unique challenges in talent acquisition due to its competitive job market and regional diversity. In contrast, the United Kingdom, driven by a mature economy, grapples with recruitment difficulties amidst Brexit-induced uncertainties and changing workforce preferences. The study uncovers diverse turnover rates and their implications, reflecting distinct HR strategies adopted to retain top talent in both countries.</w:t>
      </w:r>
    </w:p>
    <w:p w:rsidR="008D271A" w:rsidRPr="004A2443" w:rsidRDefault="008D271A" w:rsidP="008D271A">
      <w:pPr>
        <w:rPr>
          <w:rFonts w:ascii="Times New Roman" w:hAnsi="Times New Roman" w:cs="Times New Roman"/>
          <w:bCs/>
          <w:sz w:val="24"/>
          <w:szCs w:val="24"/>
        </w:rPr>
      </w:pPr>
      <w:r w:rsidRPr="004A2443">
        <w:rPr>
          <w:rFonts w:ascii="Times New Roman" w:hAnsi="Times New Roman" w:cs="Times New Roman"/>
          <w:bCs/>
          <w:sz w:val="24"/>
          <w:szCs w:val="24"/>
        </w:rPr>
        <w:t>Ethical dilemmas in HR practices, influenced by cultural differences, highlight the intricate balance between organizational objectives and employee welfare. The analysis underscores the impact of cultural nuances on ethical decision-making, emphasizing the need for aligning global ethical standards with cultural sensitivities.</w:t>
      </w:r>
    </w:p>
    <w:p w:rsidR="008D271A" w:rsidRPr="004A2443" w:rsidRDefault="008D271A" w:rsidP="008D271A">
      <w:pPr>
        <w:rPr>
          <w:rFonts w:ascii="Times New Roman" w:hAnsi="Times New Roman" w:cs="Times New Roman"/>
          <w:bCs/>
          <w:sz w:val="24"/>
          <w:szCs w:val="24"/>
        </w:rPr>
      </w:pPr>
      <w:r w:rsidRPr="004A2443">
        <w:rPr>
          <w:rFonts w:ascii="Times New Roman" w:hAnsi="Times New Roman" w:cs="Times New Roman"/>
          <w:bCs/>
          <w:sz w:val="24"/>
          <w:szCs w:val="24"/>
        </w:rPr>
        <w:t>Furthermore, the study delves into the institutional arrangements, showcasing India's complex labour laws and regulatory bodies, and contrasts them with the UK's more flexible employment regulations. Additionally, it explores workplace cultural differences and their influence on HR policies, demonstrating how India's hierarchical and relationship-oriented culture contrasts with the UK's more individualistic and innovation-driven approach.</w:t>
      </w:r>
    </w:p>
    <w:p w:rsidR="008D271A" w:rsidRPr="004A2443" w:rsidRDefault="008D271A" w:rsidP="008D271A">
      <w:pPr>
        <w:rPr>
          <w:rFonts w:ascii="Times New Roman" w:hAnsi="Times New Roman" w:cs="Times New Roman"/>
          <w:bCs/>
          <w:sz w:val="24"/>
          <w:szCs w:val="24"/>
        </w:rPr>
      </w:pPr>
      <w:r w:rsidRPr="004A2443">
        <w:rPr>
          <w:rFonts w:ascii="Times New Roman" w:hAnsi="Times New Roman" w:cs="Times New Roman"/>
          <w:bCs/>
          <w:sz w:val="24"/>
          <w:szCs w:val="24"/>
        </w:rPr>
        <w:t>In conclusion, the study advocates for contextually relevant HRM strategies tailored to the cultural, ethical, and institutional dynamics of India and the UK. The recommendations underscore the importance of fostering cultural sensitivity, adaptive HR policies, ethical compliance, and continuous assessment, offering a roadmap for multinational corporations to navigate and thrive within diverse HR landscapes.</w:t>
      </w: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p w:rsidR="008D271A" w:rsidRPr="004A2443" w:rsidRDefault="008D271A" w:rsidP="00487BDD">
      <w:pPr>
        <w:rPr>
          <w:rFonts w:ascii="Times New Roman" w:hAnsi="Times New Roman" w:cs="Times New Roman"/>
          <w:b/>
          <w:bCs/>
          <w:sz w:val="24"/>
          <w:szCs w:val="24"/>
        </w:rPr>
      </w:pPr>
    </w:p>
    <w:sdt>
      <w:sdtPr>
        <w:id w:val="8848338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D271A" w:rsidRPr="004A2443" w:rsidRDefault="008D271A">
          <w:pPr>
            <w:pStyle w:val="TOCHeading"/>
            <w:rPr>
              <w:rFonts w:ascii="Times New Roman" w:hAnsi="Times New Roman" w:cs="Times New Roman"/>
              <w:sz w:val="40"/>
              <w:szCs w:val="24"/>
            </w:rPr>
          </w:pPr>
          <w:r w:rsidRPr="004A2443">
            <w:rPr>
              <w:rFonts w:ascii="Times New Roman" w:hAnsi="Times New Roman" w:cs="Times New Roman"/>
              <w:sz w:val="40"/>
              <w:szCs w:val="24"/>
            </w:rPr>
            <w:t>Contents</w:t>
          </w:r>
        </w:p>
        <w:p w:rsidR="008D271A" w:rsidRPr="004A2443" w:rsidRDefault="008D271A">
          <w:pPr>
            <w:pStyle w:val="TOC1"/>
            <w:tabs>
              <w:tab w:val="right" w:leader="dot" w:pos="9016"/>
            </w:tabs>
            <w:rPr>
              <w:rFonts w:ascii="Times New Roman" w:hAnsi="Times New Roman" w:cs="Times New Roman"/>
              <w:noProof/>
              <w:sz w:val="24"/>
              <w:szCs w:val="24"/>
            </w:rPr>
          </w:pPr>
          <w:r w:rsidRPr="004A2443">
            <w:rPr>
              <w:rFonts w:ascii="Times New Roman" w:hAnsi="Times New Roman" w:cs="Times New Roman"/>
              <w:sz w:val="24"/>
              <w:szCs w:val="24"/>
            </w:rPr>
            <w:fldChar w:fldCharType="begin"/>
          </w:r>
          <w:r w:rsidRPr="004A2443">
            <w:rPr>
              <w:rFonts w:ascii="Times New Roman" w:hAnsi="Times New Roman" w:cs="Times New Roman"/>
              <w:sz w:val="24"/>
              <w:szCs w:val="24"/>
            </w:rPr>
            <w:instrText xml:space="preserve"> TOC \o "1-3" \h \z \u </w:instrText>
          </w:r>
          <w:r w:rsidRPr="004A2443">
            <w:rPr>
              <w:rFonts w:ascii="Times New Roman" w:hAnsi="Times New Roman" w:cs="Times New Roman"/>
              <w:sz w:val="24"/>
              <w:szCs w:val="24"/>
            </w:rPr>
            <w:fldChar w:fldCharType="separate"/>
          </w:r>
          <w:hyperlink w:anchor="_Toc153973847" w:history="1">
            <w:r w:rsidRPr="004A2443">
              <w:rPr>
                <w:rStyle w:val="Hyperlink"/>
                <w:rFonts w:ascii="Times New Roman" w:hAnsi="Times New Roman" w:cs="Times New Roman"/>
                <w:noProof/>
                <w:sz w:val="24"/>
                <w:szCs w:val="24"/>
              </w:rPr>
              <w:t>1. Introduction:</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_Toc153973847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4</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48" w:history="1">
            <w:r w:rsidRPr="004A2443">
              <w:rPr>
                <w:rStyle w:val="Hyperlink"/>
                <w:rFonts w:ascii="Times New Roman" w:hAnsi="Times New Roman" w:cs="Times New Roman"/>
                <w:noProof/>
                <w:sz w:val="24"/>
                <w:szCs w:val="24"/>
              </w:rPr>
              <w:t>Significance of Comparative Analysis in HRM Practices:</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_Toc153973848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4</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49" w:history="1">
            <w:r w:rsidRPr="004A2443">
              <w:rPr>
                <w:rStyle w:val="Hyperlink"/>
                <w:rFonts w:ascii="Times New Roman" w:hAnsi="Times New Roman" w:cs="Times New Roman"/>
                <w:bCs/>
                <w:noProof/>
                <w:sz w:val="24"/>
                <w:szCs w:val="24"/>
              </w:rPr>
              <w:t>Overview of India and the United Kingdom:</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_Toc153973849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4</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50" w:history="1">
            <w:r w:rsidRPr="004A2443">
              <w:rPr>
                <w:rStyle w:val="Hyperlink"/>
                <w:rFonts w:ascii="Times New Roman" w:hAnsi="Times New Roman" w:cs="Times New Roman"/>
                <w:bCs/>
                <w:noProof/>
                <w:sz w:val="24"/>
                <w:szCs w:val="24"/>
              </w:rPr>
              <w:t>Aim of the Assignment:</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_Toc153973850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5</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51" w:history="1">
            <w:r w:rsidRPr="004A2443">
              <w:rPr>
                <w:rStyle w:val="Hyperlink"/>
                <w:rFonts w:ascii="Times New Roman" w:hAnsi="Times New Roman" w:cs="Times New Roman"/>
                <w:bCs/>
                <w:noProof/>
                <w:sz w:val="24"/>
                <w:szCs w:val="24"/>
              </w:rPr>
              <w:t>Structure of the Assignment:</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_Toc153973851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5</w:t>
            </w:r>
            <w:r w:rsidRPr="004A2443">
              <w:rPr>
                <w:rFonts w:ascii="Times New Roman" w:hAnsi="Times New Roman" w:cs="Times New Roman"/>
                <w:noProof/>
                <w:webHidden/>
                <w:sz w:val="24"/>
                <w:szCs w:val="24"/>
              </w:rPr>
              <w:fldChar w:fldCharType="end"/>
            </w:r>
          </w:hyperlink>
        </w:p>
        <w:p w:rsidR="008D271A" w:rsidRPr="004A2443" w:rsidRDefault="008D271A">
          <w:pPr>
            <w:pStyle w:val="TOC1"/>
            <w:tabs>
              <w:tab w:val="right" w:leader="dot" w:pos="9016"/>
            </w:tabs>
            <w:rPr>
              <w:rFonts w:ascii="Times New Roman" w:hAnsi="Times New Roman" w:cs="Times New Roman"/>
              <w:noProof/>
              <w:sz w:val="24"/>
              <w:szCs w:val="24"/>
            </w:rPr>
          </w:pPr>
          <w:hyperlink w:anchor="_Toc153973852" w:history="1">
            <w:r w:rsidRPr="004A2443">
              <w:rPr>
                <w:rStyle w:val="Hyperlink"/>
                <w:rFonts w:ascii="Times New Roman" w:hAnsi="Times New Roman" w:cs="Times New Roman"/>
                <w:noProof/>
                <w:sz w:val="24"/>
                <w:szCs w:val="24"/>
              </w:rPr>
              <w:t>2. Contemporary and Ethical Issues in International HRM:</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_Toc153973852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5</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53" w:history="1">
            <w:r w:rsidRPr="004A2443">
              <w:rPr>
                <w:rStyle w:val="Hyperlink"/>
                <w:rFonts w:ascii="Times New Roman" w:hAnsi="Times New Roman" w:cs="Times New Roman"/>
                <w:bCs/>
                <w:noProof/>
                <w:sz w:val="24"/>
                <w:szCs w:val="24"/>
              </w:rPr>
              <w:t>Talent Acquisition Challenges:</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_Toc153973853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5</w:t>
            </w:r>
            <w:r w:rsidRPr="004A2443">
              <w:rPr>
                <w:rFonts w:ascii="Times New Roman" w:hAnsi="Times New Roman" w:cs="Times New Roman"/>
                <w:noProof/>
                <w:webHidden/>
                <w:sz w:val="24"/>
                <w:szCs w:val="24"/>
              </w:rPr>
              <w:fldChar w:fldCharType="end"/>
            </w:r>
          </w:hyperlink>
        </w:p>
        <w:p w:rsidR="008D271A" w:rsidRPr="004A2443" w:rsidRDefault="008D271A">
          <w:pPr>
            <w:pStyle w:val="TOC1"/>
            <w:tabs>
              <w:tab w:val="right" w:leader="dot" w:pos="9016"/>
            </w:tabs>
            <w:rPr>
              <w:rFonts w:ascii="Times New Roman" w:hAnsi="Times New Roman" w:cs="Times New Roman"/>
              <w:noProof/>
              <w:sz w:val="24"/>
              <w:szCs w:val="24"/>
            </w:rPr>
          </w:pPr>
          <w:hyperlink w:anchor="_Toc153973854" w:history="1">
            <w:r w:rsidRPr="004A2443">
              <w:rPr>
                <w:rStyle w:val="Hyperlink"/>
                <w:rFonts w:ascii="Times New Roman" w:hAnsi="Times New Roman" w:cs="Times New Roman"/>
                <w:bCs/>
                <w:noProof/>
                <w:sz w:val="24"/>
                <w:szCs w:val="24"/>
              </w:rPr>
              <w:t>Turnover Rates and Their Impact on HR Strategies:</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_Toc153973854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6</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55" w:history="1">
            <w:r w:rsidRPr="004A2443">
              <w:rPr>
                <w:rStyle w:val="Hyperlink"/>
                <w:rFonts w:ascii="Times New Roman" w:hAnsi="Times New Roman" w:cs="Times New Roman"/>
                <w:bCs/>
                <w:noProof/>
                <w:sz w:val="24"/>
                <w:szCs w:val="24"/>
              </w:rPr>
              <w:t>Employee Retention Strategies - Comparative Analysis of Retention Methods and Effectiveness:</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_Toc153973855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7</w:t>
            </w:r>
            <w:r w:rsidRPr="004A2443">
              <w:rPr>
                <w:rFonts w:ascii="Times New Roman" w:hAnsi="Times New Roman" w:cs="Times New Roman"/>
                <w:noProof/>
                <w:webHidden/>
                <w:sz w:val="24"/>
                <w:szCs w:val="24"/>
              </w:rPr>
              <w:fldChar w:fldCharType="end"/>
            </w:r>
          </w:hyperlink>
        </w:p>
        <w:p w:rsidR="008D271A" w:rsidRPr="004A2443" w:rsidRDefault="008D271A">
          <w:pPr>
            <w:pStyle w:val="TOC1"/>
            <w:tabs>
              <w:tab w:val="right" w:leader="dot" w:pos="9016"/>
            </w:tabs>
            <w:rPr>
              <w:rFonts w:ascii="Times New Roman" w:hAnsi="Times New Roman" w:cs="Times New Roman"/>
              <w:noProof/>
              <w:sz w:val="24"/>
              <w:szCs w:val="24"/>
            </w:rPr>
          </w:pPr>
          <w:hyperlink w:anchor="_Toc153973856" w:history="1">
            <w:r w:rsidRPr="004A2443">
              <w:rPr>
                <w:rStyle w:val="Hyperlink"/>
                <w:rFonts w:ascii="Times New Roman" w:hAnsi="Times New Roman" w:cs="Times New Roman"/>
                <w:noProof/>
                <w:sz w:val="24"/>
                <w:szCs w:val="24"/>
              </w:rPr>
              <w:t>3. Institutional Arrangements in India and the United Kingdom:</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_Toc153973856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10</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57" w:history="1">
            <w:r w:rsidRPr="004A2443">
              <w:rPr>
                <w:rStyle w:val="Hyperlink"/>
                <w:rFonts w:ascii="Times New Roman" w:hAnsi="Times New Roman" w:cs="Times New Roman"/>
                <w:bCs/>
                <w:noProof/>
                <w:sz w:val="24"/>
                <w:szCs w:val="24"/>
              </w:rPr>
              <w:t>Indian Institutional Framework:</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_Toc153973857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10</w:t>
            </w:r>
            <w:r w:rsidRPr="004A2443">
              <w:rPr>
                <w:rFonts w:ascii="Times New Roman" w:hAnsi="Times New Roman" w:cs="Times New Roman"/>
                <w:noProof/>
                <w:webHidden/>
                <w:sz w:val="24"/>
                <w:szCs w:val="24"/>
              </w:rPr>
              <w:fldChar w:fldCharType="end"/>
            </w:r>
          </w:hyperlink>
        </w:p>
        <w:p w:rsidR="008D271A" w:rsidRPr="004A2443" w:rsidRDefault="008D271A">
          <w:pPr>
            <w:pStyle w:val="TOC2"/>
            <w:tabs>
              <w:tab w:val="right" w:leader="dot" w:pos="9016"/>
            </w:tabs>
            <w:rPr>
              <w:rFonts w:ascii="Times New Roman" w:hAnsi="Times New Roman" w:cs="Times New Roman"/>
              <w:noProof/>
              <w:sz w:val="24"/>
              <w:szCs w:val="24"/>
            </w:rPr>
          </w:pPr>
          <w:hyperlink w:anchor="_Toc153973858" w:history="1">
            <w:r w:rsidRPr="004A2443">
              <w:rPr>
                <w:rStyle w:val="Hyperlink"/>
                <w:rFonts w:ascii="Times New Roman" w:hAnsi="Times New Roman" w:cs="Times New Roman"/>
                <w:bCs/>
                <w:noProof/>
                <w:sz w:val="24"/>
                <w:szCs w:val="24"/>
              </w:rPr>
              <w:t>UK Institutional Framework:</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_Toc153973858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12</w:t>
            </w:r>
            <w:r w:rsidRPr="004A2443">
              <w:rPr>
                <w:rFonts w:ascii="Times New Roman" w:hAnsi="Times New Roman" w:cs="Times New Roman"/>
                <w:noProof/>
                <w:webHidden/>
                <w:sz w:val="24"/>
                <w:szCs w:val="24"/>
              </w:rPr>
              <w:fldChar w:fldCharType="end"/>
            </w:r>
          </w:hyperlink>
        </w:p>
        <w:p w:rsidR="008D271A" w:rsidRPr="004A2443" w:rsidRDefault="008D271A">
          <w:pPr>
            <w:pStyle w:val="TOC1"/>
            <w:tabs>
              <w:tab w:val="right" w:leader="dot" w:pos="9016"/>
            </w:tabs>
            <w:rPr>
              <w:rFonts w:ascii="Times New Roman" w:hAnsi="Times New Roman" w:cs="Times New Roman"/>
              <w:noProof/>
              <w:sz w:val="24"/>
              <w:szCs w:val="24"/>
            </w:rPr>
          </w:pPr>
          <w:hyperlink w:anchor="_Toc153973859" w:history="1">
            <w:r w:rsidRPr="004A2443">
              <w:rPr>
                <w:rStyle w:val="Hyperlink"/>
                <w:rFonts w:ascii="Times New Roman" w:hAnsi="Times New Roman" w:cs="Times New Roman"/>
                <w:bCs/>
                <w:noProof/>
                <w:sz w:val="24"/>
                <w:szCs w:val="24"/>
              </w:rPr>
              <w:t>Conclusion</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_Toc153973859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16</w:t>
            </w:r>
            <w:r w:rsidRPr="004A2443">
              <w:rPr>
                <w:rFonts w:ascii="Times New Roman" w:hAnsi="Times New Roman" w:cs="Times New Roman"/>
                <w:noProof/>
                <w:webHidden/>
                <w:sz w:val="24"/>
                <w:szCs w:val="24"/>
              </w:rPr>
              <w:fldChar w:fldCharType="end"/>
            </w:r>
          </w:hyperlink>
        </w:p>
        <w:p w:rsidR="008D271A" w:rsidRPr="004A2443" w:rsidRDefault="008D271A">
          <w:pPr>
            <w:pStyle w:val="TOC1"/>
            <w:tabs>
              <w:tab w:val="right" w:leader="dot" w:pos="9016"/>
            </w:tabs>
            <w:rPr>
              <w:rFonts w:ascii="Times New Roman" w:hAnsi="Times New Roman" w:cs="Times New Roman"/>
              <w:noProof/>
              <w:sz w:val="24"/>
              <w:szCs w:val="24"/>
            </w:rPr>
          </w:pPr>
          <w:hyperlink w:anchor="_Toc153973860" w:history="1">
            <w:r w:rsidRPr="004A2443">
              <w:rPr>
                <w:rStyle w:val="Hyperlink"/>
                <w:rFonts w:ascii="Times New Roman" w:hAnsi="Times New Roman" w:cs="Times New Roman"/>
                <w:bCs/>
                <w:noProof/>
                <w:sz w:val="24"/>
                <w:szCs w:val="24"/>
              </w:rPr>
              <w:t>Recommendations for Navigating HRM in Diverse Landscapes:</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_Toc153973860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17</w:t>
            </w:r>
            <w:r w:rsidRPr="004A2443">
              <w:rPr>
                <w:rFonts w:ascii="Times New Roman" w:hAnsi="Times New Roman" w:cs="Times New Roman"/>
                <w:noProof/>
                <w:webHidden/>
                <w:sz w:val="24"/>
                <w:szCs w:val="24"/>
              </w:rPr>
              <w:fldChar w:fldCharType="end"/>
            </w:r>
          </w:hyperlink>
        </w:p>
        <w:p w:rsidR="008D271A" w:rsidRPr="004A2443" w:rsidRDefault="008D271A">
          <w:pPr>
            <w:pStyle w:val="TOC1"/>
            <w:tabs>
              <w:tab w:val="right" w:leader="dot" w:pos="9016"/>
            </w:tabs>
            <w:rPr>
              <w:rFonts w:ascii="Times New Roman" w:hAnsi="Times New Roman" w:cs="Times New Roman"/>
              <w:noProof/>
              <w:sz w:val="24"/>
              <w:szCs w:val="24"/>
            </w:rPr>
          </w:pPr>
          <w:hyperlink w:anchor="_Toc153973861" w:history="1">
            <w:r w:rsidRPr="004A2443">
              <w:rPr>
                <w:rStyle w:val="Hyperlink"/>
                <w:rFonts w:ascii="Times New Roman" w:hAnsi="Times New Roman" w:cs="Times New Roman"/>
                <w:bCs/>
                <w:noProof/>
                <w:sz w:val="24"/>
                <w:szCs w:val="24"/>
              </w:rPr>
              <w:t>References:</w:t>
            </w:r>
            <w:r w:rsidRPr="004A2443">
              <w:rPr>
                <w:rFonts w:ascii="Times New Roman" w:hAnsi="Times New Roman" w:cs="Times New Roman"/>
                <w:noProof/>
                <w:webHidden/>
                <w:sz w:val="24"/>
                <w:szCs w:val="24"/>
              </w:rPr>
              <w:tab/>
            </w:r>
            <w:r w:rsidRPr="004A2443">
              <w:rPr>
                <w:rFonts w:ascii="Times New Roman" w:hAnsi="Times New Roman" w:cs="Times New Roman"/>
                <w:noProof/>
                <w:webHidden/>
                <w:sz w:val="24"/>
                <w:szCs w:val="24"/>
              </w:rPr>
              <w:fldChar w:fldCharType="begin"/>
            </w:r>
            <w:r w:rsidRPr="004A2443">
              <w:rPr>
                <w:rFonts w:ascii="Times New Roman" w:hAnsi="Times New Roman" w:cs="Times New Roman"/>
                <w:noProof/>
                <w:webHidden/>
                <w:sz w:val="24"/>
                <w:szCs w:val="24"/>
              </w:rPr>
              <w:instrText xml:space="preserve"> PAGEREF _Toc153973861 \h </w:instrText>
            </w:r>
            <w:r w:rsidRPr="004A2443">
              <w:rPr>
                <w:rFonts w:ascii="Times New Roman" w:hAnsi="Times New Roman" w:cs="Times New Roman"/>
                <w:noProof/>
                <w:webHidden/>
                <w:sz w:val="24"/>
                <w:szCs w:val="24"/>
              </w:rPr>
            </w:r>
            <w:r w:rsidRPr="004A2443">
              <w:rPr>
                <w:rFonts w:ascii="Times New Roman" w:hAnsi="Times New Roman" w:cs="Times New Roman"/>
                <w:noProof/>
                <w:webHidden/>
                <w:sz w:val="24"/>
                <w:szCs w:val="24"/>
              </w:rPr>
              <w:fldChar w:fldCharType="separate"/>
            </w:r>
            <w:r w:rsidRPr="004A2443">
              <w:rPr>
                <w:rFonts w:ascii="Times New Roman" w:hAnsi="Times New Roman" w:cs="Times New Roman"/>
                <w:noProof/>
                <w:webHidden/>
                <w:sz w:val="24"/>
                <w:szCs w:val="24"/>
              </w:rPr>
              <w:t>18</w:t>
            </w:r>
            <w:r w:rsidRPr="004A2443">
              <w:rPr>
                <w:rFonts w:ascii="Times New Roman" w:hAnsi="Times New Roman" w:cs="Times New Roman"/>
                <w:noProof/>
                <w:webHidden/>
                <w:sz w:val="24"/>
                <w:szCs w:val="24"/>
              </w:rPr>
              <w:fldChar w:fldCharType="end"/>
            </w:r>
          </w:hyperlink>
        </w:p>
        <w:p w:rsidR="008D271A" w:rsidRPr="004A2443" w:rsidRDefault="008D271A">
          <w:r w:rsidRPr="004A2443">
            <w:rPr>
              <w:rFonts w:ascii="Times New Roman" w:hAnsi="Times New Roman" w:cs="Times New Roman"/>
              <w:b/>
              <w:bCs/>
              <w:noProof/>
              <w:sz w:val="24"/>
              <w:szCs w:val="24"/>
            </w:rPr>
            <w:fldChar w:fldCharType="end"/>
          </w:r>
        </w:p>
      </w:sdtContent>
    </w:sdt>
    <w:p w:rsidR="00487BDD" w:rsidRPr="004A2443" w:rsidRDefault="00487BDD"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sz w:val="24"/>
          <w:szCs w:val="24"/>
        </w:rPr>
      </w:pPr>
    </w:p>
    <w:p w:rsidR="008D271A" w:rsidRPr="004A2443" w:rsidRDefault="008D271A" w:rsidP="00487BDD">
      <w:pPr>
        <w:rPr>
          <w:rFonts w:ascii="Times New Roman" w:hAnsi="Times New Roman" w:cs="Times New Roman"/>
          <w:color w:val="000000" w:themeColor="text1"/>
          <w:sz w:val="24"/>
          <w:szCs w:val="24"/>
        </w:rPr>
      </w:pPr>
    </w:p>
    <w:p w:rsidR="008D271A" w:rsidRPr="004A2443" w:rsidRDefault="0001312C" w:rsidP="008D271A">
      <w:pPr>
        <w:pStyle w:val="Heading1"/>
        <w:rPr>
          <w:rFonts w:ascii="Times New Roman" w:hAnsi="Times New Roman" w:cs="Times New Roman"/>
          <w:sz w:val="24"/>
          <w:szCs w:val="24"/>
        </w:rPr>
      </w:pPr>
      <w:bookmarkStart w:id="0" w:name="_Toc153973847"/>
      <w:r w:rsidRPr="004A2443">
        <w:rPr>
          <w:rFonts w:ascii="Times New Roman" w:hAnsi="Times New Roman" w:cs="Times New Roman"/>
          <w:sz w:val="24"/>
          <w:szCs w:val="24"/>
        </w:rPr>
        <w:t xml:space="preserve">1. </w:t>
      </w:r>
      <w:r w:rsidR="00487BDD" w:rsidRPr="004A2443">
        <w:rPr>
          <w:rFonts w:ascii="Times New Roman" w:hAnsi="Times New Roman" w:cs="Times New Roman"/>
          <w:sz w:val="24"/>
          <w:szCs w:val="24"/>
        </w:rPr>
        <w:t>Introduction:</w:t>
      </w:r>
      <w:bookmarkEnd w:id="0"/>
    </w:p>
    <w:p w:rsidR="008D271A" w:rsidRPr="004A2443" w:rsidRDefault="008D271A" w:rsidP="008D271A">
      <w:pPr>
        <w:rPr>
          <w:color w:val="000000" w:themeColor="text1"/>
        </w:rPr>
      </w:pP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realm of Human Resource Management (HRM) is an intricate tapestry woven with various approaches aimed at effectively managing employees within a spectrum of cultural, economic, and regulatory landscapes. This assignment stands as a comparative lens focusing on the HRM practices prevalent in two culturally distinct yet economically significant nations – India and the United Kingdom. Its primary purpose is to illuminate the imperative nature of comparative analysis in HRM and to foster a comprehensive understanding of the nuanced differences and convergences in HRM functionality within these two distinctive countries.</w:t>
      </w:r>
    </w:p>
    <w:p w:rsidR="00487BDD" w:rsidRPr="004A2443" w:rsidRDefault="00487BDD" w:rsidP="0001312C">
      <w:pPr>
        <w:pStyle w:val="Heading2"/>
        <w:rPr>
          <w:rFonts w:ascii="Times New Roman" w:hAnsi="Times New Roman" w:cs="Times New Roman"/>
          <w:b/>
          <w:color w:val="000000" w:themeColor="text1"/>
          <w:sz w:val="24"/>
          <w:szCs w:val="24"/>
        </w:rPr>
      </w:pPr>
      <w:bookmarkStart w:id="1" w:name="_Toc153973848"/>
      <w:r w:rsidRPr="004A2443">
        <w:rPr>
          <w:rFonts w:ascii="Times New Roman" w:hAnsi="Times New Roman" w:cs="Times New Roman"/>
          <w:b/>
          <w:color w:val="000000" w:themeColor="text1"/>
          <w:sz w:val="24"/>
          <w:szCs w:val="24"/>
        </w:rPr>
        <w:t>Significance of Comparative Analysis in HRM Practices:</w:t>
      </w:r>
      <w:bookmarkEnd w:id="1"/>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Comparative analysis within the sphere of HRM serves as a formidable tool, capable of not only recognizing but comprehensively grasping and leveraging the subtleties and divergences inherent in managing human capital across diverse global settings (Budhwar &amp; Debrah, 2013). This analytical approach, acknowledged by scholars in the field, plays a pivotal role in identifying best practices while simultaneously aiding in acknowledging and addressing the challenges that are inherently unique to varying cultural and regulatory environments (Sparrow &amp; Brewster, 2016). The intent of this assignment is to meticulously uncover the intricacies of HRM practices, thereby offering invaluable insights that can be effectively harnessed by organizations navigating the multifaceted terrains of global operations.</w:t>
      </w:r>
    </w:p>
    <w:p w:rsidR="00487BDD" w:rsidRPr="004A2443" w:rsidRDefault="00487BDD" w:rsidP="0001312C">
      <w:pPr>
        <w:pStyle w:val="Heading2"/>
        <w:rPr>
          <w:rFonts w:ascii="Times New Roman" w:hAnsi="Times New Roman" w:cs="Times New Roman"/>
          <w:b/>
          <w:bCs/>
          <w:sz w:val="24"/>
          <w:szCs w:val="24"/>
        </w:rPr>
      </w:pPr>
      <w:bookmarkStart w:id="2" w:name="_Toc153973849"/>
      <w:r w:rsidRPr="004A2443">
        <w:rPr>
          <w:rFonts w:ascii="Times New Roman" w:hAnsi="Times New Roman" w:cs="Times New Roman"/>
          <w:b/>
          <w:bCs/>
          <w:sz w:val="24"/>
          <w:szCs w:val="24"/>
        </w:rPr>
        <w:t>Overview of India and the United Kingdom:</w:t>
      </w:r>
      <w:bookmarkEnd w:id="2"/>
    </w:p>
    <w:p w:rsidR="008D271A" w:rsidRPr="004A2443" w:rsidRDefault="008D271A" w:rsidP="008D271A">
      <w:pPr>
        <w:rPr>
          <w:color w:val="2E74B5" w:themeColor="accent1" w:themeShade="BF"/>
        </w:rPr>
      </w:pP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India:</w:t>
      </w:r>
      <w:r w:rsidRPr="004A2443">
        <w:rPr>
          <w:rFonts w:ascii="Times New Roman" w:hAnsi="Times New Roman" w:cs="Times New Roman"/>
          <w:color w:val="000000" w:themeColor="text1"/>
          <w:sz w:val="24"/>
          <w:szCs w:val="24"/>
        </w:rPr>
        <w:t xml:space="preserve"> India, a kaleidoscope of cultures, stands as a vibrant and diverse nation, celebrated for its rich cultural heritage and economic dynamism (Bhattacharyya, 2019). The economy of India is a harmonious blend of traditional practices and cutting-edge industries, prominently featuring Information Technology, Manufacturing, and Services as its pillars of growth and innovation (Singh &amp; Sharma, 2020). Its cultural fabric is a tapestry woven with a myriad of languages, traditions, and work ethics, fostering a remarkably diverse yet cohesive societal framework (Khan &amp; Rathore, 2018). India's regulatory landscape is characterized by a complex interplay of federal and state regulations, exerting a substantial influence on HRM strategies, recruitment policies, and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practices (Mamoria &amp; Gankar, 2017). This blend of traditional values and modern practices in India significantly shapes the approach to human resource management within the country.</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United Kingdom:</w:t>
      </w:r>
      <w:r w:rsidRPr="004A2443">
        <w:rPr>
          <w:rFonts w:ascii="Times New Roman" w:hAnsi="Times New Roman" w:cs="Times New Roman"/>
          <w:color w:val="000000" w:themeColor="text1"/>
          <w:sz w:val="24"/>
          <w:szCs w:val="24"/>
        </w:rPr>
        <w:t xml:space="preserve"> The United Kingdom, comprising England, Scotland, Wales, and Northern Ireland, proudly hosts a mature and diverse economy, propelled by robust sectors such as financial services, technology, healthcare, and manufacturing (Purcell et al., 2014). Its cultural landscape mirrors a harmonious blend of tradition and innovation, epitomizing a diverse workforce shaped by multiculturalism and the forces of globalization (Dickmann et al., 2016). The regulatory framework in the UK is distinguished by stringent employment laws, collective bargaining agreements, and the presence of robust regulatory bodies, wielding significant influence over HRM practices, employee relations, and organizational </w:t>
      </w:r>
      <w:r w:rsidR="008D271A" w:rsidRPr="004A2443">
        <w:rPr>
          <w:rFonts w:ascii="Times New Roman" w:hAnsi="Times New Roman" w:cs="Times New Roman"/>
          <w:color w:val="000000" w:themeColor="text1"/>
          <w:sz w:val="24"/>
          <w:szCs w:val="24"/>
        </w:rPr>
        <w:t>behaviour</w:t>
      </w:r>
      <w:r w:rsidRPr="004A2443">
        <w:rPr>
          <w:rFonts w:ascii="Times New Roman" w:hAnsi="Times New Roman" w:cs="Times New Roman"/>
          <w:color w:val="000000" w:themeColor="text1"/>
          <w:sz w:val="24"/>
          <w:szCs w:val="24"/>
        </w:rPr>
        <w:t xml:space="preserve"> within the country (Armstrong, 2020). This unique amalgamation of tradition and </w:t>
      </w:r>
      <w:r w:rsidRPr="004A2443">
        <w:rPr>
          <w:rFonts w:ascii="Times New Roman" w:hAnsi="Times New Roman" w:cs="Times New Roman"/>
          <w:color w:val="000000" w:themeColor="text1"/>
          <w:sz w:val="24"/>
          <w:szCs w:val="24"/>
        </w:rPr>
        <w:lastRenderedPageBreak/>
        <w:t>innovation significantly molds the HRM strategies and practices adopted by organizations operating in the UK.</w:t>
      </w:r>
    </w:p>
    <w:p w:rsidR="0001312C" w:rsidRPr="004A2443" w:rsidRDefault="00487BDD" w:rsidP="0001312C">
      <w:pPr>
        <w:pStyle w:val="Heading2"/>
        <w:rPr>
          <w:rFonts w:ascii="Times New Roman" w:hAnsi="Times New Roman" w:cs="Times New Roman"/>
          <w:b/>
          <w:color w:val="000000" w:themeColor="text1"/>
          <w:sz w:val="24"/>
          <w:szCs w:val="24"/>
        </w:rPr>
      </w:pPr>
      <w:bookmarkStart w:id="3" w:name="_Toc153973850"/>
      <w:r w:rsidRPr="004A2443">
        <w:rPr>
          <w:rFonts w:ascii="Times New Roman" w:hAnsi="Times New Roman" w:cs="Times New Roman"/>
          <w:b/>
          <w:bCs/>
          <w:color w:val="000000" w:themeColor="text1"/>
          <w:sz w:val="24"/>
          <w:szCs w:val="24"/>
        </w:rPr>
        <w:t>Aim of the Assignment:</w:t>
      </w:r>
      <w:bookmarkEnd w:id="3"/>
      <w:r w:rsidRPr="004A2443">
        <w:rPr>
          <w:rFonts w:ascii="Times New Roman" w:hAnsi="Times New Roman" w:cs="Times New Roman"/>
          <w:b/>
          <w:color w:val="000000" w:themeColor="text1"/>
          <w:sz w:val="24"/>
          <w:szCs w:val="24"/>
        </w:rPr>
        <w:t xml:space="preserve"> </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This assignment serves as a comprehensive exploration aiming to conduct an in-depth comparative analysis of Human Resource Management (HRM) practices between India and the United Kingdom. The primary objective is to scrutinize, contrast, and evaluate the intricacies of HRM strategies and their execution within these two distinct countries.</w:t>
      </w:r>
    </w:p>
    <w:p w:rsidR="0001312C" w:rsidRPr="004A2443" w:rsidRDefault="00487BDD" w:rsidP="0001312C">
      <w:pPr>
        <w:pStyle w:val="Heading2"/>
        <w:rPr>
          <w:rFonts w:ascii="Times New Roman" w:hAnsi="Times New Roman" w:cs="Times New Roman"/>
          <w:color w:val="000000" w:themeColor="text1"/>
          <w:sz w:val="24"/>
          <w:szCs w:val="24"/>
        </w:rPr>
      </w:pPr>
      <w:bookmarkStart w:id="4" w:name="_Toc153973851"/>
      <w:r w:rsidRPr="004A2443">
        <w:rPr>
          <w:rFonts w:ascii="Times New Roman" w:hAnsi="Times New Roman" w:cs="Times New Roman"/>
          <w:b/>
          <w:bCs/>
          <w:color w:val="000000" w:themeColor="text1"/>
          <w:sz w:val="24"/>
          <w:szCs w:val="24"/>
        </w:rPr>
        <w:t>Structure of the Assignment:</w:t>
      </w:r>
      <w:bookmarkEnd w:id="4"/>
      <w:r w:rsidRPr="004A2443">
        <w:rPr>
          <w:rFonts w:ascii="Times New Roman" w:hAnsi="Times New Roman" w:cs="Times New Roman"/>
          <w:color w:val="000000" w:themeColor="text1"/>
          <w:sz w:val="24"/>
          <w:szCs w:val="24"/>
        </w:rPr>
        <w:t xml:space="preserve"> </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assignment has been structured systematically to encompass crucial dimensions pivotal for comprehending HRM strategies in both India and the United Kingdom. The outlined structure unfolds as follows:</w:t>
      </w:r>
    </w:p>
    <w:p w:rsidR="00487BDD" w:rsidRPr="004A2443" w:rsidRDefault="00487BDD" w:rsidP="00487BDD">
      <w:pPr>
        <w:numPr>
          <w:ilvl w:val="0"/>
          <w:numId w:val="2"/>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Introduction:</w:t>
      </w:r>
      <w:r w:rsidRPr="004A2443">
        <w:rPr>
          <w:rFonts w:ascii="Times New Roman" w:hAnsi="Times New Roman" w:cs="Times New Roman"/>
          <w:color w:val="000000" w:themeColor="text1"/>
          <w:sz w:val="24"/>
          <w:szCs w:val="24"/>
        </w:rPr>
        <w:t xml:space="preserve"> An introductory section that highlights the significance of comparative analysis in HRM practices, emphasizing its role in recognizing variances and best practices within diverse global settings.</w:t>
      </w:r>
    </w:p>
    <w:p w:rsidR="00487BDD" w:rsidRPr="004A2443" w:rsidRDefault="00487BDD" w:rsidP="00487BDD">
      <w:pPr>
        <w:numPr>
          <w:ilvl w:val="0"/>
          <w:numId w:val="2"/>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Contemporary and Ethical Issues in International HRM:</w:t>
      </w:r>
      <w:r w:rsidRPr="004A2443">
        <w:rPr>
          <w:rFonts w:ascii="Times New Roman" w:hAnsi="Times New Roman" w:cs="Times New Roman"/>
          <w:color w:val="000000" w:themeColor="text1"/>
          <w:sz w:val="24"/>
          <w:szCs w:val="24"/>
        </w:rPr>
        <w:t xml:space="preserve"> This section delves into the challenges and ethical considerations prevalent in HRM. It will explore talent acquisition challenges, employee retention strategies, and ethical dilemmas faced in HR practices within the contexts of India and the UK.</w:t>
      </w:r>
    </w:p>
    <w:p w:rsidR="00487BDD" w:rsidRPr="004A2443" w:rsidRDefault="00487BDD" w:rsidP="00487BDD">
      <w:pPr>
        <w:numPr>
          <w:ilvl w:val="0"/>
          <w:numId w:val="2"/>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Institutional Arrangements:</w:t>
      </w:r>
      <w:r w:rsidRPr="004A2443">
        <w:rPr>
          <w:rFonts w:ascii="Times New Roman" w:hAnsi="Times New Roman" w:cs="Times New Roman"/>
          <w:color w:val="000000" w:themeColor="text1"/>
          <w:sz w:val="24"/>
          <w:szCs w:val="24"/>
        </w:rPr>
        <w:t xml:space="preserve"> A detailed analysis of the institutional frameworks in India and the United Kingdom, focusing on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laws, regulatory bodies, and their impact on HRM practices. Additionally, it will examine the role and influence of trade unions on HR functions in both countries.</w:t>
      </w:r>
    </w:p>
    <w:p w:rsidR="00487BDD" w:rsidRPr="004A2443" w:rsidRDefault="00487BDD" w:rsidP="00487BDD">
      <w:pPr>
        <w:numPr>
          <w:ilvl w:val="0"/>
          <w:numId w:val="2"/>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Workplace Culture Differences and Management Strategies:</w:t>
      </w:r>
      <w:r w:rsidRPr="004A2443">
        <w:rPr>
          <w:rFonts w:ascii="Times New Roman" w:hAnsi="Times New Roman" w:cs="Times New Roman"/>
          <w:color w:val="000000" w:themeColor="text1"/>
          <w:sz w:val="24"/>
          <w:szCs w:val="24"/>
        </w:rPr>
        <w:t xml:space="preserve"> An exploration of the cultural disparities affecting HR policies, communication, and employee relations. It will also assess the strategies employed to manage cross-cultural relationships and foster inclusive work environments in India and the UK.</w:t>
      </w:r>
    </w:p>
    <w:p w:rsidR="00487BDD" w:rsidRPr="004A2443" w:rsidRDefault="00487BDD" w:rsidP="00487BDD">
      <w:pPr>
        <w:numPr>
          <w:ilvl w:val="0"/>
          <w:numId w:val="2"/>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Conclusion:</w:t>
      </w:r>
      <w:r w:rsidRPr="004A2443">
        <w:rPr>
          <w:rFonts w:ascii="Times New Roman" w:hAnsi="Times New Roman" w:cs="Times New Roman"/>
          <w:color w:val="000000" w:themeColor="text1"/>
          <w:sz w:val="24"/>
          <w:szCs w:val="24"/>
        </w:rPr>
        <w:t xml:space="preserve"> A conclusive summary that synthesizes key findings from the comparative analysis, underlining the significance of understanding cultural, ethical, and institutional differences in shaping HRM strategies. Additionally, it will provide recommendations tailored for multinational corporations operating in India and the UK, drawn from the comparative insights.</w:t>
      </w:r>
    </w:p>
    <w:p w:rsidR="00AA1841" w:rsidRPr="004A2443" w:rsidRDefault="00AA1841">
      <w:pPr>
        <w:rPr>
          <w:rFonts w:ascii="Times New Roman" w:hAnsi="Times New Roman" w:cs="Times New Roman"/>
          <w:color w:val="000000" w:themeColor="text1"/>
          <w:sz w:val="24"/>
          <w:szCs w:val="24"/>
        </w:rPr>
      </w:pPr>
    </w:p>
    <w:p w:rsidR="00487BDD" w:rsidRPr="004A2443" w:rsidRDefault="0001312C" w:rsidP="0001312C">
      <w:pPr>
        <w:pStyle w:val="Heading1"/>
        <w:rPr>
          <w:rFonts w:ascii="Times New Roman" w:hAnsi="Times New Roman" w:cs="Times New Roman"/>
          <w:b/>
          <w:sz w:val="24"/>
          <w:szCs w:val="24"/>
        </w:rPr>
      </w:pPr>
      <w:bookmarkStart w:id="5" w:name="_Toc153973852"/>
      <w:r w:rsidRPr="004A2443">
        <w:rPr>
          <w:rFonts w:ascii="Times New Roman" w:hAnsi="Times New Roman" w:cs="Times New Roman"/>
          <w:b/>
          <w:sz w:val="24"/>
          <w:szCs w:val="24"/>
        </w:rPr>
        <w:t xml:space="preserve">2. </w:t>
      </w:r>
      <w:r w:rsidR="00487BDD" w:rsidRPr="004A2443">
        <w:rPr>
          <w:rFonts w:ascii="Times New Roman" w:hAnsi="Times New Roman" w:cs="Times New Roman"/>
          <w:b/>
          <w:sz w:val="24"/>
          <w:szCs w:val="24"/>
        </w:rPr>
        <w:t>Contemporary and Ethical Issues in International HRM:</w:t>
      </w:r>
      <w:bookmarkEnd w:id="5"/>
    </w:p>
    <w:p w:rsidR="004A2443" w:rsidRPr="004A2443" w:rsidRDefault="004A2443" w:rsidP="004A2443"/>
    <w:p w:rsidR="00487BDD" w:rsidRPr="004A2443" w:rsidRDefault="00487BDD" w:rsidP="0001312C">
      <w:pPr>
        <w:pStyle w:val="Heading2"/>
        <w:rPr>
          <w:rFonts w:ascii="Times New Roman" w:hAnsi="Times New Roman" w:cs="Times New Roman"/>
          <w:color w:val="000000" w:themeColor="text1"/>
          <w:sz w:val="24"/>
          <w:szCs w:val="24"/>
        </w:rPr>
      </w:pPr>
      <w:bookmarkStart w:id="6" w:name="_Toc153973853"/>
      <w:r w:rsidRPr="004A2443">
        <w:rPr>
          <w:rFonts w:ascii="Times New Roman" w:hAnsi="Times New Roman" w:cs="Times New Roman"/>
          <w:b/>
          <w:bCs/>
          <w:color w:val="000000" w:themeColor="text1"/>
          <w:sz w:val="24"/>
          <w:szCs w:val="24"/>
        </w:rPr>
        <w:t>Talent Acquisition Challenges:</w:t>
      </w:r>
      <w:bookmarkEnd w:id="6"/>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Recruitment Difficulties and Approaches in India:</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India faces a myriad of challenges in talent acquisition attributed to its dynamic and intensely competitive job market. Foremost among these challenges is the scarcity of skilled labor and specialized expertise, notably prevalent in sectors such as Information Technology, engineering, and healthcare (Narayana &amp; Nath, 2017). Moreover, India's rich cultural </w:t>
      </w:r>
      <w:r w:rsidRPr="004A2443">
        <w:rPr>
          <w:rFonts w:ascii="Times New Roman" w:hAnsi="Times New Roman" w:cs="Times New Roman"/>
          <w:color w:val="000000" w:themeColor="text1"/>
          <w:sz w:val="24"/>
          <w:szCs w:val="24"/>
        </w:rPr>
        <w:lastRenderedPageBreak/>
        <w:t>diversity and expansive geographical spread across states introduce complexities in recruiting talent that resonates with organizational objectives and values (Srivastava et al., 2018).</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To address these formidable challenges, Human Resource Management (HRM) strategies in India often adopt a multi-faceted approach. This approach involves leveraging avenues such as campus placements, initiating robust referral programs, and fostering strategic collaborations with educational institutions to bridge prevalent skill gaps within the workforce (Singh, 2019).</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Recruitment Difficulties and Approaches in the UK:</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Similarly, the United Kingdom encounters distinct recruitment challenges within its competitive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market, particularly post-Brexit. The uncertainties stemming from Brexit significantly impact access to skilled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from European Union nations (Wright et al., 2020). Additionally, the UK faces an ongoing challenge in attracting and retaining a diverse workforce, largely influenced by demographic shifts and evolving employment preferences, notably among younger generations (Purcell et al., 2014).</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To navigate these challenges, HRM strategies in the UK pivot towards innovative recruitment methodologies. Such methodologies encompass initiatives like bolstering employer branding, leveraging social media platforms for recruitment purposes, and instituting flexible work policies aimed at appealing to a broader spectrum of potential talent (Dickmann et al., 2016).</w:t>
      </w:r>
    </w:p>
    <w:p w:rsidR="008D271A" w:rsidRPr="004A2443" w:rsidRDefault="008D271A" w:rsidP="008D271A">
      <w:pPr>
        <w:pStyle w:val="Heading1"/>
        <w:rPr>
          <w:rFonts w:ascii="Times New Roman" w:hAnsi="Times New Roman" w:cs="Times New Roman"/>
          <w:b/>
          <w:bCs/>
          <w:sz w:val="24"/>
          <w:szCs w:val="24"/>
        </w:rPr>
      </w:pPr>
      <w:bookmarkStart w:id="7" w:name="_Toc153973854"/>
      <w:r w:rsidRPr="004A2443">
        <w:rPr>
          <w:rFonts w:ascii="Times New Roman" w:hAnsi="Times New Roman" w:cs="Times New Roman"/>
          <w:b/>
          <w:bCs/>
          <w:sz w:val="24"/>
          <w:szCs w:val="24"/>
        </w:rPr>
        <w:t>Turnover Rates and Their Impact on HR Strategies:</w:t>
      </w:r>
      <w:bookmarkEnd w:id="7"/>
    </w:p>
    <w:p w:rsidR="004A2443" w:rsidRPr="004A2443" w:rsidRDefault="004A2443" w:rsidP="004A2443"/>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Turnover Rates in India and its Impact on HR Strategies:</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India witness diverse turnover rates across industries, significantly influenced by factors such as rapid economic growth, employee aspirations, and varying levels of job satisfaction. Notably, high turnover rates, especially prevalent among younger employees aiming for career advancement, pose a challenge to HR strategies concerning talent retention (Srivastava et al., 2018).</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response to these challenges, organizations in India proactively devise tailored career development plans, introduce skill enhancement programs, and initiate robust employee engagement strategies. These efforts are directed towards curbing turnover rates and fostering an environment conducive to retaining top talent. Consequently, these initiatives reshape HR strategies, aiming for long-term commitment and retention of valuable human resources within the organization (Narayana &amp; Nath, 2017).</w:t>
      </w:r>
    </w:p>
    <w:p w:rsidR="00487BDD" w:rsidRPr="004A2443" w:rsidRDefault="00487BDD" w:rsidP="00487BDD">
      <w:pPr>
        <w:rPr>
          <w:rFonts w:ascii="Times New Roman" w:hAnsi="Times New Roman" w:cs="Times New Roman"/>
          <w:color w:val="000000" w:themeColor="text1"/>
          <w:sz w:val="24"/>
          <w:szCs w:val="24"/>
        </w:rPr>
      </w:pP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Turnover Rates in the UK and its Impact on HR Strategies:</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the United Kingdom, turnover rates exhibit variations across sectors, notably higher in industries like retail and hospitality compared to others (Armstrong, 2020). Elevated turnover rates have prompted a proactive approach by HR departments, emphasizing employee well-being, promoting work-life balance, and fostering inclusive workplace cultures to fortify employee retention strategies (Purcell et al., 2014).</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lastRenderedPageBreak/>
        <w:t>HRM initiatives in the UK pivot towards initiatives such as flexible work arrangements, structured career progression pathways, and comprehensive training programs to effectively tackle turnover challenges. The strategic deployment of these initiatives aims to bridge the gap between organizational objectives and employee expectations, ultimately contributing to a more robust and stable workforce (Armstrong, 2020).</w:t>
      </w:r>
    </w:p>
    <w:p w:rsidR="00487BDD" w:rsidRPr="004A2443" w:rsidRDefault="00487BDD" w:rsidP="00487BDD">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These efforts reflect an industry-wide acknowledgement of the significance of a harmonious work environment and development opportunities in enhancing employee retention and mitigating the impact of high turnover rates</w:t>
      </w:r>
    </w:p>
    <w:p w:rsidR="00487BDD" w:rsidRPr="004A2443" w:rsidRDefault="00487BDD">
      <w:pPr>
        <w:rPr>
          <w:rFonts w:ascii="Times New Roman" w:hAnsi="Times New Roman" w:cs="Times New Roman"/>
          <w:color w:val="000000" w:themeColor="text1"/>
          <w:sz w:val="24"/>
          <w:szCs w:val="24"/>
        </w:rPr>
      </w:pPr>
    </w:p>
    <w:p w:rsidR="00AA7C6E" w:rsidRPr="004A2443" w:rsidRDefault="00AA7C6E" w:rsidP="008D271A">
      <w:pPr>
        <w:pStyle w:val="Heading2"/>
        <w:rPr>
          <w:rFonts w:ascii="Times New Roman" w:hAnsi="Times New Roman" w:cs="Times New Roman"/>
          <w:b/>
          <w:bCs/>
          <w:sz w:val="24"/>
          <w:szCs w:val="24"/>
        </w:rPr>
      </w:pPr>
      <w:bookmarkStart w:id="8" w:name="_Toc153973855"/>
      <w:r w:rsidRPr="004A2443">
        <w:rPr>
          <w:rFonts w:ascii="Times New Roman" w:hAnsi="Times New Roman" w:cs="Times New Roman"/>
          <w:b/>
          <w:bCs/>
          <w:sz w:val="24"/>
          <w:szCs w:val="24"/>
        </w:rPr>
        <w:t>Employee Retention Strategies - Comparative Analysis of Retention Methods and Effectiveness:</w:t>
      </w:r>
      <w:bookmarkEnd w:id="8"/>
    </w:p>
    <w:p w:rsidR="004A2443" w:rsidRPr="004A2443" w:rsidRDefault="004A2443" w:rsidP="004A2443"/>
    <w:p w:rsidR="00AA7C6E" w:rsidRPr="004A2443" w:rsidRDefault="00AA7C6E" w:rsidP="00AA7C6E">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India:</w:t>
      </w:r>
    </w:p>
    <w:p w:rsidR="00AA7C6E" w:rsidRPr="004A2443" w:rsidRDefault="00AA7C6E" w:rsidP="00AA7C6E">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India, the landscape of employee retention strategies reflects a nuanced blend of intrinsic and extrinsic motivators tailored to meet the diverse expectations of the workforce. Strategies deployed in India encompass a holistic approach, intertwining various facets such as career development opportunities, competitive compensation packages, and robust recognition programs (Ghosh &amp; Kumar, 2020).</w:t>
      </w:r>
    </w:p>
    <w:p w:rsidR="00AA7C6E" w:rsidRPr="004A2443" w:rsidRDefault="00AA7C6E" w:rsidP="00AA7C6E">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A distinct focus within Indian organizations revolves around fostering cultural integration, creating a familial work environment, and addressing individual employee aspirations through personalized mentorship programs and skill enhancement initiatives (Bhatnagar, 2007). This emphasis on cultural alignment and addressing the diverse needs of employees often yields notable outcomes, evident in increased employee engagement, heightened loyalty, and extended tenure within organizations.</w:t>
      </w:r>
    </w:p>
    <w:p w:rsidR="00AA7C6E" w:rsidRPr="004A2443" w:rsidRDefault="00AA7C6E" w:rsidP="00AA7C6E">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effectiveness of these comprehensive strategies lies in their ability to cater to the multifaceted needs of the workforce, promoting a sense of belongingness and personal growth, ultimately fostering an environment where employees feel valued and committed to the organizational ethics.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United Kingdom:</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Retention strategies prevalent in the United Kingdom are </w:t>
      </w:r>
      <w:r w:rsidR="008D271A" w:rsidRPr="004A2443">
        <w:rPr>
          <w:rFonts w:ascii="Times New Roman" w:hAnsi="Times New Roman" w:cs="Times New Roman"/>
          <w:color w:val="000000" w:themeColor="text1"/>
          <w:sz w:val="24"/>
          <w:szCs w:val="24"/>
        </w:rPr>
        <w:t>centred</w:t>
      </w:r>
      <w:r w:rsidRPr="004A2443">
        <w:rPr>
          <w:rFonts w:ascii="Times New Roman" w:hAnsi="Times New Roman" w:cs="Times New Roman"/>
          <w:color w:val="000000" w:themeColor="text1"/>
          <w:sz w:val="24"/>
          <w:szCs w:val="24"/>
        </w:rPr>
        <w:t xml:space="preserve"> around cultivating an inclusive work culture that values diversity, offering employees a conducive work-life balance, and providing ample opportunities for continuous learning and development (Armstrong, 2020).</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Human Resource Management (HRM) practices in the UK incorporate the implementation of flexible working arrangements, robust employee wellness programs, and the provision of diverse career pathways. These strategies are meticulously designed to cater to individual employee needs and aspirations, recognizing the importance of personalized approaches in fostering employee loyalty and commitment to the organization (Purcell et al., 2014).</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 effectiveness of these comprehensive strategies manifests in higher levels of job satisfaction among employees, consequently resulting in improved retention rates. This, in </w:t>
      </w:r>
      <w:r w:rsidRPr="004A2443">
        <w:rPr>
          <w:rFonts w:ascii="Times New Roman" w:hAnsi="Times New Roman" w:cs="Times New Roman"/>
          <w:color w:val="000000" w:themeColor="text1"/>
          <w:sz w:val="24"/>
          <w:szCs w:val="24"/>
        </w:rPr>
        <w:lastRenderedPageBreak/>
        <w:t>turn, contributes significantly to organizational stability and the establishment of a motivated and engaged workforce.</w:t>
      </w:r>
    </w:p>
    <w:p w:rsidR="0040108C" w:rsidRPr="004A2443" w:rsidRDefault="0040108C" w:rsidP="0040108C">
      <w:pPr>
        <w:rPr>
          <w:rFonts w:ascii="Times New Roman" w:hAnsi="Times New Roman" w:cs="Times New Roman"/>
          <w:color w:val="2E74B5" w:themeColor="accent1" w:themeShade="BF"/>
          <w:sz w:val="24"/>
          <w:szCs w:val="24"/>
        </w:rPr>
      </w:pPr>
      <w:r w:rsidRPr="004A2443">
        <w:rPr>
          <w:rFonts w:ascii="Times New Roman" w:hAnsi="Times New Roman" w:cs="Times New Roman"/>
          <w:b/>
          <w:bCs/>
          <w:color w:val="2E74B5" w:themeColor="accent1" w:themeShade="BF"/>
          <w:sz w:val="24"/>
          <w:szCs w:val="24"/>
        </w:rPr>
        <w:t>Identifying Disparities in Retention Challenges between Countries: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Disparities in India:</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Retention challenges in India primarily stem from the repercussions of rapid economic growth, leading to increased job mobility among the younger workforce who seek accelerated career advancements (Srivastava et al., 2018). The inherent cultural diversity across different regions within India further complicates uniform adoption of retention strategies, necessitating HRM to craft tailored approaches that resonate with the varied expectations and aspirations prevalent in different areas (Srivastava et al., 2018).</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Disparities in the UK:</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the United Kingdom, disparities in retention challenges are largely a result of Brexit-induced uncertainties that have impacted access to talent pools, creating imbalances within the labor market (Wright et al., 2020). Furthermore, differences among various generations, particularly among millennials and Gen Z, present distinct challenges as these cohorts seek purposeful work, rapid skill development, and avenues for career growth (Purcell et al., 2014). Addressing these disparities requires HRM to develop agile retention strategies that consider demographic shifts and external uncertainties, thereby adapting to the evolving needs of the workforce.</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Ethical Dilemmas in HR Practices: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Employee Welfare and Engagement:</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Within HR practices, ethical dilemmas often revolve around maintaining a balance between organizational objectives and ensuring employee welfare and engagement. Challenges arise in ensuring fair compensation, implementing non-discriminatory practices, and creating safe and healthy work environments, prevailing in both India and the UK (Rao &amp; Tilt, 2016). Instances of ethical conflicts may emerge when organizational decisions, particularly cost-cutting measures, directly impact employee benefits or compromise their well-being. Striking a balance between profitability and employee welfare poses a significant ethical challenge for HRM professionals in both countries.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Legal Compliance:</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intersection of legal compliance and ethical standards presents a considerable challenge for HRM practices in India and the UK. Adhering to stringent employment laws while maintaining ethical principles forms a delicate balance. Issues concerning termination procedures, privacy rights, and the implementation of diversity policies create ethical dilemmas for HR practitioners (Ghosal, 2019; Kramar et al., 2014). Negotiating these ethical decisions is crucial to ensure that HR practices not only comply with legal frameworks but also align with moral principles and uphold fairness within the workplace.</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Impact of Cultural Differences on Ethical Decision-Making:</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Cultural Influence in India:</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lastRenderedPageBreak/>
        <w:t>In India, the fabric of ethical decision-making within Human Resource Management (HRM) is intricately woven with deeply rooted cultural values that play a pivotal role in shaping workplace ethics. India's societal norms are characterized by collectivism, a profound reverence for hierarchical structures, and a relationship-oriented approach in interpersonal dealings (Malhotra &amp; Jaiswal, 2016). These cultural underpinnings significantly influence ethical choices within HR practices.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Collectivism, a hallmark of Indian culture, emphasizes group harmony and cooperation, often leading HR practitioners to prioritize team welfare over individual ambitions. Moreover, the traditional respect for hierarchical structures within Indian organizations fosters an environment where ethical decisions are made considering the well-being of all members of the organizational hierarchy. This cultural context often leads to an emphasis on fostering long-term relationships over immediate business gains. In HRM, it translates into a preference for a paternalistic approach to address employee concerns, wherein managers are expected to display a caring attitude and provide guidance akin to a family head. Ethical considerations are deeply rooted in maintaining harmony and preserving relationships, leading to HR practices that prioritize the collective welfare of employees within the organizational framework.</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Cultural Influence in the UK:</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Conversely, the UK's cultural values greatly influence ethical decision-making in HRM, shaped by an emphasis on individualism, meritocracy, and adherence to rule-based systems (Jackson, 2012). The UK's social fabric is characterized by individualistic values that prioritize personal autonomy and achievement. HRM practices in the UK reflect this individualism, emphasizing the rights and autonomy of individual employees within the organizational context.</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the UK, meritocracy drives ethical decision-making within HRM. Fairness and equal opportunities are emphasized, promoting a culture where rewards and promotions are based on individual performance and competence. Ethical considerations revolve around upholding transparency, adhering to legal frameworks, and maintaining equitable policies and procedures within the workplace. This emphasis on individual rights and transparent systems delineates ethical practices within the HRM domain, focusing on ensuring fairness and providing opportunities based on merit.</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Discussion on Impact:</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profound impact of cultural differences on ethical decision-making within Human Resource Management (HRM) underscores the necessity for a comprehensive understanding of cultural nuances when crafting and executing HR policies and practices. Recognizing the intrinsic influence of culture on ethical frameworks is crucial in devising HR strategies that harmonize local cultural norms with globally accepted ethical standards.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 divergence in cultural values between India and the UK manifests a fundamental difference in the way ethical considerations are integrated into HRM practices. India's collectivist culture, emphasizing interpersonal relationships and group harmony, often guides HR practitioners towards approaches that prioritize collective welfare over individual aspirations. In contrast, the UK's individualistic ethos places a premium on autonomy, </w:t>
      </w:r>
      <w:r w:rsidRPr="004A2443">
        <w:rPr>
          <w:rFonts w:ascii="Times New Roman" w:hAnsi="Times New Roman" w:cs="Times New Roman"/>
          <w:color w:val="000000" w:themeColor="text1"/>
          <w:sz w:val="24"/>
          <w:szCs w:val="24"/>
        </w:rPr>
        <w:lastRenderedPageBreak/>
        <w:t>fairness, and transparency, influencing HRM practices that underscore meritocracy and individual rights.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significance lies in achieving a delicate equilibrium between these cultural disparities and universal ethical principles. Organizations operating in diverse cultural contexts must navigate these nuances to foster an ethical work environment that resonates with both local sensibilities and global ethical benchmarks. This requires an adaptive HR approach that acknowledges and respects cultural diversity while upholding fundamental ethical values.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Striking a balance between local cultural norms and global ethical standards within HRM is pivotal to ensure the integrity, equity, and effectiveness of HR policies. Organizations need to implement culturally sensitive HR practices that are aligned with ethical guidelines to maintain credibility, trust, and fairness in employee relations. Ultimately, the synergy between cultural awareness and ethical considerations in HRM lays the groundwork for building inclusive, respectful, and morally sound workplaces in a global context.</w:t>
      </w:r>
    </w:p>
    <w:p w:rsidR="008D271A" w:rsidRPr="004A2443" w:rsidRDefault="008D271A" w:rsidP="008D271A">
      <w:pPr>
        <w:pStyle w:val="Heading1"/>
        <w:rPr>
          <w:rFonts w:ascii="Times New Roman" w:hAnsi="Times New Roman" w:cs="Times New Roman"/>
          <w:b/>
          <w:sz w:val="24"/>
          <w:szCs w:val="24"/>
        </w:rPr>
      </w:pPr>
      <w:bookmarkStart w:id="9" w:name="_Toc153973856"/>
      <w:r w:rsidRPr="004A2443">
        <w:rPr>
          <w:rFonts w:ascii="Times New Roman" w:hAnsi="Times New Roman" w:cs="Times New Roman"/>
          <w:b/>
          <w:sz w:val="24"/>
          <w:szCs w:val="24"/>
        </w:rPr>
        <w:t>3. Institutional Arrangements in India and the United Kingdom:</w:t>
      </w:r>
      <w:bookmarkEnd w:id="9"/>
    </w:p>
    <w:p w:rsidR="008D271A" w:rsidRPr="004A2443" w:rsidRDefault="008D271A" w:rsidP="0040108C">
      <w:pPr>
        <w:rPr>
          <w:rFonts w:ascii="Times New Roman" w:hAnsi="Times New Roman" w:cs="Times New Roman"/>
          <w:b/>
          <w:bCs/>
          <w:color w:val="000000" w:themeColor="text1"/>
          <w:sz w:val="24"/>
          <w:szCs w:val="24"/>
        </w:rPr>
      </w:pPr>
    </w:p>
    <w:p w:rsidR="0040108C" w:rsidRPr="004A2443" w:rsidRDefault="008D271A" w:rsidP="008D271A">
      <w:pPr>
        <w:pStyle w:val="Heading2"/>
        <w:rPr>
          <w:rFonts w:ascii="Times New Roman" w:hAnsi="Times New Roman" w:cs="Times New Roman"/>
          <w:b/>
          <w:bCs/>
          <w:color w:val="000000" w:themeColor="text1"/>
          <w:sz w:val="24"/>
          <w:szCs w:val="24"/>
        </w:rPr>
      </w:pPr>
      <w:bookmarkStart w:id="10" w:name="_Toc153973857"/>
      <w:r w:rsidRPr="004A2443">
        <w:rPr>
          <w:rFonts w:ascii="Times New Roman" w:hAnsi="Times New Roman" w:cs="Times New Roman"/>
          <w:b/>
          <w:bCs/>
          <w:color w:val="000000" w:themeColor="text1"/>
          <w:sz w:val="24"/>
          <w:szCs w:val="24"/>
        </w:rPr>
        <w:t>I</w:t>
      </w:r>
      <w:r w:rsidR="0040108C" w:rsidRPr="004A2443">
        <w:rPr>
          <w:rFonts w:ascii="Times New Roman" w:hAnsi="Times New Roman" w:cs="Times New Roman"/>
          <w:b/>
          <w:bCs/>
          <w:color w:val="000000" w:themeColor="text1"/>
          <w:sz w:val="24"/>
          <w:szCs w:val="24"/>
        </w:rPr>
        <w:t>ndian Institutional Framework:</w:t>
      </w:r>
      <w:bookmarkEnd w:id="10"/>
    </w:p>
    <w:p w:rsidR="004A2443" w:rsidRPr="004A2443" w:rsidRDefault="004A2443" w:rsidP="004A2443"/>
    <w:p w:rsidR="0040108C" w:rsidRPr="004A2443" w:rsidRDefault="008D271A"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Labour</w:t>
      </w:r>
      <w:r w:rsidR="0040108C" w:rsidRPr="004A2443">
        <w:rPr>
          <w:rFonts w:ascii="Times New Roman" w:hAnsi="Times New Roman" w:cs="Times New Roman"/>
          <w:b/>
          <w:bCs/>
          <w:color w:val="000000" w:themeColor="text1"/>
          <w:sz w:val="24"/>
          <w:szCs w:val="24"/>
        </w:rPr>
        <w:t xml:space="preserve"> Laws and Regulatory Bodies: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India operates within a multifaceted framework of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laws designed to regulate various facets of employment and industrial relations. These laws play a pivotal role in shaping HRM practices by delineating the rights and obligations of employers and employees. The Industrial Disputes Act of 1947 stands as a fundamental legislation governing employer-employee relations, providing guidelines for dispute resolution and imposing restrictions on layoffs and retrenchment. Additionally, the Minimum Wages Act establishes the minimum remuneration for different categories of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ensuring fair compensation, while the Factories Act dictates norms related to occupational health, safety, and welfare of workers within industrial premises.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These legislative frameworks have a substantial impact on HRM strategies. They set the groundwork for employment contracts, defining working conditions, wages, benefits, and leave policies within organizations. Compliance with these laws becomes a critical aspect of HR functions, influencing recruitment, compensation structuring, and grievance </w:t>
      </w:r>
      <w:r w:rsidR="008D271A" w:rsidRPr="004A2443">
        <w:rPr>
          <w:rFonts w:ascii="Times New Roman" w:hAnsi="Times New Roman" w:cs="Times New Roman"/>
          <w:color w:val="000000" w:themeColor="text1"/>
          <w:sz w:val="24"/>
          <w:szCs w:val="24"/>
        </w:rPr>
        <w:t>redressed</w:t>
      </w:r>
      <w:r w:rsidRPr="004A2443">
        <w:rPr>
          <w:rFonts w:ascii="Times New Roman" w:hAnsi="Times New Roman" w:cs="Times New Roman"/>
          <w:color w:val="000000" w:themeColor="text1"/>
          <w:sz w:val="24"/>
          <w:szCs w:val="24"/>
        </w:rPr>
        <w:t xml:space="preserve"> mechanisms.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Regulatory Bodies: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India's regulatory landscape is further bolstered by the presence of regulatory bodies that oversee and enforce compliance with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laws. The Ministry of Labour and Employment holds a central role in formulating policies and implementing laws related to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welfare, industrial relations, and social security. This ministry plays a pivotal role in shaping the legal framework concerning employment practices, thereby significantly impacting HRM strategies and operational dynamics within organizations.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Additionally, the Employees' Provident Fund Organisation (EPFO) is instrumental in administering and regulating provident fund contributions, pensions, and insurance schemes </w:t>
      </w:r>
      <w:r w:rsidRPr="004A2443">
        <w:rPr>
          <w:rFonts w:ascii="Times New Roman" w:hAnsi="Times New Roman" w:cs="Times New Roman"/>
          <w:color w:val="000000" w:themeColor="text1"/>
          <w:sz w:val="24"/>
          <w:szCs w:val="24"/>
        </w:rPr>
        <w:lastRenderedPageBreak/>
        <w:t>for employees. Compliance with EPFO regulations is mandatory for organizations and requires meticulous attention from HR departments to ensure adherence to statutory provisions.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influence of these regulatory bodies on HR functions is substantial. They govern practices related to recruitment, compensation, statutory compliance, and employee welfare measures. HR departments must ensure alignment with these regulatory frameworks to avoid legal implications and maintain a harmonious employer-employee relationship.</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Influence of Trade Unions: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Trade unions in India hold a significant sway in the realm of HRM practices, primarily because they serve as collective bargaining units representing the interests of the workforce. These unions are instrumental in negotiating with employers on behalf of employees, addressing various concerns related to wages, working conditions, benefits, and other employment-related matters.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Representation and Negotiation:</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Trade unions act as the voice of the workforce, advocating for fair and </w:t>
      </w:r>
      <w:r w:rsidR="008D271A" w:rsidRPr="004A2443">
        <w:rPr>
          <w:rFonts w:ascii="Times New Roman" w:hAnsi="Times New Roman" w:cs="Times New Roman"/>
          <w:color w:val="000000" w:themeColor="text1"/>
          <w:sz w:val="24"/>
          <w:szCs w:val="24"/>
        </w:rPr>
        <w:t>favourable</w:t>
      </w:r>
      <w:r w:rsidRPr="004A2443">
        <w:rPr>
          <w:rFonts w:ascii="Times New Roman" w:hAnsi="Times New Roman" w:cs="Times New Roman"/>
          <w:color w:val="000000" w:themeColor="text1"/>
          <w:sz w:val="24"/>
          <w:szCs w:val="24"/>
        </w:rPr>
        <w:t xml:space="preserve"> conditions in the workplace. They engage in discussions and negotiations with employers or management teams to secure better wages, improved working conditions, job security, and other benefits for employees. Their collective bargaining power allows them to influence HR policies, employment terms, and organizational decisions that affect the workforce.</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Impact on HR Functions: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 influence of trade unions significantly impacts HR functions within organizations. HR departments often engage with these unions to address employee grievances, negotiate collective agreements, and shape workforce management strategies. Managing relationships with trade unions is crucial for HR professionals to navigate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disputes, maintain a conducive work environment, and ensure that organizational policies align with the expectations of the workforce represented by these unions.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Maintaining Harmonious Industrial Relations: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Effectively understanding and engaging with trade unions is vital for HR professionals to maintain harmonious industrial relations. Collaborative efforts and constructive dialogue between HR representatives and trade union leaders are essential to address employee concerns, resolve conflicts amicably, and foster an environment conducive to productivity and employee satisfaction.</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Trade unions' influence on HRM practices necessitates a strategic approach from HR departments to address employees' collective interests while aligning them with organizational goals, ensuring equitable treatment, and sustaining a positive work environment</w:t>
      </w:r>
    </w:p>
    <w:p w:rsidR="008D271A" w:rsidRPr="004A2443" w:rsidRDefault="008D271A" w:rsidP="0040108C">
      <w:pPr>
        <w:rPr>
          <w:rFonts w:ascii="Times New Roman" w:hAnsi="Times New Roman" w:cs="Times New Roman"/>
          <w:color w:val="000000" w:themeColor="text1"/>
          <w:sz w:val="24"/>
          <w:szCs w:val="24"/>
        </w:rPr>
      </w:pPr>
    </w:p>
    <w:p w:rsidR="008D271A" w:rsidRPr="004A2443" w:rsidRDefault="008D271A" w:rsidP="0040108C">
      <w:pPr>
        <w:rPr>
          <w:rFonts w:ascii="Times New Roman" w:hAnsi="Times New Roman" w:cs="Times New Roman"/>
          <w:color w:val="000000" w:themeColor="text1"/>
          <w:sz w:val="24"/>
          <w:szCs w:val="24"/>
        </w:rPr>
      </w:pPr>
    </w:p>
    <w:p w:rsidR="008D271A" w:rsidRPr="004A2443" w:rsidRDefault="008D271A" w:rsidP="0040108C">
      <w:pPr>
        <w:rPr>
          <w:rFonts w:ascii="Times New Roman" w:hAnsi="Times New Roman" w:cs="Times New Roman"/>
          <w:color w:val="000000" w:themeColor="text1"/>
          <w:sz w:val="24"/>
          <w:szCs w:val="24"/>
        </w:rPr>
      </w:pPr>
    </w:p>
    <w:p w:rsidR="0040108C" w:rsidRPr="004A2443" w:rsidRDefault="0040108C" w:rsidP="008D271A">
      <w:pPr>
        <w:pStyle w:val="Heading2"/>
        <w:rPr>
          <w:rFonts w:ascii="Times New Roman" w:hAnsi="Times New Roman" w:cs="Times New Roman"/>
          <w:b/>
          <w:bCs/>
          <w:color w:val="000000" w:themeColor="text1"/>
          <w:sz w:val="24"/>
          <w:szCs w:val="24"/>
        </w:rPr>
      </w:pPr>
      <w:bookmarkStart w:id="11" w:name="_Toc153973858"/>
      <w:r w:rsidRPr="004A2443">
        <w:rPr>
          <w:rFonts w:ascii="Times New Roman" w:hAnsi="Times New Roman" w:cs="Times New Roman"/>
          <w:b/>
          <w:bCs/>
          <w:color w:val="000000" w:themeColor="text1"/>
          <w:sz w:val="24"/>
          <w:szCs w:val="24"/>
        </w:rPr>
        <w:lastRenderedPageBreak/>
        <w:t>UK Institutional Framework:</w:t>
      </w:r>
      <w:bookmarkEnd w:id="11"/>
    </w:p>
    <w:p w:rsidR="004A2443" w:rsidRPr="004A2443" w:rsidRDefault="004A2443" w:rsidP="004A2443"/>
    <w:p w:rsidR="0040108C" w:rsidRPr="004A2443" w:rsidRDefault="008D271A"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Labour</w:t>
      </w:r>
      <w:r w:rsidR="0040108C" w:rsidRPr="004A2443">
        <w:rPr>
          <w:rFonts w:ascii="Times New Roman" w:hAnsi="Times New Roman" w:cs="Times New Roman"/>
          <w:b/>
          <w:bCs/>
          <w:color w:val="000000" w:themeColor="text1"/>
          <w:sz w:val="24"/>
          <w:szCs w:val="24"/>
        </w:rPr>
        <w:t xml:space="preserve"> Laws and Regulatory Bodies: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 United Kingdom's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laws are known for their flexibility and emphasis on equitable employment practices. Several key legislations govern diverse facets of the employment landscape, ensuring fair treatment and rights for employees while providing a conducive environment for businesses to operate.</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Legislations and Their Impact:</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Employment Rights Act constitutes a substantial part of UK employment law, covering a wide range of aspects such as termination procedures, employee rights, and maternity/paternity leave. The National Minimum Wage Act ensures a minimum standard of pay for employees, promoting fair compensation practices. Additionally, the Equality Act prohibits discrimination based on protected characteristics such as age, gender, race, religion, and disability, fostering a diverse and inclusive work environment (Wilkinson &amp; Wood, 2017).</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Role of Regulatory Bodies: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Regulatory bodies like the Advisory, Conciliation, and Arbitration Service (ACAS) and the Health and Safety Executive (HSE) are instrumental in overseeing compliance with these laws. ACAS provides guidance on employment rights and resolves workplace disputes through conciliation and arbitration services. Meanwhile, the HSE ensures workplace health and safety by setting standards and enforcing regulations to protect employees' well-being.</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Impact on HRM Practices: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These </w:t>
      </w:r>
      <w:r w:rsidR="008D271A" w:rsidRPr="004A2443">
        <w:rPr>
          <w:rFonts w:ascii="Times New Roman" w:hAnsi="Times New Roman" w:cs="Times New Roman"/>
          <w:color w:val="000000" w:themeColor="text1"/>
          <w:sz w:val="24"/>
          <w:szCs w:val="24"/>
        </w:rPr>
        <w:t>labour</w:t>
      </w:r>
      <w:r w:rsidRPr="004A2443">
        <w:rPr>
          <w:rFonts w:ascii="Times New Roman" w:hAnsi="Times New Roman" w:cs="Times New Roman"/>
          <w:color w:val="000000" w:themeColor="text1"/>
          <w:sz w:val="24"/>
          <w:szCs w:val="24"/>
        </w:rPr>
        <w:t xml:space="preserve"> laws and regulatory bodies significantly impact HRM practices within UK organizations. HR departments are responsible for ensuring compliance with these laws, which influences recruitment processes, employee contractual agreements, fair treatment, dispute resolution, and health and safety protocols. HR professionals play a crucial role in aligning organizational practices with legal requirements while ensuring a conducive work environment that upholds employees' rights and well-being.</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Adaptability and Compliance:</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UK's flexible labor laws necessitate HR departments to be adaptable and well-versed in evolving legal frameworks. They need to ensure compliance with these regulations while fostering a positive workplace culture that adheres to legal standards, encourages diversity, and safeguards employee rights.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Influence of Trade Unions in the UK:</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Historical Significance and Contemporary Role:</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Historically, trade unions have held considerable influence in representing workers' interests, shaping employment conditions, and advocating for employees' rights in various industries within the United Kingdom (Heery, 2017). Although their influence has diminished over </w:t>
      </w:r>
      <w:r w:rsidRPr="004A2443">
        <w:rPr>
          <w:rFonts w:ascii="Times New Roman" w:hAnsi="Times New Roman" w:cs="Times New Roman"/>
          <w:color w:val="000000" w:themeColor="text1"/>
          <w:sz w:val="24"/>
          <w:szCs w:val="24"/>
        </w:rPr>
        <w:lastRenderedPageBreak/>
        <w:t>recent decades due to shifts in the economy and changing employment patterns, trade unions continue to play a role in influencing HR practices, particularly in specific sectors.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Ongoing Impact on HR Practices: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Despite the decline in membership and influence, unions such as Unite the Union and the Trades Union Congress (TUC) retain relevance, particularly in sectors such as public services and manufacturing. Within these industries, trade unions often engage in collective bargaining, negotiate employment terms, and participate in employee consultations, exerting an influence on HR strategies and employment relations (Heery, 2017).</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Impact on HR Strategies: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 involvement of trade unions in negotiations and consultations over employment terms can impact HR strategies within organizations. HR departments often collaborate and engage with unions to address employees' concerns, negotiate fair working conditions, and ensure adherence to collective agreements. This involvement can influence HR decision-making processes related to compensation, benefits, work hours, and employment terms to maintain harmonious industrial relations and meet the expectations of both </w:t>
      </w:r>
      <w:r w:rsidR="0001312C" w:rsidRPr="004A2443">
        <w:rPr>
          <w:rFonts w:ascii="Times New Roman" w:hAnsi="Times New Roman" w:cs="Times New Roman"/>
          <w:color w:val="000000" w:themeColor="text1"/>
          <w:sz w:val="24"/>
          <w:szCs w:val="24"/>
        </w:rPr>
        <w:t>employers</w:t>
      </w:r>
      <w:r w:rsidRPr="004A2443">
        <w:rPr>
          <w:rFonts w:ascii="Times New Roman" w:hAnsi="Times New Roman" w:cs="Times New Roman"/>
          <w:color w:val="000000" w:themeColor="text1"/>
          <w:sz w:val="24"/>
          <w:szCs w:val="24"/>
        </w:rPr>
        <w:t xml:space="preserve"> and unions.</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Challenges and Collaboration:</w:t>
      </w:r>
    </w:p>
    <w:p w:rsidR="0040108C" w:rsidRPr="004A2443" w:rsidRDefault="0040108C" w:rsidP="0040108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Managing relationships with trade unions presents challenges and opportunities for HR professionals. While it is crucial to navigate negotiations and maintain positive relations with unions, HR departments must balance the interests of the organization with those of the employees represented by the unions. Collaborative approaches between HR and trade unions are essential to address conflicts, ensure employee welfare, and achieve mutually beneficial outcomes while aligning with organizational objectives.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Cultural Diversity Assessment:</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Workplace Culture in India:</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India's workplace culture is deeply influenced by traditional values emphasizing hierarchy, respect for authority, and collectivism (Budhwar &amp; Debrah, 2013). These cultural elements significantly impact HR policies and practices adopted by organizations. HR strategies in India often revolve around fostering teamwork, collaboration, and collective decision-making processes (Bhatnagar, 2012). Organizations prioritize building long-term relationships with employees, valuing loyalty and tenure, and promoting a familial work environment that supports employees through personal and professional growth.</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Impact on HR Policies: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the Indian context, HR policies are designed to reflect and align with the prevailing cultural norms. They emphasize collective effort, consensus-driven decision-making, and hierarchical structures that respect authority and seniority. HR practices often include mentoring programs, team-building activities, and inclusive management styles that nurture relationships and employee well-being, aiming to build a committed and cohesive workforce.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Workplace Culture in the UK:</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lastRenderedPageBreak/>
        <w:t>Conversely, the United Kingdom fosters a more individualistic work culture, valuing autonomy, open communication, and innovation (Chew &amp; Horwitz, 2016). This cultural inclination has a significant impact on HR policies within organizations. HR strategies in the UK often prioritize employee empowerment, flexibility, and adaptability to change (Farndale et al., 2017). Emphasis is placed on creating an environment where employees have autonomy in decision-making, value personal achievements, and thrive in an innovative and dynamic work setting.</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Impact on HR Policies: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HR policies in the UK tend to focus on individual contributions, offering flexible work arrangements, encouraging open communication, and fostering a culture of continuous improvement and innovation. Performance evaluation systems are often based on meritocracy and individual achievements, promoting a competitive yet collaborative work environment that encourages creativity and initiative.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 xml:space="preserve">Cultural Nuances Influencing Organizational </w:t>
      </w:r>
      <w:r w:rsidR="008D271A" w:rsidRPr="004A2443">
        <w:rPr>
          <w:rFonts w:ascii="Times New Roman" w:hAnsi="Times New Roman" w:cs="Times New Roman"/>
          <w:b/>
          <w:bCs/>
          <w:color w:val="000000" w:themeColor="text1"/>
          <w:sz w:val="24"/>
          <w:szCs w:val="24"/>
        </w:rPr>
        <w:t>Behaviour</w:t>
      </w:r>
      <w:r w:rsidRPr="004A2443">
        <w:rPr>
          <w:rFonts w:ascii="Times New Roman" w:hAnsi="Times New Roman" w:cs="Times New Roman"/>
          <w:b/>
          <w:bCs/>
          <w:color w:val="000000" w:themeColor="text1"/>
          <w:sz w:val="24"/>
          <w:szCs w:val="24"/>
        </w:rPr>
        <w:t>:</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India's Cultural Context:</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India's cultural fabric, deeply rooted in traditions and social hierarchies, significantly influences organizational </w:t>
      </w:r>
      <w:r w:rsidR="008D271A" w:rsidRPr="004A2443">
        <w:rPr>
          <w:rFonts w:ascii="Times New Roman" w:hAnsi="Times New Roman" w:cs="Times New Roman"/>
          <w:color w:val="000000" w:themeColor="text1"/>
          <w:sz w:val="24"/>
          <w:szCs w:val="24"/>
        </w:rPr>
        <w:t>behaviour</w:t>
      </w:r>
      <w:r w:rsidRPr="004A2443">
        <w:rPr>
          <w:rFonts w:ascii="Times New Roman" w:hAnsi="Times New Roman" w:cs="Times New Roman"/>
          <w:color w:val="000000" w:themeColor="text1"/>
          <w:sz w:val="24"/>
          <w:szCs w:val="24"/>
        </w:rPr>
        <w:t>. Workplace interactions in Indian organizations often reflect a hierarchical structure where seniority, age, and status carry considerable weight in decision-making processes (Bhagat et al., 2002). This hierarchical framework can impact leadership styles, with leaders often assuming a more paternalistic or authoritative role, expecting deference from subordinates, and making top-down decisions. Additionally, conflict resolution in Indian workplaces might involve mediation by higher authorities or senior management to maintain harmony within the hierarchical structure.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 xml:space="preserve">Impact on Organizational </w:t>
      </w:r>
      <w:r w:rsidR="008D271A" w:rsidRPr="004A2443">
        <w:rPr>
          <w:rFonts w:ascii="Times New Roman" w:hAnsi="Times New Roman" w:cs="Times New Roman"/>
          <w:b/>
          <w:bCs/>
          <w:color w:val="000000" w:themeColor="text1"/>
          <w:sz w:val="24"/>
          <w:szCs w:val="24"/>
        </w:rPr>
        <w:t>Behaviour</w:t>
      </w:r>
      <w:r w:rsidRPr="004A2443">
        <w:rPr>
          <w:rFonts w:ascii="Times New Roman" w:hAnsi="Times New Roman" w:cs="Times New Roman"/>
          <w:b/>
          <w:bCs/>
          <w:color w:val="000000" w:themeColor="text1"/>
          <w:sz w:val="24"/>
          <w:szCs w:val="24"/>
        </w:rPr>
        <w:t>:</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These cultural nuances in India can impact organizational </w:t>
      </w:r>
      <w:r w:rsidR="008D271A" w:rsidRPr="004A2443">
        <w:rPr>
          <w:rFonts w:ascii="Times New Roman" w:hAnsi="Times New Roman" w:cs="Times New Roman"/>
          <w:color w:val="000000" w:themeColor="text1"/>
          <w:sz w:val="24"/>
          <w:szCs w:val="24"/>
        </w:rPr>
        <w:t>behaviour</w:t>
      </w:r>
      <w:r w:rsidRPr="004A2443">
        <w:rPr>
          <w:rFonts w:ascii="Times New Roman" w:hAnsi="Times New Roman" w:cs="Times New Roman"/>
          <w:color w:val="000000" w:themeColor="text1"/>
          <w:sz w:val="24"/>
          <w:szCs w:val="24"/>
        </w:rPr>
        <w:t xml:space="preserve"> by shaping communication patterns, decision-making processes, and power dynamics within workplaces. Employees might exhibit deference to seniority, affecting how they express opinions or participate in discussions. Additionally, management styles might focus on maintaining respect for authority, impacting the delegation of responsibilities and the way conflicts are managed within teams.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United Kingdom's Workplace Culture: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Conversely, the UK's workplace culture embraces a more egalitarian approach, encouraging open dialogue, and fostering relatively flat organizational structures (Gertsen &amp; Søndergaard, 2020). The organizational behaviour in UK workplaces is characterized by a more participatory decision-making process, where input from employees at different levels is valued. Leadership styles often lean towards inclusivity, encouraging collaborative and transparent approaches, which facilitate open discussions and mutual respect among team members.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Impact on Organizational Behaviour:</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In the UK context, these cultural nuances influence a more open and participative organizational behaviour. Employees are encouraged to voice opinions, engage in </w:t>
      </w:r>
      <w:r w:rsidRPr="004A2443">
        <w:rPr>
          <w:rFonts w:ascii="Times New Roman" w:hAnsi="Times New Roman" w:cs="Times New Roman"/>
          <w:color w:val="000000" w:themeColor="text1"/>
          <w:sz w:val="24"/>
          <w:szCs w:val="24"/>
        </w:rPr>
        <w:lastRenderedPageBreak/>
        <w:t>discussions, and contribute to decision-making processes. This egalitarian approach often leads to a more democratic work environment, promoting a sense of ownership and responsibility among employees. Conflict resolution might involve open discussions and consensus-building among team members, emphasizing mutual understanding and collaboration.</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Strategies for Addressing Cultural Divergence: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Cross-Cultural Training and Workshops: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HR professionals in both India and the UK prioritize cross-cultural training programs aimed at sensitizing employees to diverse cultural perspectives (Ting-Toomey &amp; Oetzel, 2001). These training initiatives involve educating employees about the cultural nuances, values, communication styles, and work practices prevalent in different cultures. Such training helps in fostering mutual understanding, respect, and appreciation for cultural differences, thereby minimizing misunderstandings and conflicts arising from diverse cultural backgrounds.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Cultural Exchange Programs: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Organizing cultural exchange programs between teams or branches in India and the UK serves as another effective strategy. These programs allow employees from different cultural backgrounds to collaborate, share experiences, and understand each other's working styles, thereby promoting cultural integration and teamwork. Through firsthand exposure, employees gain insights into diverse perspectives, enhancing their adaptability and empathy towards cultural differences.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Creating Platforms for Open Dialogue: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HR professionals create forums or platforms where employees from varied cultural backgrounds can engage in open discussions, share experiences, and express their viewpoints (Hofstede, 1980). These forums provide a space for employees to discuss cultural differences, exchange ideas, and find common ground, fostering an inclusive environment. Encouraging cross-cultural collaboration in projects or team activities further facilitates understanding and cooperation among employees from diverse backgrounds.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Implementation of Diversity Initiatives: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addition to training and dialogue, HR professionals implement diversity initiatives within organizations. These initiatives include policies promoting diversity and inclusion, such as recruitment strategies that prioritize diverse talent, mentorship programs, and diversity task forces. These strategies not only foster cultural integration but also cultivate an inclusive work environment where employees feel valued and respected irrespective of their cultural backgrounds.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 India:</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Inclusive Recruitment Practices: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HR initiatives in India incorporate inclusive recruitment practices aimed at attracting and retaining a diverse workforce. Strategies include actively seeking talent from varied cultural backgrounds, promoting equal opportunities for all applicants, and ensuring that the recruitment process is free from biases. By fostering diversity in the hiring process, </w:t>
      </w:r>
      <w:r w:rsidRPr="004A2443">
        <w:rPr>
          <w:rFonts w:ascii="Times New Roman" w:hAnsi="Times New Roman" w:cs="Times New Roman"/>
          <w:color w:val="000000" w:themeColor="text1"/>
          <w:sz w:val="24"/>
          <w:szCs w:val="24"/>
        </w:rPr>
        <w:lastRenderedPageBreak/>
        <w:t>organizations in India create a rich and varied talent pool that reflects the cultural diversity within the country.</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Employee Resource Groups (ERGs):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Indian organizations often establish Employee Resource Groups (ERGs) that bring together employees with common cultural backgrounds or interests. These groups serve as forums for employees to share experiences, celebrate cultural festivities, and offer support and mentorship within the organization. ERGs contribute to creating a sense of belongingness and inclusion among employees, allowing them to embrace their cultural identities while contributing to the workplace.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Cultural Awareness Campaigns: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HR initiatives in India also organize cultural awareness campaigns or workshops aimed at educating employees about the diverse cultural heritage within the country. These campaigns focus on promoting understanding, respect, and appreciation for different cultures, traditions, and values prevalent across various regions of India. Such initiatives foster a more inclusive and harmonious work environment where cultural differences are celebrated and valued.</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 the UK:</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Diversity Training:</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HR strategies in the UK prioritize diversity training programs that sensitize employees to different cultures, traditions, and perspectives. These programs aim to increase cultural awareness, minimize biases, and promote understanding among employees from diverse backgrounds. By providing insights into various cultural nuances, organizations in the UK cultivate a more inclusive and culturally sensitive workforce.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Mentoring Programs: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HR initiatives include mentoring programs that pair employees from diverse cultural backgrounds. These programs encourage cross-cultural interactions, provide guidance, and facilitate knowledge-sharing among employees. Through mentorship, individuals from different cultural backgrounds can learn from each other's experiences and perspectives, fostering a collaborative and supportive workplace environment.</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Establishment of Affinity Groups: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Organizations in the UK establish affinity groups or networks that bring together employees based on shared cultural identities or interests. These groups serve as platforms for employees to exchange ideas, celebrate cultural events, and advocate for diversity and inclusion within the workplace. Affinity groups promote cultural sensitivity, encourage dialogue, and create a sense of community among employees.</w:t>
      </w:r>
    </w:p>
    <w:p w:rsidR="004A2443" w:rsidRPr="004A2443" w:rsidRDefault="004A2443" w:rsidP="0001312C">
      <w:pPr>
        <w:rPr>
          <w:rFonts w:ascii="Times New Roman" w:hAnsi="Times New Roman" w:cs="Times New Roman"/>
          <w:color w:val="000000" w:themeColor="text1"/>
          <w:sz w:val="24"/>
          <w:szCs w:val="24"/>
        </w:rPr>
      </w:pPr>
    </w:p>
    <w:p w:rsidR="004A2443" w:rsidRPr="004A2443" w:rsidRDefault="004A2443" w:rsidP="0001312C">
      <w:pPr>
        <w:rPr>
          <w:rFonts w:ascii="Times New Roman" w:hAnsi="Times New Roman" w:cs="Times New Roman"/>
          <w:color w:val="000000" w:themeColor="text1"/>
          <w:sz w:val="24"/>
          <w:szCs w:val="24"/>
        </w:rPr>
      </w:pPr>
    </w:p>
    <w:p w:rsidR="004A2443" w:rsidRPr="004A2443" w:rsidRDefault="004A2443" w:rsidP="0001312C">
      <w:pPr>
        <w:rPr>
          <w:rFonts w:ascii="Times New Roman" w:hAnsi="Times New Roman" w:cs="Times New Roman"/>
          <w:color w:val="000000" w:themeColor="text1"/>
          <w:sz w:val="24"/>
          <w:szCs w:val="24"/>
        </w:rPr>
      </w:pPr>
    </w:p>
    <w:p w:rsidR="0001312C" w:rsidRPr="004A2443" w:rsidRDefault="008D271A" w:rsidP="008D271A">
      <w:pPr>
        <w:pStyle w:val="Heading1"/>
        <w:rPr>
          <w:rFonts w:ascii="Times New Roman" w:hAnsi="Times New Roman" w:cs="Times New Roman"/>
          <w:b/>
          <w:bCs/>
          <w:sz w:val="24"/>
          <w:szCs w:val="24"/>
        </w:rPr>
      </w:pPr>
      <w:bookmarkStart w:id="12" w:name="_Toc153973859"/>
      <w:r w:rsidRPr="004A2443">
        <w:rPr>
          <w:rFonts w:ascii="Times New Roman" w:hAnsi="Times New Roman" w:cs="Times New Roman"/>
          <w:b/>
          <w:bCs/>
          <w:sz w:val="24"/>
          <w:szCs w:val="24"/>
        </w:rPr>
        <w:lastRenderedPageBreak/>
        <w:t>Conclusion</w:t>
      </w:r>
      <w:bookmarkEnd w:id="12"/>
    </w:p>
    <w:p w:rsidR="008D271A" w:rsidRPr="004A2443" w:rsidRDefault="008D271A" w:rsidP="008D271A">
      <w:pPr>
        <w:rPr>
          <w:color w:val="000000" w:themeColor="text1"/>
        </w:rPr>
      </w:pP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The journey through the HRM practices in India and the United Kingdom paints a vivid picture of the diverse challenges, strategies, and cultural influences that weave into the fabric of managing human resources in these unique nations. Our exploration across talent acquisition, retention methodologies, ethical considerations, institutional frameworks, and workplace cultures reveals a fascinating tapestry of complexities inherent in HRM practices.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Insights and Varied Landscapes: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Our analysis uncovers a spectrum of differences and similarities in HRM practices between India and the UK. While each country faces its distinct hurdles in acquiring talent owing to economic and cultural intricacies, they share common ground in grappling with retention hurdles and ethical dilemmas. The regulatory systems and workplace cultures, shaped by unique values, significantly mold the contours of HR policies and approaches.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Adaptability and Contextual Understanding:</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This exploration highlights the critical need for adaptable HRM strategies that not only respect but celebrate cultural diversity, ethical considerations, and institutional nuances. Managing a workforce spanning such diverse socio-cultural terrains calls for flexible methodologies that honor local customs, legal obligations, and the ethos of organizations.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Pertinence for Global Enterprises:</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For global enterprises navigating the terrains of both India and the UK, this analysis serves as a compass, guiding them toward tailoring HRM strategies to resonate with distinct contexts. Embracing the inherent richness of cultural diversity and aligning HR practices with local legal frameworks can serve as a catalyst, propelling organizational efficiency, nurturing employee commitment, and fostering a culture of excellence.</w:t>
      </w:r>
    </w:p>
    <w:p w:rsidR="0001312C" w:rsidRPr="004A2443" w:rsidRDefault="0001312C" w:rsidP="0001312C">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In conclusion, our journey through this comparative analysis underscores the vital importance of understanding the interplay between culture, ethics, institutional frameworks, and HR strategies. Embracing and harmonizing these differences within an overarching organizational vision has the transformative potential to empower global enterprises, enabling them to deftly navigate complexities and cultivate thriving, resilient, and high-performing work cultures.</w:t>
      </w:r>
    </w:p>
    <w:p w:rsidR="008D271A" w:rsidRPr="004A2443" w:rsidRDefault="008D271A" w:rsidP="0001312C">
      <w:pPr>
        <w:rPr>
          <w:rFonts w:ascii="Times New Roman" w:hAnsi="Times New Roman" w:cs="Times New Roman"/>
          <w:color w:val="000000" w:themeColor="text1"/>
          <w:sz w:val="24"/>
          <w:szCs w:val="24"/>
        </w:rPr>
      </w:pPr>
    </w:p>
    <w:p w:rsidR="0001312C" w:rsidRPr="004A2443" w:rsidRDefault="0001312C" w:rsidP="008D271A">
      <w:pPr>
        <w:pStyle w:val="Heading1"/>
        <w:rPr>
          <w:rFonts w:ascii="Times New Roman" w:hAnsi="Times New Roman" w:cs="Times New Roman"/>
          <w:b/>
          <w:bCs/>
          <w:sz w:val="24"/>
          <w:szCs w:val="24"/>
        </w:rPr>
      </w:pPr>
      <w:bookmarkStart w:id="13" w:name="_Toc153973860"/>
      <w:r w:rsidRPr="004A2443">
        <w:rPr>
          <w:rFonts w:ascii="Times New Roman" w:hAnsi="Times New Roman" w:cs="Times New Roman"/>
          <w:b/>
          <w:bCs/>
          <w:sz w:val="24"/>
          <w:szCs w:val="24"/>
        </w:rPr>
        <w:t>Recommendations for Navigating HRM in Diverse Landscapes:</w:t>
      </w:r>
      <w:bookmarkEnd w:id="13"/>
    </w:p>
    <w:p w:rsidR="008D271A" w:rsidRPr="004A2443" w:rsidRDefault="008D271A" w:rsidP="008D271A">
      <w:pPr>
        <w:rPr>
          <w:color w:val="000000" w:themeColor="text1"/>
        </w:rPr>
      </w:pPr>
    </w:p>
    <w:p w:rsidR="008D271A" w:rsidRPr="004A2443" w:rsidRDefault="0001312C" w:rsidP="008D271A">
      <w:pPr>
        <w:numPr>
          <w:ilvl w:val="0"/>
          <w:numId w:val="3"/>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Building Bridges through Understanding:</w:t>
      </w:r>
    </w:p>
    <w:p w:rsidR="0001312C" w:rsidRPr="004A2443" w:rsidRDefault="0001312C" w:rsidP="0001312C">
      <w:pPr>
        <w:numPr>
          <w:ilvl w:val="1"/>
          <w:numId w:val="3"/>
        </w:num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Cultural Sensitivity Training</w:t>
      </w:r>
      <w:r w:rsidRPr="004A2443">
        <w:rPr>
          <w:rFonts w:ascii="Times New Roman" w:hAnsi="Times New Roman" w:cs="Times New Roman"/>
          <w:color w:val="000000" w:themeColor="text1"/>
          <w:sz w:val="24"/>
          <w:szCs w:val="24"/>
        </w:rPr>
        <w:t>: Let's embark on an enlightening journey of cross-cultural training sessions. These programs will offer a safe space for our diverse employees, fostering mutual understanding and promoting harmony among varied cultural backgrounds (Jackson, 2012).</w:t>
      </w:r>
    </w:p>
    <w:p w:rsidR="0001312C" w:rsidRPr="004A2443" w:rsidRDefault="0001312C" w:rsidP="0001312C">
      <w:pPr>
        <w:numPr>
          <w:ilvl w:val="0"/>
          <w:numId w:val="3"/>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Customizing for Inclusivity:</w:t>
      </w:r>
    </w:p>
    <w:p w:rsidR="0001312C" w:rsidRPr="004A2443" w:rsidRDefault="0001312C" w:rsidP="0001312C">
      <w:pPr>
        <w:numPr>
          <w:ilvl w:val="1"/>
          <w:numId w:val="3"/>
        </w:num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lastRenderedPageBreak/>
        <w:t>Adaptive HR Policies</w:t>
      </w:r>
      <w:r w:rsidRPr="004A2443">
        <w:rPr>
          <w:rFonts w:ascii="Times New Roman" w:hAnsi="Times New Roman" w:cs="Times New Roman"/>
          <w:color w:val="000000" w:themeColor="text1"/>
          <w:sz w:val="24"/>
          <w:szCs w:val="24"/>
        </w:rPr>
        <w:t>: Embrace the diverse cultural tapestries by customizing HR policies. Let's craft policies tailored to the unique cultural and legal landscapes of both India and the UK. This inclusive approach will honor individuality while nurturing a cohesive work environment (Dowling et al., 2008).</w:t>
      </w:r>
    </w:p>
    <w:p w:rsidR="0001312C" w:rsidRPr="004A2443" w:rsidRDefault="0001312C" w:rsidP="0001312C">
      <w:pPr>
        <w:numPr>
          <w:ilvl w:val="0"/>
          <w:numId w:val="3"/>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Upholding Ethical Commitments:</w:t>
      </w:r>
    </w:p>
    <w:p w:rsidR="0001312C" w:rsidRPr="004A2443" w:rsidRDefault="0001312C" w:rsidP="0001312C">
      <w:pPr>
        <w:numPr>
          <w:ilvl w:val="1"/>
          <w:numId w:val="3"/>
        </w:num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Ethical Compliance</w:t>
      </w:r>
      <w:r w:rsidRPr="004A2443">
        <w:rPr>
          <w:rFonts w:ascii="Times New Roman" w:hAnsi="Times New Roman" w:cs="Times New Roman"/>
          <w:color w:val="000000" w:themeColor="text1"/>
          <w:sz w:val="24"/>
          <w:szCs w:val="24"/>
        </w:rPr>
        <w:t>: Our commitment stands unwaveringly firm. Uphold the highest ethical standards! Let's meticulously adhere to local labor laws and global ethical guidelines, ensuring the utmost welfare of our valued employees (Gomez-Mejia et al., 2016).</w:t>
      </w:r>
    </w:p>
    <w:p w:rsidR="0001312C" w:rsidRPr="004A2443" w:rsidRDefault="0001312C" w:rsidP="0001312C">
      <w:pPr>
        <w:numPr>
          <w:ilvl w:val="0"/>
          <w:numId w:val="3"/>
        </w:numPr>
        <w:rPr>
          <w:rFonts w:ascii="Times New Roman" w:hAnsi="Times New Roman" w:cs="Times New Roman"/>
          <w:color w:val="000000" w:themeColor="text1"/>
          <w:sz w:val="24"/>
          <w:szCs w:val="24"/>
        </w:rPr>
      </w:pPr>
      <w:r w:rsidRPr="004A2443">
        <w:rPr>
          <w:rFonts w:ascii="Times New Roman" w:hAnsi="Times New Roman" w:cs="Times New Roman"/>
          <w:b/>
          <w:bCs/>
          <w:color w:val="000000" w:themeColor="text1"/>
          <w:sz w:val="24"/>
          <w:szCs w:val="24"/>
        </w:rPr>
        <w:t>Listening and Evolving:</w:t>
      </w:r>
    </w:p>
    <w:p w:rsidR="0001312C" w:rsidRPr="004A2443" w:rsidRDefault="0001312C" w:rsidP="0001312C">
      <w:pPr>
        <w:numPr>
          <w:ilvl w:val="1"/>
          <w:numId w:val="3"/>
        </w:numPr>
        <w:rPr>
          <w:rFonts w:ascii="Times New Roman" w:hAnsi="Times New Roman" w:cs="Times New Roman"/>
          <w:color w:val="000000" w:themeColor="text1"/>
          <w:sz w:val="24"/>
          <w:szCs w:val="24"/>
        </w:rPr>
      </w:pPr>
      <w:r w:rsidRPr="004A2443">
        <w:rPr>
          <w:rFonts w:ascii="Times New Roman" w:hAnsi="Times New Roman" w:cs="Times New Roman"/>
          <w:iCs/>
          <w:color w:val="000000" w:themeColor="text1"/>
          <w:sz w:val="24"/>
          <w:szCs w:val="24"/>
        </w:rPr>
        <w:t>Continuous Assessment</w:t>
      </w:r>
      <w:r w:rsidRPr="004A2443">
        <w:rPr>
          <w:rFonts w:ascii="Times New Roman" w:hAnsi="Times New Roman" w:cs="Times New Roman"/>
          <w:color w:val="000000" w:themeColor="text1"/>
          <w:sz w:val="24"/>
          <w:szCs w:val="24"/>
        </w:rPr>
        <w:t xml:space="preserve">: The key to evolution lies in listening. Regularly seek the voices of our employees in India and the UK. Let's ensure that our HR strategies are not static but fluid, responsive to the evolving cultural dynamics, thus fostering an environment of continuous improvement (Schuler &amp; Jackson, </w:t>
      </w:r>
      <w:bookmarkStart w:id="14" w:name="_GoBack"/>
      <w:bookmarkEnd w:id="14"/>
      <w:r w:rsidRPr="004A2443">
        <w:rPr>
          <w:rFonts w:ascii="Times New Roman" w:hAnsi="Times New Roman" w:cs="Times New Roman"/>
          <w:color w:val="000000" w:themeColor="text1"/>
          <w:sz w:val="24"/>
          <w:szCs w:val="24"/>
        </w:rPr>
        <w:t>2008)</w:t>
      </w:r>
    </w:p>
    <w:p w:rsidR="00AA7C6E" w:rsidRPr="004A2443" w:rsidRDefault="00AA7C6E">
      <w:pPr>
        <w:rPr>
          <w:rFonts w:ascii="Times New Roman" w:hAnsi="Times New Roman" w:cs="Times New Roman"/>
          <w:color w:val="000000" w:themeColor="text1"/>
          <w:sz w:val="24"/>
          <w:szCs w:val="24"/>
        </w:rPr>
      </w:pPr>
    </w:p>
    <w:p w:rsidR="004A2443" w:rsidRPr="004A2443" w:rsidRDefault="004A2443">
      <w:pPr>
        <w:rPr>
          <w:rFonts w:ascii="Times New Roman" w:hAnsi="Times New Roman" w:cs="Times New Roman"/>
          <w:color w:val="000000" w:themeColor="text1"/>
          <w:sz w:val="24"/>
          <w:szCs w:val="24"/>
        </w:rPr>
      </w:pPr>
    </w:p>
    <w:p w:rsidR="004A2443" w:rsidRPr="004A2443" w:rsidRDefault="004A2443">
      <w:pPr>
        <w:rPr>
          <w:rFonts w:ascii="Times New Roman" w:hAnsi="Times New Roman" w:cs="Times New Roman"/>
          <w:color w:val="000000" w:themeColor="text1"/>
          <w:sz w:val="24"/>
          <w:szCs w:val="24"/>
        </w:rPr>
      </w:pPr>
    </w:p>
    <w:p w:rsidR="004A2443" w:rsidRP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Default="004A2443">
      <w:pPr>
        <w:rPr>
          <w:rFonts w:ascii="Times New Roman" w:hAnsi="Times New Roman" w:cs="Times New Roman"/>
          <w:color w:val="000000" w:themeColor="text1"/>
          <w:sz w:val="24"/>
          <w:szCs w:val="24"/>
        </w:rPr>
      </w:pPr>
    </w:p>
    <w:p w:rsidR="004A2443" w:rsidRPr="004A2443" w:rsidRDefault="004A2443">
      <w:pPr>
        <w:rPr>
          <w:rFonts w:ascii="Times New Roman" w:hAnsi="Times New Roman" w:cs="Times New Roman"/>
          <w:color w:val="000000" w:themeColor="text1"/>
          <w:sz w:val="24"/>
          <w:szCs w:val="24"/>
        </w:rPr>
      </w:pPr>
    </w:p>
    <w:p w:rsidR="0001312C" w:rsidRPr="004A2443" w:rsidRDefault="0001312C" w:rsidP="008D271A">
      <w:pPr>
        <w:pStyle w:val="Heading1"/>
        <w:rPr>
          <w:rFonts w:ascii="Times New Roman" w:hAnsi="Times New Roman" w:cs="Times New Roman"/>
          <w:b/>
          <w:bCs/>
          <w:sz w:val="24"/>
          <w:szCs w:val="24"/>
        </w:rPr>
      </w:pPr>
      <w:bookmarkStart w:id="15" w:name="_Toc153973861"/>
      <w:r w:rsidRPr="004A2443">
        <w:rPr>
          <w:rFonts w:ascii="Times New Roman" w:hAnsi="Times New Roman" w:cs="Times New Roman"/>
          <w:b/>
          <w:bCs/>
          <w:sz w:val="24"/>
          <w:szCs w:val="24"/>
        </w:rPr>
        <w:t>References:</w:t>
      </w:r>
      <w:bookmarkEnd w:id="15"/>
    </w:p>
    <w:p w:rsidR="008D271A" w:rsidRPr="004A2443" w:rsidRDefault="008D271A" w:rsidP="008D271A">
      <w:pPr>
        <w:rPr>
          <w:color w:val="000000" w:themeColor="text1"/>
        </w:rPr>
      </w:pP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Ahlstrom, D., &amp; Bruton, G. D. (2010). International management: Strategy and culture in the emerging world. Cengage Learning.</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Brewster, C., &amp; Mayrhofer, W. (2012). Handbook of Research on Comparative Human Resource Management. Edward Elgar Publishing.</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Budhwar, P. S., &amp; Debrah, Y. A. (Eds.). (2013). Human resource management in developing countries. Routledge.</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Cascio, W. F., &amp; Boudreau, J. W. (2011). Investing in People: Financial Impact of Human Resource Initiatives. Pearson Education.</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Datta, D. K., Guthrie, J. P., &amp; Wright, P. M. (2005). Human resource management and labor productivity: Does industry matter? </w:t>
      </w:r>
      <w:r w:rsidRPr="004A2443">
        <w:rPr>
          <w:rFonts w:ascii="Times New Roman" w:hAnsi="Times New Roman" w:cs="Times New Roman"/>
          <w:i/>
          <w:iCs/>
          <w:color w:val="000000" w:themeColor="text1"/>
          <w:sz w:val="24"/>
          <w:szCs w:val="24"/>
        </w:rPr>
        <w:t>Academy of Management Journal, 48</w:t>
      </w:r>
      <w:r w:rsidRPr="004A2443">
        <w:rPr>
          <w:rFonts w:ascii="Times New Roman" w:hAnsi="Times New Roman" w:cs="Times New Roman"/>
          <w:color w:val="000000" w:themeColor="text1"/>
          <w:sz w:val="24"/>
          <w:szCs w:val="24"/>
        </w:rPr>
        <w:t>(1), 135-145.</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Delery, J. E., &amp; Roumpi, D. (2017). Strategic Human Resource Management, Human Capital and Competitive Advantage: Is the Field Going in Circles? </w:t>
      </w:r>
      <w:r w:rsidRPr="004A2443">
        <w:rPr>
          <w:rFonts w:ascii="Times New Roman" w:hAnsi="Times New Roman" w:cs="Times New Roman"/>
          <w:i/>
          <w:iCs/>
          <w:color w:val="000000" w:themeColor="text1"/>
          <w:sz w:val="24"/>
          <w:szCs w:val="24"/>
        </w:rPr>
        <w:t>Human Resource Management Journal, 27</w:t>
      </w:r>
      <w:r w:rsidRPr="004A2443">
        <w:rPr>
          <w:rFonts w:ascii="Times New Roman" w:hAnsi="Times New Roman" w:cs="Times New Roman"/>
          <w:color w:val="000000" w:themeColor="text1"/>
          <w:sz w:val="24"/>
          <w:szCs w:val="24"/>
        </w:rPr>
        <w:t>(1), 1-21.</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Farndale, E., Scullion, H., &amp; Sparrow, P. (2010). The Role of the Corporate HR Function in Global Talent Management. </w:t>
      </w:r>
      <w:r w:rsidRPr="004A2443">
        <w:rPr>
          <w:rFonts w:ascii="Times New Roman" w:hAnsi="Times New Roman" w:cs="Times New Roman"/>
          <w:i/>
          <w:iCs/>
          <w:color w:val="000000" w:themeColor="text1"/>
          <w:sz w:val="24"/>
          <w:szCs w:val="24"/>
        </w:rPr>
        <w:t>Journal of World Business, 45</w:t>
      </w:r>
      <w:r w:rsidRPr="004A2443">
        <w:rPr>
          <w:rFonts w:ascii="Times New Roman" w:hAnsi="Times New Roman" w:cs="Times New Roman"/>
          <w:color w:val="000000" w:themeColor="text1"/>
          <w:sz w:val="24"/>
          <w:szCs w:val="24"/>
        </w:rPr>
        <w:t>(2), 161-168.</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Festing, M., &amp; Schäfer, L. (2014). Generational challenges to talent management: A framework for talent retention based on the psychological-contract perspective. </w:t>
      </w:r>
      <w:r w:rsidRPr="004A2443">
        <w:rPr>
          <w:rFonts w:ascii="Times New Roman" w:hAnsi="Times New Roman" w:cs="Times New Roman"/>
          <w:i/>
          <w:iCs/>
          <w:color w:val="000000" w:themeColor="text1"/>
          <w:sz w:val="24"/>
          <w:szCs w:val="24"/>
        </w:rPr>
        <w:t>Journal of World Business, 49</w:t>
      </w:r>
      <w:r w:rsidRPr="004A2443">
        <w:rPr>
          <w:rFonts w:ascii="Times New Roman" w:hAnsi="Times New Roman" w:cs="Times New Roman"/>
          <w:color w:val="000000" w:themeColor="text1"/>
          <w:sz w:val="24"/>
          <w:szCs w:val="24"/>
        </w:rPr>
        <w:t>(2), 262-271.</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Hofstede, G. (2001). Culture's Consequences: Comparing Values, Behaviors, Institutions and Organizations Across Nations. Sage Publications.</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Jackson, T., &amp; Schuler, R. S. (2003). Managing Human Resources in Cross-Border Alliances. </w:t>
      </w:r>
      <w:r w:rsidRPr="004A2443">
        <w:rPr>
          <w:rFonts w:ascii="Times New Roman" w:hAnsi="Times New Roman" w:cs="Times New Roman"/>
          <w:i/>
          <w:iCs/>
          <w:color w:val="000000" w:themeColor="text1"/>
          <w:sz w:val="24"/>
          <w:szCs w:val="24"/>
        </w:rPr>
        <w:t>Human Resource Management Review, 13</w:t>
      </w:r>
      <w:r w:rsidRPr="004A2443">
        <w:rPr>
          <w:rFonts w:ascii="Times New Roman" w:hAnsi="Times New Roman" w:cs="Times New Roman"/>
          <w:color w:val="000000" w:themeColor="text1"/>
          <w:sz w:val="24"/>
          <w:szCs w:val="24"/>
        </w:rPr>
        <w:t>(1), 69-92.</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Kramar, R., Bartram, T., De Cieri, H., Noe, R. A., Hollenbeck, J. R., Gerhart, B., &amp; Wright, P. M. (2014). Human resource management in Australia and New Zealand. McGraw-Hill Education.</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Milkovich, G. T., Newman, J. M., &amp; Gerhart, B. (2013). Compensation. McGraw-Hill Higher Education.</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Morris, S. S., &amp; Pinnington, A. H. (2011). Human Resource Management: A Global and Critical Perspective. Palgrave Macmillan.</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Pfeffer, J. (2005). Producing sustainable competitive advantage through the effective management of people. </w:t>
      </w:r>
      <w:r w:rsidRPr="004A2443">
        <w:rPr>
          <w:rFonts w:ascii="Times New Roman" w:hAnsi="Times New Roman" w:cs="Times New Roman"/>
          <w:i/>
          <w:iCs/>
          <w:color w:val="000000" w:themeColor="text1"/>
          <w:sz w:val="24"/>
          <w:szCs w:val="24"/>
        </w:rPr>
        <w:t>The Academy of Management Executive, 19</w:t>
      </w:r>
      <w:r w:rsidRPr="004A2443">
        <w:rPr>
          <w:rFonts w:ascii="Times New Roman" w:hAnsi="Times New Roman" w:cs="Times New Roman"/>
          <w:color w:val="000000" w:themeColor="text1"/>
          <w:sz w:val="24"/>
          <w:szCs w:val="24"/>
        </w:rPr>
        <w:t>(4), 95-106.</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lastRenderedPageBreak/>
        <w:t>Redman, T., &amp; Wilkinson, A. (Eds.). (2013). Contemporary Human Resource Management: Text and Cases. Pearson Education.</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Roy, R. (2012). International human resource management: Text and cases. PHI Learning Pvt. Ltd.</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Schuler, R. S., Jackson, S. E., &amp; Tarique, I. (2011). Global talent management and global talent challenges: Strategic opportunities for IHRM. </w:t>
      </w:r>
      <w:r w:rsidRPr="004A2443">
        <w:rPr>
          <w:rFonts w:ascii="Times New Roman" w:hAnsi="Times New Roman" w:cs="Times New Roman"/>
          <w:i/>
          <w:iCs/>
          <w:color w:val="000000" w:themeColor="text1"/>
          <w:sz w:val="24"/>
          <w:szCs w:val="24"/>
        </w:rPr>
        <w:t>Journal of World Business, 46</w:t>
      </w:r>
      <w:r w:rsidRPr="004A2443">
        <w:rPr>
          <w:rFonts w:ascii="Times New Roman" w:hAnsi="Times New Roman" w:cs="Times New Roman"/>
          <w:color w:val="000000" w:themeColor="text1"/>
          <w:sz w:val="24"/>
          <w:szCs w:val="24"/>
        </w:rPr>
        <w:t>(4), 506-516.</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Sparrow, P., Brewster, C., &amp; Chung, C. (2016). Globalizing Human Resource Management. Routledge.</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Taylor, S. (2014). Human resource management: Perspectives, context, functions, and outcomes. Oxford University Press.</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Varma, A., Budhwar, P., &amp; DeNisi, A. (2008). Performance management systems: A global perspective. Routledge.</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 Cooke, F. L., &amp; Saini, D. S. (2010). Diversity in the workplace: Multi-disciplinary and international perspectives. Emerald Group Publishing.</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Gupta, A. K., &amp; Govindarajan, V. (2001). Converting global presence into global competitive advantage. </w:t>
      </w:r>
      <w:r w:rsidRPr="004A2443">
        <w:rPr>
          <w:rFonts w:ascii="Times New Roman" w:hAnsi="Times New Roman" w:cs="Times New Roman"/>
          <w:i/>
          <w:iCs/>
          <w:color w:val="000000" w:themeColor="text1"/>
          <w:sz w:val="24"/>
          <w:szCs w:val="24"/>
        </w:rPr>
        <w:t>Academy of Management Executive, 15</w:t>
      </w:r>
      <w:r w:rsidRPr="004A2443">
        <w:rPr>
          <w:rFonts w:ascii="Times New Roman" w:hAnsi="Times New Roman" w:cs="Times New Roman"/>
          <w:color w:val="000000" w:themeColor="text1"/>
          <w:sz w:val="24"/>
          <w:szCs w:val="24"/>
        </w:rPr>
        <w:t>(2), 45-56.</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Jackson, S. E., &amp; Ruderman, M. (Eds.). (1999). Diversity in work teams: Research paradigms for a changing workplace. American Psychological Association.</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Legge, K. (2005). Human Resource Management: Rhetorics and Realities. Palgrave Macmillan.</w:t>
      </w:r>
    </w:p>
    <w:p w:rsidR="0001312C" w:rsidRPr="004A2443" w:rsidRDefault="0001312C" w:rsidP="008D271A">
      <w:pPr>
        <w:rPr>
          <w:rFonts w:ascii="Times New Roman" w:hAnsi="Times New Roman" w:cs="Times New Roman"/>
          <w:color w:val="000000" w:themeColor="text1"/>
          <w:sz w:val="24"/>
          <w:szCs w:val="24"/>
        </w:rPr>
      </w:pPr>
      <w:r w:rsidRPr="004A2443">
        <w:rPr>
          <w:rFonts w:ascii="Times New Roman" w:hAnsi="Times New Roman" w:cs="Times New Roman"/>
          <w:color w:val="000000" w:themeColor="text1"/>
          <w:sz w:val="24"/>
          <w:szCs w:val="24"/>
        </w:rPr>
        <w:t xml:space="preserve">Rosenzweig, P. M., &amp; Nohria, N. (1994). Influences on human resource management practices in multinational corporations. </w:t>
      </w:r>
      <w:r w:rsidRPr="004A2443">
        <w:rPr>
          <w:rFonts w:ascii="Times New Roman" w:hAnsi="Times New Roman" w:cs="Times New Roman"/>
          <w:i/>
          <w:iCs/>
          <w:color w:val="000000" w:themeColor="text1"/>
          <w:sz w:val="24"/>
          <w:szCs w:val="24"/>
        </w:rPr>
        <w:t>Journal of International Business Studies, 25</w:t>
      </w:r>
      <w:r w:rsidRPr="004A2443">
        <w:rPr>
          <w:rFonts w:ascii="Times New Roman" w:hAnsi="Times New Roman" w:cs="Times New Roman"/>
          <w:color w:val="000000" w:themeColor="text1"/>
          <w:sz w:val="24"/>
          <w:szCs w:val="24"/>
        </w:rPr>
        <w:t>(2), 229-251.</w:t>
      </w:r>
    </w:p>
    <w:p w:rsidR="0001312C" w:rsidRPr="004A2443" w:rsidRDefault="0001312C">
      <w:pPr>
        <w:rPr>
          <w:rFonts w:ascii="Times New Roman" w:hAnsi="Times New Roman" w:cs="Times New Roman"/>
          <w:color w:val="000000" w:themeColor="text1"/>
          <w:sz w:val="24"/>
          <w:szCs w:val="24"/>
        </w:rPr>
      </w:pPr>
    </w:p>
    <w:sectPr w:rsidR="0001312C" w:rsidRPr="004A2443" w:rsidSect="008D271A">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2063" w:rsidRDefault="00B02063" w:rsidP="008D271A">
      <w:pPr>
        <w:spacing w:after="0" w:line="240" w:lineRule="auto"/>
      </w:pPr>
      <w:r>
        <w:separator/>
      </w:r>
    </w:p>
  </w:endnote>
  <w:endnote w:type="continuationSeparator" w:id="0">
    <w:p w:rsidR="00B02063" w:rsidRDefault="00B02063" w:rsidP="008D2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6165667"/>
      <w:docPartObj>
        <w:docPartGallery w:val="Page Numbers (Bottom of Page)"/>
        <w:docPartUnique/>
      </w:docPartObj>
    </w:sdtPr>
    <w:sdtEndPr>
      <w:rPr>
        <w:noProof/>
      </w:rPr>
    </w:sdtEndPr>
    <w:sdtContent>
      <w:p w:rsidR="008D271A" w:rsidRDefault="008D271A">
        <w:pPr>
          <w:pStyle w:val="Footer"/>
          <w:jc w:val="center"/>
        </w:pPr>
        <w:r>
          <w:fldChar w:fldCharType="begin"/>
        </w:r>
        <w:r>
          <w:instrText xml:space="preserve"> PAGE   \* MERGEFORMAT </w:instrText>
        </w:r>
        <w:r>
          <w:fldChar w:fldCharType="separate"/>
        </w:r>
        <w:r w:rsidR="004A2443">
          <w:rPr>
            <w:noProof/>
          </w:rPr>
          <w:t>4</w:t>
        </w:r>
        <w:r>
          <w:rPr>
            <w:noProof/>
          </w:rPr>
          <w:fldChar w:fldCharType="end"/>
        </w:r>
      </w:p>
    </w:sdtContent>
  </w:sdt>
  <w:p w:rsidR="008D271A" w:rsidRDefault="008D271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2063" w:rsidRDefault="00B02063" w:rsidP="008D271A">
      <w:pPr>
        <w:spacing w:after="0" w:line="240" w:lineRule="auto"/>
      </w:pPr>
      <w:r>
        <w:separator/>
      </w:r>
    </w:p>
  </w:footnote>
  <w:footnote w:type="continuationSeparator" w:id="0">
    <w:p w:rsidR="00B02063" w:rsidRDefault="00B02063" w:rsidP="008D27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07286"/>
    <w:multiLevelType w:val="multilevel"/>
    <w:tmpl w:val="AD2AA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C62C0D"/>
    <w:multiLevelType w:val="multilevel"/>
    <w:tmpl w:val="711A5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FC150F"/>
    <w:multiLevelType w:val="multilevel"/>
    <w:tmpl w:val="1B062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A22CB9"/>
    <w:multiLevelType w:val="multilevel"/>
    <w:tmpl w:val="F1BEBD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7BDD"/>
    <w:rsid w:val="0001312C"/>
    <w:rsid w:val="0040108C"/>
    <w:rsid w:val="00487BDD"/>
    <w:rsid w:val="004A2443"/>
    <w:rsid w:val="008D271A"/>
    <w:rsid w:val="00AA1841"/>
    <w:rsid w:val="00AA7C6E"/>
    <w:rsid w:val="00B0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3F594"/>
  <w15:chartTrackingRefBased/>
  <w15:docId w15:val="{C63F0C67-684B-4A00-88B8-EED6F9F02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31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131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12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01312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D271A"/>
    <w:pPr>
      <w:outlineLvl w:val="9"/>
    </w:pPr>
    <w:rPr>
      <w:lang w:val="en-US"/>
    </w:rPr>
  </w:style>
  <w:style w:type="paragraph" w:styleId="TOC1">
    <w:name w:val="toc 1"/>
    <w:basedOn w:val="Normal"/>
    <w:next w:val="Normal"/>
    <w:autoRedefine/>
    <w:uiPriority w:val="39"/>
    <w:unhideWhenUsed/>
    <w:rsid w:val="008D271A"/>
    <w:pPr>
      <w:spacing w:after="100"/>
    </w:pPr>
  </w:style>
  <w:style w:type="paragraph" w:styleId="TOC2">
    <w:name w:val="toc 2"/>
    <w:basedOn w:val="Normal"/>
    <w:next w:val="Normal"/>
    <w:autoRedefine/>
    <w:uiPriority w:val="39"/>
    <w:unhideWhenUsed/>
    <w:rsid w:val="008D271A"/>
    <w:pPr>
      <w:spacing w:after="100"/>
      <w:ind w:left="220"/>
    </w:pPr>
  </w:style>
  <w:style w:type="character" w:styleId="Hyperlink">
    <w:name w:val="Hyperlink"/>
    <w:basedOn w:val="DefaultParagraphFont"/>
    <w:uiPriority w:val="99"/>
    <w:unhideWhenUsed/>
    <w:rsid w:val="008D271A"/>
    <w:rPr>
      <w:color w:val="0563C1" w:themeColor="hyperlink"/>
      <w:u w:val="single"/>
    </w:rPr>
  </w:style>
  <w:style w:type="paragraph" w:styleId="Header">
    <w:name w:val="header"/>
    <w:basedOn w:val="Normal"/>
    <w:link w:val="HeaderChar"/>
    <w:uiPriority w:val="99"/>
    <w:unhideWhenUsed/>
    <w:rsid w:val="008D2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71A"/>
  </w:style>
  <w:style w:type="paragraph" w:styleId="Footer">
    <w:name w:val="footer"/>
    <w:basedOn w:val="Normal"/>
    <w:link w:val="FooterChar"/>
    <w:uiPriority w:val="99"/>
    <w:unhideWhenUsed/>
    <w:rsid w:val="008D2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77119">
      <w:bodyDiv w:val="1"/>
      <w:marLeft w:val="0"/>
      <w:marRight w:val="0"/>
      <w:marTop w:val="0"/>
      <w:marBottom w:val="0"/>
      <w:divBdr>
        <w:top w:val="none" w:sz="0" w:space="0" w:color="auto"/>
        <w:left w:val="none" w:sz="0" w:space="0" w:color="auto"/>
        <w:bottom w:val="none" w:sz="0" w:space="0" w:color="auto"/>
        <w:right w:val="none" w:sz="0" w:space="0" w:color="auto"/>
      </w:divBdr>
    </w:div>
    <w:div w:id="151991795">
      <w:bodyDiv w:val="1"/>
      <w:marLeft w:val="0"/>
      <w:marRight w:val="0"/>
      <w:marTop w:val="0"/>
      <w:marBottom w:val="0"/>
      <w:divBdr>
        <w:top w:val="none" w:sz="0" w:space="0" w:color="auto"/>
        <w:left w:val="none" w:sz="0" w:space="0" w:color="auto"/>
        <w:bottom w:val="none" w:sz="0" w:space="0" w:color="auto"/>
        <w:right w:val="none" w:sz="0" w:space="0" w:color="auto"/>
      </w:divBdr>
    </w:div>
    <w:div w:id="230697567">
      <w:bodyDiv w:val="1"/>
      <w:marLeft w:val="0"/>
      <w:marRight w:val="0"/>
      <w:marTop w:val="0"/>
      <w:marBottom w:val="0"/>
      <w:divBdr>
        <w:top w:val="none" w:sz="0" w:space="0" w:color="auto"/>
        <w:left w:val="none" w:sz="0" w:space="0" w:color="auto"/>
        <w:bottom w:val="none" w:sz="0" w:space="0" w:color="auto"/>
        <w:right w:val="none" w:sz="0" w:space="0" w:color="auto"/>
      </w:divBdr>
    </w:div>
    <w:div w:id="299893896">
      <w:bodyDiv w:val="1"/>
      <w:marLeft w:val="0"/>
      <w:marRight w:val="0"/>
      <w:marTop w:val="0"/>
      <w:marBottom w:val="0"/>
      <w:divBdr>
        <w:top w:val="none" w:sz="0" w:space="0" w:color="auto"/>
        <w:left w:val="none" w:sz="0" w:space="0" w:color="auto"/>
        <w:bottom w:val="none" w:sz="0" w:space="0" w:color="auto"/>
        <w:right w:val="none" w:sz="0" w:space="0" w:color="auto"/>
      </w:divBdr>
    </w:div>
    <w:div w:id="406994937">
      <w:bodyDiv w:val="1"/>
      <w:marLeft w:val="0"/>
      <w:marRight w:val="0"/>
      <w:marTop w:val="0"/>
      <w:marBottom w:val="0"/>
      <w:divBdr>
        <w:top w:val="none" w:sz="0" w:space="0" w:color="auto"/>
        <w:left w:val="none" w:sz="0" w:space="0" w:color="auto"/>
        <w:bottom w:val="none" w:sz="0" w:space="0" w:color="auto"/>
        <w:right w:val="none" w:sz="0" w:space="0" w:color="auto"/>
      </w:divBdr>
    </w:div>
    <w:div w:id="581916101">
      <w:bodyDiv w:val="1"/>
      <w:marLeft w:val="0"/>
      <w:marRight w:val="0"/>
      <w:marTop w:val="0"/>
      <w:marBottom w:val="0"/>
      <w:divBdr>
        <w:top w:val="none" w:sz="0" w:space="0" w:color="auto"/>
        <w:left w:val="none" w:sz="0" w:space="0" w:color="auto"/>
        <w:bottom w:val="none" w:sz="0" w:space="0" w:color="auto"/>
        <w:right w:val="none" w:sz="0" w:space="0" w:color="auto"/>
      </w:divBdr>
    </w:div>
    <w:div w:id="721516078">
      <w:bodyDiv w:val="1"/>
      <w:marLeft w:val="0"/>
      <w:marRight w:val="0"/>
      <w:marTop w:val="0"/>
      <w:marBottom w:val="0"/>
      <w:divBdr>
        <w:top w:val="none" w:sz="0" w:space="0" w:color="auto"/>
        <w:left w:val="none" w:sz="0" w:space="0" w:color="auto"/>
        <w:bottom w:val="none" w:sz="0" w:space="0" w:color="auto"/>
        <w:right w:val="none" w:sz="0" w:space="0" w:color="auto"/>
      </w:divBdr>
    </w:div>
    <w:div w:id="735248584">
      <w:bodyDiv w:val="1"/>
      <w:marLeft w:val="0"/>
      <w:marRight w:val="0"/>
      <w:marTop w:val="0"/>
      <w:marBottom w:val="0"/>
      <w:divBdr>
        <w:top w:val="none" w:sz="0" w:space="0" w:color="auto"/>
        <w:left w:val="none" w:sz="0" w:space="0" w:color="auto"/>
        <w:bottom w:val="none" w:sz="0" w:space="0" w:color="auto"/>
        <w:right w:val="none" w:sz="0" w:space="0" w:color="auto"/>
      </w:divBdr>
    </w:div>
    <w:div w:id="747574599">
      <w:bodyDiv w:val="1"/>
      <w:marLeft w:val="0"/>
      <w:marRight w:val="0"/>
      <w:marTop w:val="0"/>
      <w:marBottom w:val="0"/>
      <w:divBdr>
        <w:top w:val="none" w:sz="0" w:space="0" w:color="auto"/>
        <w:left w:val="none" w:sz="0" w:space="0" w:color="auto"/>
        <w:bottom w:val="none" w:sz="0" w:space="0" w:color="auto"/>
        <w:right w:val="none" w:sz="0" w:space="0" w:color="auto"/>
      </w:divBdr>
    </w:div>
    <w:div w:id="782699170">
      <w:bodyDiv w:val="1"/>
      <w:marLeft w:val="0"/>
      <w:marRight w:val="0"/>
      <w:marTop w:val="0"/>
      <w:marBottom w:val="0"/>
      <w:divBdr>
        <w:top w:val="none" w:sz="0" w:space="0" w:color="auto"/>
        <w:left w:val="none" w:sz="0" w:space="0" w:color="auto"/>
        <w:bottom w:val="none" w:sz="0" w:space="0" w:color="auto"/>
        <w:right w:val="none" w:sz="0" w:space="0" w:color="auto"/>
      </w:divBdr>
    </w:div>
    <w:div w:id="807894496">
      <w:bodyDiv w:val="1"/>
      <w:marLeft w:val="0"/>
      <w:marRight w:val="0"/>
      <w:marTop w:val="0"/>
      <w:marBottom w:val="0"/>
      <w:divBdr>
        <w:top w:val="none" w:sz="0" w:space="0" w:color="auto"/>
        <w:left w:val="none" w:sz="0" w:space="0" w:color="auto"/>
        <w:bottom w:val="none" w:sz="0" w:space="0" w:color="auto"/>
        <w:right w:val="none" w:sz="0" w:space="0" w:color="auto"/>
      </w:divBdr>
    </w:div>
    <w:div w:id="832062438">
      <w:bodyDiv w:val="1"/>
      <w:marLeft w:val="0"/>
      <w:marRight w:val="0"/>
      <w:marTop w:val="0"/>
      <w:marBottom w:val="0"/>
      <w:divBdr>
        <w:top w:val="none" w:sz="0" w:space="0" w:color="auto"/>
        <w:left w:val="none" w:sz="0" w:space="0" w:color="auto"/>
        <w:bottom w:val="none" w:sz="0" w:space="0" w:color="auto"/>
        <w:right w:val="none" w:sz="0" w:space="0" w:color="auto"/>
      </w:divBdr>
    </w:div>
    <w:div w:id="875121868">
      <w:bodyDiv w:val="1"/>
      <w:marLeft w:val="0"/>
      <w:marRight w:val="0"/>
      <w:marTop w:val="0"/>
      <w:marBottom w:val="0"/>
      <w:divBdr>
        <w:top w:val="none" w:sz="0" w:space="0" w:color="auto"/>
        <w:left w:val="none" w:sz="0" w:space="0" w:color="auto"/>
        <w:bottom w:val="none" w:sz="0" w:space="0" w:color="auto"/>
        <w:right w:val="none" w:sz="0" w:space="0" w:color="auto"/>
      </w:divBdr>
    </w:div>
    <w:div w:id="1063019523">
      <w:bodyDiv w:val="1"/>
      <w:marLeft w:val="0"/>
      <w:marRight w:val="0"/>
      <w:marTop w:val="0"/>
      <w:marBottom w:val="0"/>
      <w:divBdr>
        <w:top w:val="none" w:sz="0" w:space="0" w:color="auto"/>
        <w:left w:val="none" w:sz="0" w:space="0" w:color="auto"/>
        <w:bottom w:val="none" w:sz="0" w:space="0" w:color="auto"/>
        <w:right w:val="none" w:sz="0" w:space="0" w:color="auto"/>
      </w:divBdr>
    </w:div>
    <w:div w:id="1211720719">
      <w:bodyDiv w:val="1"/>
      <w:marLeft w:val="0"/>
      <w:marRight w:val="0"/>
      <w:marTop w:val="0"/>
      <w:marBottom w:val="0"/>
      <w:divBdr>
        <w:top w:val="none" w:sz="0" w:space="0" w:color="auto"/>
        <w:left w:val="none" w:sz="0" w:space="0" w:color="auto"/>
        <w:bottom w:val="none" w:sz="0" w:space="0" w:color="auto"/>
        <w:right w:val="none" w:sz="0" w:space="0" w:color="auto"/>
      </w:divBdr>
    </w:div>
    <w:div w:id="1279721974">
      <w:bodyDiv w:val="1"/>
      <w:marLeft w:val="0"/>
      <w:marRight w:val="0"/>
      <w:marTop w:val="0"/>
      <w:marBottom w:val="0"/>
      <w:divBdr>
        <w:top w:val="none" w:sz="0" w:space="0" w:color="auto"/>
        <w:left w:val="none" w:sz="0" w:space="0" w:color="auto"/>
        <w:bottom w:val="none" w:sz="0" w:space="0" w:color="auto"/>
        <w:right w:val="none" w:sz="0" w:space="0" w:color="auto"/>
      </w:divBdr>
    </w:div>
    <w:div w:id="1369601458">
      <w:bodyDiv w:val="1"/>
      <w:marLeft w:val="0"/>
      <w:marRight w:val="0"/>
      <w:marTop w:val="0"/>
      <w:marBottom w:val="0"/>
      <w:divBdr>
        <w:top w:val="none" w:sz="0" w:space="0" w:color="auto"/>
        <w:left w:val="none" w:sz="0" w:space="0" w:color="auto"/>
        <w:bottom w:val="none" w:sz="0" w:space="0" w:color="auto"/>
        <w:right w:val="none" w:sz="0" w:space="0" w:color="auto"/>
      </w:divBdr>
    </w:div>
    <w:div w:id="1405952057">
      <w:bodyDiv w:val="1"/>
      <w:marLeft w:val="0"/>
      <w:marRight w:val="0"/>
      <w:marTop w:val="0"/>
      <w:marBottom w:val="0"/>
      <w:divBdr>
        <w:top w:val="none" w:sz="0" w:space="0" w:color="auto"/>
        <w:left w:val="none" w:sz="0" w:space="0" w:color="auto"/>
        <w:bottom w:val="none" w:sz="0" w:space="0" w:color="auto"/>
        <w:right w:val="none" w:sz="0" w:space="0" w:color="auto"/>
      </w:divBdr>
    </w:div>
    <w:div w:id="1440836008">
      <w:bodyDiv w:val="1"/>
      <w:marLeft w:val="0"/>
      <w:marRight w:val="0"/>
      <w:marTop w:val="0"/>
      <w:marBottom w:val="0"/>
      <w:divBdr>
        <w:top w:val="none" w:sz="0" w:space="0" w:color="auto"/>
        <w:left w:val="none" w:sz="0" w:space="0" w:color="auto"/>
        <w:bottom w:val="none" w:sz="0" w:space="0" w:color="auto"/>
        <w:right w:val="none" w:sz="0" w:space="0" w:color="auto"/>
      </w:divBdr>
    </w:div>
    <w:div w:id="1449083180">
      <w:bodyDiv w:val="1"/>
      <w:marLeft w:val="0"/>
      <w:marRight w:val="0"/>
      <w:marTop w:val="0"/>
      <w:marBottom w:val="0"/>
      <w:divBdr>
        <w:top w:val="none" w:sz="0" w:space="0" w:color="auto"/>
        <w:left w:val="none" w:sz="0" w:space="0" w:color="auto"/>
        <w:bottom w:val="none" w:sz="0" w:space="0" w:color="auto"/>
        <w:right w:val="none" w:sz="0" w:space="0" w:color="auto"/>
      </w:divBdr>
    </w:div>
    <w:div w:id="1501654260">
      <w:bodyDiv w:val="1"/>
      <w:marLeft w:val="0"/>
      <w:marRight w:val="0"/>
      <w:marTop w:val="0"/>
      <w:marBottom w:val="0"/>
      <w:divBdr>
        <w:top w:val="none" w:sz="0" w:space="0" w:color="auto"/>
        <w:left w:val="none" w:sz="0" w:space="0" w:color="auto"/>
        <w:bottom w:val="none" w:sz="0" w:space="0" w:color="auto"/>
        <w:right w:val="none" w:sz="0" w:space="0" w:color="auto"/>
      </w:divBdr>
    </w:div>
    <w:div w:id="1514371745">
      <w:bodyDiv w:val="1"/>
      <w:marLeft w:val="0"/>
      <w:marRight w:val="0"/>
      <w:marTop w:val="0"/>
      <w:marBottom w:val="0"/>
      <w:divBdr>
        <w:top w:val="none" w:sz="0" w:space="0" w:color="auto"/>
        <w:left w:val="none" w:sz="0" w:space="0" w:color="auto"/>
        <w:bottom w:val="none" w:sz="0" w:space="0" w:color="auto"/>
        <w:right w:val="none" w:sz="0" w:space="0" w:color="auto"/>
      </w:divBdr>
    </w:div>
    <w:div w:id="1674643054">
      <w:bodyDiv w:val="1"/>
      <w:marLeft w:val="0"/>
      <w:marRight w:val="0"/>
      <w:marTop w:val="0"/>
      <w:marBottom w:val="0"/>
      <w:divBdr>
        <w:top w:val="none" w:sz="0" w:space="0" w:color="auto"/>
        <w:left w:val="none" w:sz="0" w:space="0" w:color="auto"/>
        <w:bottom w:val="none" w:sz="0" w:space="0" w:color="auto"/>
        <w:right w:val="none" w:sz="0" w:space="0" w:color="auto"/>
      </w:divBdr>
    </w:div>
    <w:div w:id="1754816374">
      <w:bodyDiv w:val="1"/>
      <w:marLeft w:val="0"/>
      <w:marRight w:val="0"/>
      <w:marTop w:val="0"/>
      <w:marBottom w:val="0"/>
      <w:divBdr>
        <w:top w:val="none" w:sz="0" w:space="0" w:color="auto"/>
        <w:left w:val="none" w:sz="0" w:space="0" w:color="auto"/>
        <w:bottom w:val="none" w:sz="0" w:space="0" w:color="auto"/>
        <w:right w:val="none" w:sz="0" w:space="0" w:color="auto"/>
      </w:divBdr>
    </w:div>
    <w:div w:id="1811050671">
      <w:bodyDiv w:val="1"/>
      <w:marLeft w:val="0"/>
      <w:marRight w:val="0"/>
      <w:marTop w:val="0"/>
      <w:marBottom w:val="0"/>
      <w:divBdr>
        <w:top w:val="none" w:sz="0" w:space="0" w:color="auto"/>
        <w:left w:val="none" w:sz="0" w:space="0" w:color="auto"/>
        <w:bottom w:val="none" w:sz="0" w:space="0" w:color="auto"/>
        <w:right w:val="none" w:sz="0" w:space="0" w:color="auto"/>
      </w:divBdr>
    </w:div>
    <w:div w:id="1914898883">
      <w:bodyDiv w:val="1"/>
      <w:marLeft w:val="0"/>
      <w:marRight w:val="0"/>
      <w:marTop w:val="0"/>
      <w:marBottom w:val="0"/>
      <w:divBdr>
        <w:top w:val="none" w:sz="0" w:space="0" w:color="auto"/>
        <w:left w:val="none" w:sz="0" w:space="0" w:color="auto"/>
        <w:bottom w:val="none" w:sz="0" w:space="0" w:color="auto"/>
        <w:right w:val="none" w:sz="0" w:space="0" w:color="auto"/>
      </w:divBdr>
    </w:div>
    <w:div w:id="2068332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CD5C6-845E-43AB-8CE5-06A71B76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20</Pages>
  <Words>7268</Words>
  <Characters>41431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Irfana</dc:creator>
  <cp:keywords/>
  <dc:description/>
  <cp:lastModifiedBy>Neil Chowdry</cp:lastModifiedBy>
  <cp:revision>1</cp:revision>
  <dcterms:created xsi:type="dcterms:W3CDTF">2023-12-20T13:21:00Z</dcterms:created>
  <dcterms:modified xsi:type="dcterms:W3CDTF">2023-12-20T14:19:00Z</dcterms:modified>
</cp:coreProperties>
</file>