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6142" w:rsidRPr="00A961A9" w:rsidRDefault="005A6142" w:rsidP="00D431F1">
      <w:pPr>
        <w:jc w:val="both"/>
        <w:rPr>
          <w:rFonts w:ascii="Verdana" w:hAnsi="Verdana"/>
          <w:color w:val="000000" w:themeColor="text1"/>
          <w:sz w:val="24"/>
          <w:szCs w:val="24"/>
          <w:shd w:val="clear" w:color="auto" w:fill="FFFEE7"/>
        </w:rPr>
      </w:pPr>
    </w:p>
    <w:p w:rsidR="005A6142" w:rsidRPr="00A961A9" w:rsidRDefault="00DC4B41" w:rsidP="00D431F1">
      <w:pPr>
        <w:jc w:val="both"/>
        <w:rPr>
          <w:rFonts w:ascii="Verdana" w:hAnsi="Verdana"/>
          <w:color w:val="000000" w:themeColor="text1"/>
          <w:sz w:val="24"/>
          <w:szCs w:val="24"/>
          <w:shd w:val="clear" w:color="auto" w:fill="FFFEE7"/>
        </w:rPr>
      </w:pPr>
      <w:r w:rsidRPr="00A961A9">
        <w:rPr>
          <w:rFonts w:ascii="Verdana" w:hAnsi="Verdana"/>
          <w:noProof/>
          <w:color w:val="000000" w:themeColor="text1"/>
          <w:sz w:val="24"/>
          <w:szCs w:val="24"/>
          <w:shd w:val="clear" w:color="auto" w:fill="FFFEE7"/>
        </w:rPr>
        <w:drawing>
          <wp:inline distT="0" distB="0" distL="0" distR="0" wp14:anchorId="27952612" wp14:editId="1FE24806">
            <wp:extent cx="2612571" cy="17417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of-UWTSD.jpg"/>
                    <pic:cNvPicPr/>
                  </pic:nvPicPr>
                  <pic:blipFill>
                    <a:blip r:embed="rId6">
                      <a:extLst>
                        <a:ext uri="{28A0092B-C50C-407E-A947-70E740481C1C}">
                          <a14:useLocalDpi xmlns:a14="http://schemas.microsoft.com/office/drawing/2010/main" val="0"/>
                        </a:ext>
                      </a:extLst>
                    </a:blip>
                    <a:stretch>
                      <a:fillRect/>
                    </a:stretch>
                  </pic:blipFill>
                  <pic:spPr>
                    <a:xfrm>
                      <a:off x="0" y="0"/>
                      <a:ext cx="2612571" cy="1741714"/>
                    </a:xfrm>
                    <a:prstGeom prst="rect">
                      <a:avLst/>
                    </a:prstGeom>
                  </pic:spPr>
                </pic:pic>
              </a:graphicData>
            </a:graphic>
          </wp:inline>
        </w:drawing>
      </w:r>
    </w:p>
    <w:p w:rsidR="00DC4B41" w:rsidRPr="00A961A9" w:rsidRDefault="00DC4B41" w:rsidP="00DC4B41">
      <w:pPr>
        <w:pStyle w:val="NormalWeb"/>
        <w:shd w:val="clear" w:color="auto" w:fill="FFFFFF"/>
        <w:jc w:val="both"/>
        <w:rPr>
          <w:rFonts w:ascii="Verdana" w:hAnsi="Verdana" w:cs="Arial"/>
          <w:color w:val="000000" w:themeColor="text1"/>
          <w:shd w:val="clear" w:color="auto" w:fill="FFFFFF"/>
        </w:rPr>
      </w:pPr>
      <w:r w:rsidRPr="00A961A9">
        <w:rPr>
          <w:rFonts w:ascii="Verdana" w:hAnsi="Verdana" w:cs="Arial"/>
          <w:color w:val="000000" w:themeColor="text1"/>
          <w:shd w:val="clear" w:color="auto" w:fill="FFFFFF"/>
          <w:lang w:val="en-GB"/>
        </w:rPr>
        <w:t>Student Name: Teodora Aleksieva</w:t>
      </w:r>
      <w:r w:rsidRPr="00A961A9">
        <w:rPr>
          <w:rFonts w:ascii="Verdana" w:hAnsi="Verdana" w:cs="Arial"/>
          <w:color w:val="000000" w:themeColor="text1"/>
          <w:shd w:val="clear" w:color="auto" w:fill="FFFFFF"/>
          <w:lang w:val="en-GB"/>
        </w:rPr>
        <w:tab/>
      </w:r>
    </w:p>
    <w:p w:rsidR="00DC4B41" w:rsidRPr="00A961A9" w:rsidRDefault="00DC4B41" w:rsidP="00DC4B41">
      <w:pPr>
        <w:pStyle w:val="NormalWeb"/>
        <w:shd w:val="clear" w:color="auto" w:fill="FFFFFF"/>
        <w:jc w:val="both"/>
        <w:rPr>
          <w:rFonts w:ascii="Verdana" w:hAnsi="Verdana" w:cs="Arial"/>
          <w:color w:val="000000" w:themeColor="text1"/>
          <w:shd w:val="clear" w:color="auto" w:fill="FFFFFF"/>
          <w:lang w:val="en-GB"/>
        </w:rPr>
      </w:pPr>
      <w:r w:rsidRPr="00A961A9">
        <w:rPr>
          <w:rFonts w:ascii="Verdana" w:hAnsi="Verdana" w:cs="Arial"/>
          <w:color w:val="000000" w:themeColor="text1"/>
          <w:shd w:val="clear" w:color="auto" w:fill="FFFFFF"/>
          <w:lang w:val="en-GB"/>
        </w:rPr>
        <w:t>Student ID: 1919059</w:t>
      </w:r>
    </w:p>
    <w:p w:rsidR="00DC4B41" w:rsidRPr="00A961A9" w:rsidRDefault="00DC4B41" w:rsidP="00DC4B41">
      <w:pPr>
        <w:pStyle w:val="NormalWeb"/>
        <w:shd w:val="clear" w:color="auto" w:fill="FFFFFF"/>
        <w:jc w:val="both"/>
        <w:rPr>
          <w:rFonts w:ascii="Verdana" w:hAnsi="Verdana" w:cs="Arial"/>
          <w:color w:val="000000" w:themeColor="text1"/>
          <w:shd w:val="clear" w:color="auto" w:fill="FFFFFF"/>
        </w:rPr>
      </w:pPr>
      <w:r w:rsidRPr="00A961A9">
        <w:rPr>
          <w:rFonts w:ascii="Verdana" w:hAnsi="Verdana"/>
          <w:color w:val="000000" w:themeColor="text1"/>
        </w:rPr>
        <w:t xml:space="preserve">Programme: Certificate of Higher Education in Skills for the Workplace </w:t>
      </w:r>
    </w:p>
    <w:p w:rsidR="00DC4B41" w:rsidRPr="00A961A9" w:rsidRDefault="00DC4B41" w:rsidP="00DC4B41">
      <w:pPr>
        <w:pStyle w:val="NormalWeb"/>
        <w:shd w:val="clear" w:color="auto" w:fill="FFFFFF"/>
        <w:jc w:val="both"/>
        <w:rPr>
          <w:rFonts w:ascii="Verdana" w:hAnsi="Verdana" w:cs="Arial"/>
          <w:color w:val="000000" w:themeColor="text1"/>
          <w:shd w:val="clear" w:color="auto" w:fill="FFFFFF"/>
        </w:rPr>
      </w:pPr>
      <w:r w:rsidRPr="00A961A9">
        <w:rPr>
          <w:rFonts w:ascii="Verdana" w:hAnsi="Verdana" w:cs="Arial"/>
          <w:color w:val="000000" w:themeColor="text1"/>
          <w:shd w:val="clear" w:color="auto" w:fill="FFFFFF"/>
          <w:lang w:val="en-GB"/>
        </w:rPr>
        <w:t xml:space="preserve">Module Title: </w:t>
      </w:r>
      <w:r w:rsidR="008F1D2A" w:rsidRPr="00A961A9">
        <w:rPr>
          <w:rFonts w:ascii="Verdana" w:hAnsi="Verdana"/>
          <w:color w:val="000000" w:themeColor="text1"/>
        </w:rPr>
        <w:t>Academic and Employability Skills</w:t>
      </w:r>
    </w:p>
    <w:p w:rsidR="00DC4B41" w:rsidRPr="00A961A9" w:rsidRDefault="00DC4B41" w:rsidP="00DC4B41">
      <w:pPr>
        <w:pStyle w:val="NormalWeb"/>
        <w:shd w:val="clear" w:color="auto" w:fill="FFFFFF"/>
        <w:jc w:val="both"/>
        <w:rPr>
          <w:rFonts w:ascii="Verdana" w:hAnsi="Verdana"/>
          <w:color w:val="000000" w:themeColor="text1"/>
        </w:rPr>
      </w:pPr>
      <w:r w:rsidRPr="00A961A9">
        <w:rPr>
          <w:rFonts w:ascii="Verdana" w:hAnsi="Verdana" w:cs="Arial"/>
          <w:color w:val="000000" w:themeColor="text1"/>
          <w:shd w:val="clear" w:color="auto" w:fill="FFFFFF"/>
          <w:lang w:val="en-GB"/>
        </w:rPr>
        <w:t xml:space="preserve">Assignment Title: </w:t>
      </w:r>
      <w:r w:rsidRPr="00A961A9">
        <w:rPr>
          <w:rFonts w:ascii="Verdana" w:hAnsi="Verdana"/>
          <w:color w:val="000000" w:themeColor="text1"/>
        </w:rPr>
        <w:t>Academic and Employability Skills</w:t>
      </w:r>
    </w:p>
    <w:p w:rsidR="008E5293" w:rsidRPr="00A961A9" w:rsidRDefault="008E5293" w:rsidP="008E5293">
      <w:pPr>
        <w:pStyle w:val="NormalWeb"/>
        <w:shd w:val="clear" w:color="auto" w:fill="FFFFFF"/>
        <w:spacing w:line="360" w:lineRule="auto"/>
        <w:jc w:val="both"/>
        <w:rPr>
          <w:rFonts w:ascii="Verdana" w:hAnsi="Verdana" w:cs="Segoe UI"/>
          <w:b/>
          <w:bCs/>
          <w:i/>
          <w:color w:val="000000" w:themeColor="text1"/>
        </w:rPr>
      </w:pPr>
      <w:r w:rsidRPr="00A961A9">
        <w:rPr>
          <w:rFonts w:ascii="Verdana" w:hAnsi="Verdana"/>
          <w:color w:val="000000" w:themeColor="text1"/>
        </w:rPr>
        <w:t>Name of the Lecturer: Toyin Adisa</w:t>
      </w:r>
    </w:p>
    <w:p w:rsidR="00DC4B41" w:rsidRPr="00A961A9" w:rsidRDefault="00DC4B41" w:rsidP="00DC4B41">
      <w:pPr>
        <w:pStyle w:val="NormalWeb"/>
        <w:shd w:val="clear" w:color="auto" w:fill="FFFFFF"/>
        <w:jc w:val="both"/>
        <w:rPr>
          <w:rFonts w:ascii="Verdana" w:hAnsi="Verdana" w:cs="Arial"/>
          <w:color w:val="000000" w:themeColor="text1"/>
          <w:shd w:val="clear" w:color="auto" w:fill="FFFFFF"/>
          <w:lang w:val="en-GB"/>
        </w:rPr>
      </w:pPr>
      <w:r w:rsidRPr="00A961A9">
        <w:rPr>
          <w:rFonts w:ascii="Verdana" w:hAnsi="Verdana" w:cs="Arial"/>
          <w:color w:val="000000" w:themeColor="text1"/>
          <w:shd w:val="clear" w:color="auto" w:fill="FFFFFF"/>
          <w:lang w:val="en-GB"/>
        </w:rPr>
        <w:t>Name of the University: University of Wales Trinity Saint David</w:t>
      </w:r>
    </w:p>
    <w:p w:rsidR="005A6142" w:rsidRPr="00A961A9" w:rsidRDefault="005A6142" w:rsidP="00D431F1">
      <w:pPr>
        <w:jc w:val="both"/>
        <w:rPr>
          <w:rFonts w:ascii="Verdana" w:hAnsi="Verdana"/>
          <w:color w:val="000000" w:themeColor="text1"/>
          <w:sz w:val="24"/>
          <w:szCs w:val="24"/>
          <w:shd w:val="clear" w:color="auto" w:fill="FFFEE7"/>
        </w:rPr>
      </w:pPr>
    </w:p>
    <w:p w:rsidR="005A6142" w:rsidRPr="00A961A9" w:rsidRDefault="005A6142" w:rsidP="00D431F1">
      <w:pPr>
        <w:jc w:val="both"/>
        <w:rPr>
          <w:rFonts w:ascii="Verdana" w:hAnsi="Verdana"/>
          <w:color w:val="000000" w:themeColor="text1"/>
          <w:sz w:val="24"/>
          <w:szCs w:val="24"/>
          <w:shd w:val="clear" w:color="auto" w:fill="FFFEE7"/>
        </w:rPr>
      </w:pPr>
    </w:p>
    <w:p w:rsidR="005A6142" w:rsidRPr="00A961A9" w:rsidRDefault="005A6142" w:rsidP="00D431F1">
      <w:pPr>
        <w:jc w:val="both"/>
        <w:rPr>
          <w:rFonts w:ascii="Verdana" w:hAnsi="Verdana"/>
          <w:color w:val="000000" w:themeColor="text1"/>
          <w:sz w:val="24"/>
          <w:szCs w:val="24"/>
          <w:shd w:val="clear" w:color="auto" w:fill="FFFEE7"/>
        </w:rPr>
      </w:pPr>
    </w:p>
    <w:p w:rsidR="005A6142" w:rsidRPr="00A961A9" w:rsidRDefault="005A6142" w:rsidP="00D431F1">
      <w:pPr>
        <w:jc w:val="both"/>
        <w:rPr>
          <w:rFonts w:ascii="Verdana" w:hAnsi="Verdana"/>
          <w:color w:val="000000" w:themeColor="text1"/>
          <w:sz w:val="24"/>
          <w:szCs w:val="24"/>
          <w:shd w:val="clear" w:color="auto" w:fill="FFFEE7"/>
        </w:rPr>
      </w:pPr>
    </w:p>
    <w:p w:rsidR="005A6142" w:rsidRPr="00A961A9" w:rsidRDefault="005A6142" w:rsidP="00D431F1">
      <w:pPr>
        <w:jc w:val="both"/>
        <w:rPr>
          <w:rFonts w:ascii="Verdana" w:hAnsi="Verdana"/>
          <w:color w:val="000000" w:themeColor="text1"/>
          <w:sz w:val="24"/>
          <w:szCs w:val="24"/>
          <w:shd w:val="clear" w:color="auto" w:fill="FFFEE7"/>
        </w:rPr>
      </w:pPr>
    </w:p>
    <w:p w:rsidR="005A6142" w:rsidRPr="00A961A9" w:rsidRDefault="005A6142" w:rsidP="00D431F1">
      <w:pPr>
        <w:jc w:val="both"/>
        <w:rPr>
          <w:rFonts w:ascii="Verdana" w:hAnsi="Verdana"/>
          <w:color w:val="000000" w:themeColor="text1"/>
          <w:sz w:val="24"/>
          <w:szCs w:val="24"/>
          <w:shd w:val="clear" w:color="auto" w:fill="FFFEE7"/>
        </w:rPr>
      </w:pPr>
    </w:p>
    <w:p w:rsidR="005A6142" w:rsidRPr="00A961A9" w:rsidRDefault="005A6142" w:rsidP="00D431F1">
      <w:pPr>
        <w:jc w:val="both"/>
        <w:rPr>
          <w:rFonts w:ascii="Verdana" w:hAnsi="Verdana"/>
          <w:color w:val="000000" w:themeColor="text1"/>
          <w:sz w:val="24"/>
          <w:szCs w:val="24"/>
          <w:shd w:val="clear" w:color="auto" w:fill="FFFEE7"/>
        </w:rPr>
      </w:pPr>
    </w:p>
    <w:p w:rsidR="005A6142" w:rsidRPr="00A961A9" w:rsidRDefault="005A6142" w:rsidP="00D431F1">
      <w:pPr>
        <w:jc w:val="both"/>
        <w:rPr>
          <w:rFonts w:ascii="Verdana" w:hAnsi="Verdana"/>
          <w:color w:val="000000" w:themeColor="text1"/>
          <w:sz w:val="24"/>
          <w:szCs w:val="24"/>
        </w:rPr>
      </w:pPr>
    </w:p>
    <w:p w:rsidR="00DC4B41" w:rsidRPr="00A961A9" w:rsidRDefault="00DC4B41" w:rsidP="00D431F1">
      <w:pPr>
        <w:jc w:val="both"/>
        <w:rPr>
          <w:rFonts w:ascii="Verdana" w:hAnsi="Verdana"/>
          <w:color w:val="000000" w:themeColor="text1"/>
          <w:sz w:val="24"/>
          <w:szCs w:val="24"/>
        </w:rPr>
      </w:pPr>
    </w:p>
    <w:p w:rsidR="00DC4B41" w:rsidRPr="00A961A9" w:rsidRDefault="00DC4B41" w:rsidP="00D431F1">
      <w:pPr>
        <w:jc w:val="both"/>
        <w:rPr>
          <w:rFonts w:ascii="Verdana" w:hAnsi="Verdana"/>
          <w:color w:val="000000" w:themeColor="text1"/>
          <w:sz w:val="24"/>
          <w:szCs w:val="24"/>
        </w:rPr>
      </w:pPr>
    </w:p>
    <w:p w:rsidR="00794AEF" w:rsidRPr="00A961A9" w:rsidRDefault="00794AEF" w:rsidP="00D431F1">
      <w:pPr>
        <w:jc w:val="both"/>
        <w:rPr>
          <w:rFonts w:ascii="Verdana" w:hAnsi="Verdana"/>
          <w:b/>
          <w:color w:val="000000" w:themeColor="text1"/>
          <w:sz w:val="28"/>
          <w:szCs w:val="24"/>
        </w:rPr>
      </w:pPr>
      <w:r w:rsidRPr="00A961A9">
        <w:rPr>
          <w:rFonts w:ascii="Verdana" w:hAnsi="Verdana"/>
          <w:b/>
          <w:color w:val="000000" w:themeColor="text1"/>
          <w:sz w:val="28"/>
          <w:szCs w:val="24"/>
        </w:rPr>
        <w:lastRenderedPageBreak/>
        <w:t>Introduction</w:t>
      </w:r>
    </w:p>
    <w:p w:rsidR="008E5293" w:rsidRPr="00A961A9" w:rsidRDefault="008E5293" w:rsidP="008E5293">
      <w:pPr>
        <w:jc w:val="both"/>
        <w:rPr>
          <w:rFonts w:ascii="Verdana" w:hAnsi="Verdana"/>
          <w:color w:val="000000" w:themeColor="text1"/>
          <w:sz w:val="24"/>
          <w:szCs w:val="24"/>
        </w:rPr>
      </w:pPr>
      <w:r w:rsidRPr="00A961A9">
        <w:rPr>
          <w:rFonts w:ascii="Verdana" w:hAnsi="Verdana"/>
          <w:color w:val="000000" w:themeColor="text1"/>
          <w:sz w:val="24"/>
          <w:szCs w:val="24"/>
        </w:rPr>
        <w:t>In a competitive, culturally diverse and increasingly internationalised workplace students can no longer assume that possession of a tertiary degree will naturally lead to employment. Employers, who now seek to employ graduates with "employability" skills and attributes in addition to traditional expertise within their discipline (DEST, 2002). At first glance this may place an additional burden on universities in preparing students for the workforce.</w:t>
      </w:r>
    </w:p>
    <w:p w:rsidR="008E5293" w:rsidRPr="00A961A9" w:rsidRDefault="008E5293" w:rsidP="008E5293">
      <w:pPr>
        <w:jc w:val="both"/>
        <w:rPr>
          <w:rFonts w:ascii="Verdana" w:hAnsi="Verdana"/>
          <w:color w:val="000000" w:themeColor="text1"/>
          <w:sz w:val="24"/>
          <w:szCs w:val="24"/>
        </w:rPr>
      </w:pPr>
      <w:r w:rsidRPr="00A961A9">
        <w:rPr>
          <w:rFonts w:ascii="Verdana" w:hAnsi="Verdana"/>
          <w:color w:val="000000" w:themeColor="text1"/>
          <w:sz w:val="24"/>
          <w:szCs w:val="24"/>
        </w:rPr>
        <w:t>This paper discusses the project we embarked upon to compare the skills and attributes that employers consider most desirable with those traditionally required for academic success. We sought to determine to what degree these two skill sets can co-exist in units of study and found that many employability skills are similar to, and have the same underlying principles as, traditional academic skills (Cox, S. &amp; King, Daniel</w:t>
      </w:r>
      <w:proofErr w:type="gramStart"/>
      <w:r w:rsidRPr="00A961A9">
        <w:rPr>
          <w:rFonts w:ascii="Verdana" w:hAnsi="Verdana"/>
          <w:color w:val="000000" w:themeColor="text1"/>
          <w:sz w:val="24"/>
          <w:szCs w:val="24"/>
        </w:rPr>
        <w:t>,2006</w:t>
      </w:r>
      <w:proofErr w:type="gramEnd"/>
      <w:r w:rsidRPr="00A961A9">
        <w:rPr>
          <w:rFonts w:ascii="Verdana" w:hAnsi="Verdana"/>
          <w:color w:val="000000" w:themeColor="text1"/>
          <w:sz w:val="24"/>
          <w:szCs w:val="24"/>
        </w:rPr>
        <w:t xml:space="preserve">). Consequently we believe it is possible to design learning experiences that support the development of both sets of skills and to embed such learning experiences in the content and teaching of discipline-specific courses, thus developing employability skills while developing academic skills. This will help students meet the twin goals of obtaining a tertiary degree and maximising their employability potential, but in addition will assist them in articulating their existing skills. It is over 100 years since ‘employability’ emerged as a concept in debates surrounding unemployment and </w:t>
      </w:r>
      <w:r w:rsidR="00A961A9" w:rsidRPr="00A961A9">
        <w:rPr>
          <w:rFonts w:ascii="Verdana" w:hAnsi="Verdana"/>
          <w:color w:val="000000" w:themeColor="text1"/>
          <w:sz w:val="24"/>
          <w:szCs w:val="24"/>
        </w:rPr>
        <w:t>work</w:t>
      </w:r>
      <w:r w:rsidRPr="00A961A9">
        <w:rPr>
          <w:rFonts w:ascii="Verdana" w:hAnsi="Verdana"/>
          <w:color w:val="000000" w:themeColor="text1"/>
          <w:sz w:val="24"/>
          <w:szCs w:val="24"/>
        </w:rPr>
        <w:t xml:space="preserve"> markets (Gazier, 1998). However, during the past decade the concept has commanded a central place in </w:t>
      </w:r>
      <w:r w:rsidR="00A961A9" w:rsidRPr="00A961A9">
        <w:rPr>
          <w:rFonts w:ascii="Verdana" w:hAnsi="Verdana"/>
          <w:color w:val="000000" w:themeColor="text1"/>
          <w:sz w:val="24"/>
          <w:szCs w:val="24"/>
        </w:rPr>
        <w:t>work</w:t>
      </w:r>
      <w:r w:rsidRPr="00A961A9">
        <w:rPr>
          <w:rFonts w:ascii="Verdana" w:hAnsi="Verdana"/>
          <w:color w:val="000000" w:themeColor="text1"/>
          <w:sz w:val="24"/>
          <w:szCs w:val="24"/>
        </w:rPr>
        <w:t xml:space="preserve"> market policies in the European Union, the UK’s New Deal and elsewhere at national, regional and local levels (OECD, 1998). In the UK, employability has emerged as a central tenet of so-called ‘Third Way’ policies: ‘a cornerstone of the </w:t>
      </w:r>
      <w:proofErr w:type="gramStart"/>
      <w:r w:rsidRPr="00A961A9">
        <w:rPr>
          <w:rFonts w:ascii="Verdana" w:hAnsi="Verdana"/>
          <w:color w:val="000000" w:themeColor="text1"/>
          <w:sz w:val="24"/>
          <w:szCs w:val="24"/>
        </w:rPr>
        <w:t>New</w:t>
      </w:r>
      <w:proofErr w:type="gramEnd"/>
      <w:r w:rsidRPr="00A961A9">
        <w:rPr>
          <w:rFonts w:ascii="Verdana" w:hAnsi="Verdana"/>
          <w:color w:val="000000" w:themeColor="text1"/>
          <w:sz w:val="24"/>
          <w:szCs w:val="24"/>
        </w:rPr>
        <w:t xml:space="preserve"> </w:t>
      </w:r>
      <w:r w:rsidR="00A961A9" w:rsidRPr="00A961A9">
        <w:rPr>
          <w:rFonts w:ascii="Verdana" w:hAnsi="Verdana"/>
          <w:color w:val="000000" w:themeColor="text1"/>
          <w:sz w:val="24"/>
          <w:szCs w:val="24"/>
        </w:rPr>
        <w:t>work</w:t>
      </w:r>
      <w:r w:rsidRPr="00A961A9">
        <w:rPr>
          <w:rFonts w:ascii="Verdana" w:hAnsi="Verdana"/>
          <w:color w:val="000000" w:themeColor="text1"/>
          <w:sz w:val="24"/>
          <w:szCs w:val="24"/>
        </w:rPr>
        <w:t xml:space="preserve"> approach to economic and social policy’ (Haughton et al., 2000, p. 671). Despite, or perhaps because of, its ubiquity, the concept of employability continues to be used in a number of contexts and with reference to a range of meanings (Hillage and Pollard, 1998; McQuaid and Lindsay, 2002). Indeed, for some, employability is little more than a ‘buzzword’ that is more often used than properly understood (Philpott, 1999); or “a fuzzy notion, often ill-defined and sometimes not defined at all” (Gazier, 1998a, p. 298). This paper seeks to contribute to the debate surrounding employability, by analysing current and previous applications of the term and discussing its potential value as an exploratory concept and a framework for policy analysis. The aims of the </w:t>
      </w:r>
      <w:r w:rsidRPr="00A961A9">
        <w:rPr>
          <w:rFonts w:ascii="Verdana" w:hAnsi="Verdana"/>
          <w:color w:val="000000" w:themeColor="text1"/>
          <w:sz w:val="24"/>
          <w:szCs w:val="24"/>
        </w:rPr>
        <w:lastRenderedPageBreak/>
        <w:t xml:space="preserve">paper are therefore: to trace the development of the concept; to discuss its role in informing current </w:t>
      </w:r>
      <w:r w:rsidR="00A961A9" w:rsidRPr="00A961A9">
        <w:rPr>
          <w:rFonts w:ascii="Verdana" w:hAnsi="Verdana"/>
          <w:color w:val="000000" w:themeColor="text1"/>
          <w:sz w:val="24"/>
          <w:szCs w:val="24"/>
        </w:rPr>
        <w:t>work</w:t>
      </w:r>
      <w:r w:rsidRPr="00A961A9">
        <w:rPr>
          <w:rFonts w:ascii="Verdana" w:hAnsi="Verdana"/>
          <w:color w:val="000000" w:themeColor="text1"/>
          <w:sz w:val="24"/>
          <w:szCs w:val="24"/>
        </w:rPr>
        <w:t xml:space="preserve"> market and training policies (with particular reference to the UK); and to identify an approach to defining the concept that can better inform </w:t>
      </w:r>
      <w:r w:rsidR="00A961A9" w:rsidRPr="00A961A9">
        <w:rPr>
          <w:rFonts w:ascii="Verdana" w:hAnsi="Verdana"/>
          <w:color w:val="000000" w:themeColor="text1"/>
          <w:sz w:val="24"/>
          <w:szCs w:val="24"/>
        </w:rPr>
        <w:t>work</w:t>
      </w:r>
      <w:r w:rsidRPr="00A961A9">
        <w:rPr>
          <w:rFonts w:ascii="Verdana" w:hAnsi="Verdana"/>
          <w:color w:val="000000" w:themeColor="text1"/>
          <w:sz w:val="24"/>
          <w:szCs w:val="24"/>
        </w:rPr>
        <w:t xml:space="preserve"> market policy, by transcending explanations of unemployment that focus solely on either supply- or demand-side factors (Haughton et al., 2000, p. 671).</w:t>
      </w:r>
    </w:p>
    <w:p w:rsidR="001605DA" w:rsidRPr="00A961A9" w:rsidRDefault="001605DA" w:rsidP="00D431F1">
      <w:pPr>
        <w:spacing w:before="100" w:beforeAutospacing="1" w:after="100" w:afterAutospacing="1" w:line="240" w:lineRule="auto"/>
        <w:jc w:val="both"/>
        <w:outlineLvl w:val="2"/>
        <w:rPr>
          <w:rFonts w:ascii="Verdana" w:eastAsia="Times New Roman" w:hAnsi="Verdana" w:cs="Times New Roman"/>
          <w:b/>
          <w:bCs/>
          <w:color w:val="000000" w:themeColor="text1"/>
          <w:sz w:val="28"/>
          <w:szCs w:val="24"/>
        </w:rPr>
      </w:pPr>
      <w:r w:rsidRPr="00A961A9">
        <w:rPr>
          <w:rFonts w:ascii="Verdana" w:eastAsia="Times New Roman" w:hAnsi="Verdana" w:cs="Times New Roman"/>
          <w:b/>
          <w:bCs/>
          <w:color w:val="000000" w:themeColor="text1"/>
          <w:sz w:val="28"/>
          <w:szCs w:val="24"/>
        </w:rPr>
        <w:t>Employability skills and attributes</w:t>
      </w:r>
    </w:p>
    <w:p w:rsidR="001605DA" w:rsidRPr="00A961A9" w:rsidRDefault="001605DA" w:rsidP="00D431F1">
      <w:pPr>
        <w:jc w:val="both"/>
        <w:rPr>
          <w:rFonts w:ascii="Verdana" w:hAnsi="Verdana"/>
          <w:color w:val="000000" w:themeColor="text1"/>
          <w:sz w:val="24"/>
          <w:szCs w:val="24"/>
        </w:rPr>
      </w:pPr>
      <w:r w:rsidRPr="00A961A9">
        <w:rPr>
          <w:rFonts w:ascii="Verdana" w:hAnsi="Verdana"/>
          <w:color w:val="000000" w:themeColor="text1"/>
          <w:sz w:val="24"/>
          <w:szCs w:val="24"/>
        </w:rPr>
        <w:t>Employability Skills can be defined as the transferable skills needed by an individual to make them ‘employable’. Along with good technical understanding and subject knowledge, employers often outline a set of skills that they want from an employee. These skills are what they believe will equip the employee to carry out their role to the best of their ability. Employability depends on your knowledge, skills and attitudes, how you use those assets, and how you present them to employers. The table below has been compiled by a range of UK-based companies (see company details at the end of this guide), and it lists the Top 10 Employability Skills which they look for in potential employees – that means you! We asked the companies to define exactly what these skills mean, and how you could show evidence of these skills in an interview or application for a job (</w:t>
      </w:r>
      <w:hyperlink r:id="rId7" w:history="1">
        <w:r w:rsidRPr="00A961A9">
          <w:rPr>
            <w:rStyle w:val="Hyperlink"/>
            <w:rFonts w:ascii="Verdana" w:hAnsi="Verdana"/>
            <w:color w:val="000000" w:themeColor="text1"/>
            <w:sz w:val="24"/>
            <w:szCs w:val="24"/>
            <w:u w:val="none"/>
          </w:rPr>
          <w:t>https://www.exeter.ac.uk/ambassadors/HESTEM/resources/General/STEMNET%20Employability%20skills%20guide.pdf</w:t>
        </w:r>
      </w:hyperlink>
      <w:r w:rsidRPr="00A961A9">
        <w:rPr>
          <w:rFonts w:ascii="Verdana" w:hAnsi="Verdana"/>
          <w:color w:val="000000" w:themeColor="text1"/>
          <w:sz w:val="24"/>
          <w:szCs w:val="24"/>
        </w:rPr>
        <w:t>).</w:t>
      </w:r>
      <w:r w:rsidR="00A60C58" w:rsidRPr="00A961A9">
        <w:rPr>
          <w:rFonts w:ascii="Verdana" w:hAnsi="Verdana"/>
          <w:color w:val="000000" w:themeColor="text1"/>
          <w:sz w:val="24"/>
          <w:szCs w:val="24"/>
        </w:rPr>
        <w:t xml:space="preserve"> </w:t>
      </w:r>
      <w:r w:rsidRPr="00A961A9">
        <w:rPr>
          <w:rFonts w:ascii="Verdana" w:hAnsi="Verdana"/>
          <w:color w:val="000000" w:themeColor="text1"/>
          <w:sz w:val="24"/>
          <w:szCs w:val="24"/>
        </w:rPr>
        <w:t xml:space="preserve"> At the national level in the UK, as in many other EU states, the European Employment Strategy’s focus on employability (and especially on providing a ‘fresh start’ to the young unemployed who have been out of work for at least six months) has been particularly influential. Employability was a key theme of UK’s EU presidency in 1998 (Verhaar and Smulders, 1999). The concept has found expression within the UK’s national Employment Action Plans and the current government’s welfare to work ag</w:t>
      </w:r>
      <w:r w:rsidR="00A961A9" w:rsidRPr="00A961A9">
        <w:rPr>
          <w:rFonts w:ascii="Verdana" w:hAnsi="Verdana"/>
          <w:color w:val="000000" w:themeColor="text1"/>
          <w:sz w:val="24"/>
          <w:szCs w:val="24"/>
        </w:rPr>
        <w:t>enda, with the New Deal programm</w:t>
      </w:r>
      <w:r w:rsidRPr="00A961A9">
        <w:rPr>
          <w:rFonts w:ascii="Verdana" w:hAnsi="Verdana"/>
          <w:color w:val="000000" w:themeColor="text1"/>
          <w:sz w:val="24"/>
          <w:szCs w:val="24"/>
        </w:rPr>
        <w:t>es at its centre (DfEE, 1997a, 1997b, 1998; DWP, 2002). Improving the employability of young people, the long-term unemployed, lone parents, the disabled and other disadvantaged job seekers is the primary objective for the New Deal, which seeks to provide interventions designed to address the skills of participants while also ‘re-attaching’ them to the labour market. Indeed, ministers have described the New Deal as being defined by the principles of ‘quality, continuity</w:t>
      </w:r>
      <w:r w:rsidR="00A60C58" w:rsidRPr="00A961A9">
        <w:rPr>
          <w:rFonts w:ascii="Verdana" w:hAnsi="Verdana"/>
          <w:color w:val="000000" w:themeColor="text1"/>
          <w:sz w:val="24"/>
          <w:szCs w:val="24"/>
        </w:rPr>
        <w:t xml:space="preserve"> and employability’ (Johnson, DfEE, 1997</w:t>
      </w:r>
      <w:r w:rsidRPr="00A961A9">
        <w:rPr>
          <w:rFonts w:ascii="Verdana" w:hAnsi="Verdana"/>
          <w:color w:val="000000" w:themeColor="text1"/>
          <w:sz w:val="24"/>
          <w:szCs w:val="24"/>
        </w:rPr>
        <w:t xml:space="preserve">). At regional and local levels, many of these, or similar, policies to tackle employability issues have been implemented or devised by area-based </w:t>
      </w:r>
      <w:r w:rsidRPr="00A961A9">
        <w:rPr>
          <w:rFonts w:ascii="Verdana" w:hAnsi="Verdana"/>
          <w:color w:val="000000" w:themeColor="text1"/>
          <w:sz w:val="24"/>
          <w:szCs w:val="24"/>
        </w:rPr>
        <w:lastRenderedPageBreak/>
        <w:t>development agencies, local authorities and other bodies such as careers services. This discussion illustrates that employability is not merely a subject of theoretical debate. The concept has become a cornerstone of labour market policies and employment strategies in the UK and elsewhere. Yet it is perhaps only the relatively recent emergence of employability as an all-embracing objective for national and supranational policies to address unemployment that has led to attempts to arrive at a thoroughgoing definition. Prior to discussing a broad concept of employability, however, we will review some established definitions and current and historical uses of the term.</w:t>
      </w:r>
    </w:p>
    <w:p w:rsidR="008E5293" w:rsidRPr="00A961A9" w:rsidRDefault="008E5293" w:rsidP="00D431F1">
      <w:pPr>
        <w:jc w:val="both"/>
        <w:rPr>
          <w:rFonts w:ascii="Verdana" w:hAnsi="Verdana"/>
          <w:color w:val="000000" w:themeColor="text1"/>
          <w:sz w:val="24"/>
          <w:szCs w:val="24"/>
        </w:rPr>
      </w:pPr>
      <w:r w:rsidRPr="00A961A9">
        <w:rPr>
          <w:rFonts w:ascii="Verdana" w:hAnsi="Verdana"/>
          <w:color w:val="000000" w:themeColor="text1"/>
          <w:sz w:val="24"/>
          <w:szCs w:val="24"/>
        </w:rPr>
        <w:t>According to the DEST report on Employability Skills (2002) the following personal attributes are valued by employers:</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loyalty</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commitment</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honesty and integrity</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enthusiasm</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reliability</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personal presentation</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commonsense</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positive self-esteem</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sense of humour</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balanced attitude to work and home life</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ability to deal with pressure</w:t>
      </w:r>
    </w:p>
    <w:p w:rsidR="001605DA"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motivation</w:t>
      </w:r>
    </w:p>
    <w:p w:rsidR="00A60C58" w:rsidRPr="00A961A9" w:rsidRDefault="001605DA" w:rsidP="00D431F1">
      <w:pPr>
        <w:numPr>
          <w:ilvl w:val="0"/>
          <w:numId w:val="1"/>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adaptability</w:t>
      </w:r>
    </w:p>
    <w:p w:rsidR="008E5293" w:rsidRPr="00A961A9" w:rsidRDefault="008E5293" w:rsidP="00D431F1">
      <w:p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These are not "skills" that can be taught in isolation. We believe they require high levels of application, reflection and thinking from both the student (in order to be able to engage with them) and the educator (in order to be able to create opportunities for teaching them and having the capacity to evaluate them). In addition to this, there must be an element of student and educator self-efficacy. Without the belief in one's ability to meet the demands of a job, there is little chance that a graduate will be willing to activate these skills. As argued by Zimmerman, Banduras and Martinez-Pons (1992, p.664), "Perceived self-efficacy influences the level of goal challenge people set for themselves, the amount of effort they mobilise, and their persistence in the face of difficulties."</w:t>
      </w:r>
    </w:p>
    <w:p w:rsidR="00A60C58" w:rsidRPr="00A961A9" w:rsidRDefault="00A60C58" w:rsidP="00D431F1">
      <w:pPr>
        <w:spacing w:before="100" w:beforeAutospacing="1" w:after="100" w:afterAutospacing="1" w:line="240" w:lineRule="auto"/>
        <w:jc w:val="both"/>
        <w:rPr>
          <w:rFonts w:ascii="Verdana" w:eastAsia="Times New Roman" w:hAnsi="Verdana" w:cs="Times New Roman"/>
          <w:color w:val="000000" w:themeColor="text1"/>
          <w:sz w:val="24"/>
          <w:szCs w:val="24"/>
        </w:rPr>
      </w:pPr>
    </w:p>
    <w:p w:rsidR="008E5293" w:rsidRPr="00A961A9" w:rsidRDefault="008E5293" w:rsidP="00D431F1">
      <w:pPr>
        <w:spacing w:before="100" w:beforeAutospacing="1" w:after="100" w:afterAutospacing="1" w:line="240" w:lineRule="auto"/>
        <w:jc w:val="both"/>
        <w:rPr>
          <w:rFonts w:ascii="Verdana" w:eastAsia="Times New Roman" w:hAnsi="Verdana" w:cs="Times New Roman"/>
          <w:color w:val="000000" w:themeColor="text1"/>
          <w:sz w:val="24"/>
          <w:szCs w:val="24"/>
        </w:rPr>
      </w:pPr>
    </w:p>
    <w:p w:rsidR="001605DA" w:rsidRPr="00A961A9" w:rsidRDefault="001605DA" w:rsidP="00D431F1">
      <w:p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lastRenderedPageBreak/>
        <w:t>In addition to the above personal attributes are generic skills:</w:t>
      </w:r>
    </w:p>
    <w:p w:rsidR="001605DA" w:rsidRPr="00A961A9" w:rsidRDefault="001605DA" w:rsidP="00D431F1">
      <w:pPr>
        <w:numPr>
          <w:ilvl w:val="0"/>
          <w:numId w:val="2"/>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communication skills that contribute to productive and harmonious relations between employees and customers;</w:t>
      </w:r>
    </w:p>
    <w:p w:rsidR="001605DA" w:rsidRPr="00A961A9" w:rsidRDefault="001605DA" w:rsidP="00D431F1">
      <w:pPr>
        <w:numPr>
          <w:ilvl w:val="0"/>
          <w:numId w:val="2"/>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team work skills that contribute to productive working relationships and outcomes;</w:t>
      </w:r>
    </w:p>
    <w:p w:rsidR="001605DA" w:rsidRPr="00A961A9" w:rsidRDefault="001605DA" w:rsidP="00D431F1">
      <w:pPr>
        <w:numPr>
          <w:ilvl w:val="0"/>
          <w:numId w:val="2"/>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problem-solving skills that contribute to productive outcomes;</w:t>
      </w:r>
    </w:p>
    <w:p w:rsidR="001605DA" w:rsidRPr="00A961A9" w:rsidRDefault="001605DA" w:rsidP="00D431F1">
      <w:pPr>
        <w:numPr>
          <w:ilvl w:val="0"/>
          <w:numId w:val="2"/>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initiative and enterprise skills that contribute to innovative outcomes;</w:t>
      </w:r>
    </w:p>
    <w:p w:rsidR="001605DA" w:rsidRPr="00A961A9" w:rsidRDefault="001605DA" w:rsidP="00D431F1">
      <w:pPr>
        <w:numPr>
          <w:ilvl w:val="0"/>
          <w:numId w:val="2"/>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 xml:space="preserve">planning and </w:t>
      </w:r>
      <w:r w:rsidR="00A961A9" w:rsidRPr="00A961A9">
        <w:rPr>
          <w:rFonts w:ascii="Verdana" w:eastAsia="Times New Roman" w:hAnsi="Verdana" w:cs="Times New Roman"/>
          <w:color w:val="000000" w:themeColor="text1"/>
          <w:sz w:val="24"/>
          <w:szCs w:val="24"/>
        </w:rPr>
        <w:t>organizing</w:t>
      </w:r>
      <w:r w:rsidRPr="00A961A9">
        <w:rPr>
          <w:rFonts w:ascii="Verdana" w:eastAsia="Times New Roman" w:hAnsi="Verdana" w:cs="Times New Roman"/>
          <w:color w:val="000000" w:themeColor="text1"/>
          <w:sz w:val="24"/>
          <w:szCs w:val="24"/>
        </w:rPr>
        <w:t xml:space="preserve"> skills that contribute to long-term and short-term strategic planning;</w:t>
      </w:r>
    </w:p>
    <w:p w:rsidR="001605DA" w:rsidRPr="00A961A9" w:rsidRDefault="001605DA" w:rsidP="00D431F1">
      <w:pPr>
        <w:numPr>
          <w:ilvl w:val="0"/>
          <w:numId w:val="2"/>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self-management skills that contribute to employee satisfaction and growth;</w:t>
      </w:r>
    </w:p>
    <w:p w:rsidR="001605DA" w:rsidRPr="00A961A9" w:rsidRDefault="001605DA" w:rsidP="00D431F1">
      <w:pPr>
        <w:numPr>
          <w:ilvl w:val="0"/>
          <w:numId w:val="2"/>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learning skills that contribute to ongoing improvement and expansion in employee and company operations and outcomes; and</w:t>
      </w:r>
    </w:p>
    <w:p w:rsidR="00851665" w:rsidRPr="00A961A9" w:rsidRDefault="001605DA" w:rsidP="00A60C58">
      <w:pPr>
        <w:numPr>
          <w:ilvl w:val="0"/>
          <w:numId w:val="2"/>
        </w:numPr>
        <w:spacing w:before="100" w:beforeAutospacing="1" w:after="100" w:afterAutospacing="1" w:line="240" w:lineRule="auto"/>
        <w:jc w:val="both"/>
        <w:rPr>
          <w:rFonts w:ascii="Verdana" w:eastAsia="Times New Roman" w:hAnsi="Verdana" w:cs="Times New Roman"/>
          <w:color w:val="000000" w:themeColor="text1"/>
          <w:sz w:val="24"/>
          <w:szCs w:val="24"/>
        </w:rPr>
      </w:pPr>
      <w:proofErr w:type="gramStart"/>
      <w:r w:rsidRPr="00A961A9">
        <w:rPr>
          <w:rFonts w:ascii="Verdana" w:eastAsia="Times New Roman" w:hAnsi="Verdana" w:cs="Times New Roman"/>
          <w:color w:val="000000" w:themeColor="text1"/>
          <w:sz w:val="24"/>
          <w:szCs w:val="24"/>
        </w:rPr>
        <w:t>technology</w:t>
      </w:r>
      <w:proofErr w:type="gramEnd"/>
      <w:r w:rsidRPr="00A961A9">
        <w:rPr>
          <w:rFonts w:ascii="Verdana" w:eastAsia="Times New Roman" w:hAnsi="Verdana" w:cs="Times New Roman"/>
          <w:color w:val="000000" w:themeColor="text1"/>
          <w:sz w:val="24"/>
          <w:szCs w:val="24"/>
        </w:rPr>
        <w:t xml:space="preserve"> skills that contribute to effective execution of tasks.</w:t>
      </w:r>
    </w:p>
    <w:p w:rsidR="00851665" w:rsidRPr="00A961A9" w:rsidRDefault="00851665" w:rsidP="00D431F1">
      <w:pPr>
        <w:spacing w:before="100" w:beforeAutospacing="1" w:after="100" w:afterAutospacing="1" w:line="240" w:lineRule="auto"/>
        <w:jc w:val="both"/>
        <w:outlineLvl w:val="2"/>
        <w:rPr>
          <w:rFonts w:ascii="Verdana" w:eastAsia="Times New Roman" w:hAnsi="Verdana" w:cs="Times New Roman"/>
          <w:b/>
          <w:bCs/>
          <w:color w:val="000000" w:themeColor="text1"/>
          <w:sz w:val="28"/>
          <w:szCs w:val="24"/>
        </w:rPr>
      </w:pPr>
      <w:r w:rsidRPr="00A961A9">
        <w:rPr>
          <w:rFonts w:ascii="Verdana" w:eastAsia="Times New Roman" w:hAnsi="Verdana" w:cs="Times New Roman"/>
          <w:b/>
          <w:bCs/>
          <w:color w:val="000000" w:themeColor="text1"/>
          <w:sz w:val="28"/>
          <w:szCs w:val="24"/>
        </w:rPr>
        <w:t>Academic skills and attributes</w:t>
      </w:r>
    </w:p>
    <w:p w:rsidR="00A60C58" w:rsidRPr="00A961A9" w:rsidRDefault="00A60C58" w:rsidP="00D431F1">
      <w:p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 xml:space="preserve">We sought to develop a list of academic skills and attributes that could potentially connect with employability skills. There is currently no one set definition of what constitutes the group of skills and attributes </w:t>
      </w:r>
      <w:r w:rsidR="00A961A9" w:rsidRPr="00A961A9">
        <w:rPr>
          <w:rFonts w:ascii="Verdana" w:eastAsia="Times New Roman" w:hAnsi="Verdana" w:cs="Times New Roman"/>
          <w:color w:val="000000" w:themeColor="text1"/>
          <w:sz w:val="24"/>
          <w:szCs w:val="24"/>
        </w:rPr>
        <w:t>categorized</w:t>
      </w:r>
      <w:r w:rsidRPr="00A961A9">
        <w:rPr>
          <w:rFonts w:ascii="Verdana" w:eastAsia="Times New Roman" w:hAnsi="Verdana" w:cs="Times New Roman"/>
          <w:color w:val="000000" w:themeColor="text1"/>
          <w:sz w:val="24"/>
          <w:szCs w:val="24"/>
        </w:rPr>
        <w:t xml:space="preserve"> as "academic" in relation to a tertiary environment </w:t>
      </w:r>
      <w:proofErr w:type="gramStart"/>
      <w:r w:rsidRPr="00A961A9">
        <w:rPr>
          <w:rFonts w:ascii="Verdana" w:eastAsia="Times New Roman" w:hAnsi="Verdana" w:cs="Times New Roman"/>
          <w:color w:val="000000" w:themeColor="text1"/>
          <w:sz w:val="24"/>
          <w:szCs w:val="24"/>
        </w:rPr>
        <w:t>Some</w:t>
      </w:r>
      <w:proofErr w:type="gramEnd"/>
      <w:r w:rsidRPr="00A961A9">
        <w:rPr>
          <w:rFonts w:ascii="Verdana" w:eastAsia="Times New Roman" w:hAnsi="Verdana" w:cs="Times New Roman"/>
          <w:color w:val="000000" w:themeColor="text1"/>
          <w:sz w:val="24"/>
          <w:szCs w:val="24"/>
        </w:rPr>
        <w:t xml:space="preserve"> formal research has been undertaken in this area, such as that of Enright and Gitomer (1989), who identified the following seven competencies in successful graduate students: communication; creativity; explanation; motivation; planning; professionalism; and synthesis.</w:t>
      </w:r>
    </w:p>
    <w:p w:rsidR="00851665" w:rsidRPr="00A961A9" w:rsidRDefault="00851665" w:rsidP="00D431F1">
      <w:p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 xml:space="preserve">Miles, Cairns and Huston (2002) surveyed students and their data revealed seven habits of successful students: passion (alignment of personal interests with study requirements, resulting in energy and motivation); building supportive networks and relationships; asking questions; being </w:t>
      </w:r>
      <w:r w:rsidR="00A961A9" w:rsidRPr="00A961A9">
        <w:rPr>
          <w:rFonts w:ascii="Verdana" w:eastAsia="Times New Roman" w:hAnsi="Verdana" w:cs="Times New Roman"/>
          <w:color w:val="000000" w:themeColor="text1"/>
          <w:sz w:val="24"/>
          <w:szCs w:val="24"/>
        </w:rPr>
        <w:t>organized</w:t>
      </w:r>
      <w:r w:rsidRPr="00A961A9">
        <w:rPr>
          <w:rFonts w:ascii="Verdana" w:eastAsia="Times New Roman" w:hAnsi="Verdana" w:cs="Times New Roman"/>
          <w:color w:val="000000" w:themeColor="text1"/>
          <w:sz w:val="24"/>
          <w:szCs w:val="24"/>
        </w:rPr>
        <w:t xml:space="preserve"> and managing time well; being strategic and resourceful, and using available resources effectively; maintaining work-life balance; and committing to a goal.</w:t>
      </w:r>
    </w:p>
    <w:p w:rsidR="00851665" w:rsidRPr="00A961A9" w:rsidRDefault="00851665" w:rsidP="00D431F1">
      <w:p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Grehan, Flanagan &amp; Malgady (2011) explored the relationship of personality traits and emotional intelligence to graduate students' performance in the classroom and in the field. This study found that emotional intelligence was significantly correlated with grade point average, and that emotional intelligence and the personality trait of conscientiousness were significantly correlated with internship ratings.</w:t>
      </w:r>
    </w:p>
    <w:p w:rsidR="00851665" w:rsidRPr="00A961A9" w:rsidRDefault="00851665" w:rsidP="00D431F1">
      <w:p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 xml:space="preserve">A further source was Australian university websites which revealed that, while the wording may vary between different universities, there are a </w:t>
      </w:r>
      <w:r w:rsidRPr="00A961A9">
        <w:rPr>
          <w:rFonts w:ascii="Verdana" w:eastAsia="Times New Roman" w:hAnsi="Verdana" w:cs="Times New Roman"/>
          <w:color w:val="000000" w:themeColor="text1"/>
          <w:sz w:val="24"/>
          <w:szCs w:val="24"/>
        </w:rPr>
        <w:lastRenderedPageBreak/>
        <w:t>number of common threads that underpin all academic skills. Using all these sources the following list was constructed.</w:t>
      </w:r>
    </w:p>
    <w:p w:rsidR="00851665" w:rsidRPr="00A961A9" w:rsidRDefault="00851665" w:rsidP="00D431F1">
      <w:p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To be successful at university a student needs to have:</w:t>
      </w:r>
    </w:p>
    <w:p w:rsidR="00851665" w:rsidRPr="00A961A9" w:rsidRDefault="00851665" w:rsidP="00D431F1">
      <w:pPr>
        <w:numPr>
          <w:ilvl w:val="0"/>
          <w:numId w:val="3"/>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formal communication ability at a tertiary level - including ICT skills (multiliteracy)</w:t>
      </w:r>
    </w:p>
    <w:p w:rsidR="00851665" w:rsidRPr="00A961A9" w:rsidRDefault="00851665" w:rsidP="00D431F1">
      <w:pPr>
        <w:numPr>
          <w:ilvl w:val="0"/>
          <w:numId w:val="3"/>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interpersonal skills and teamwork skills, including ability and willingness to engage with diverse cultures</w:t>
      </w:r>
    </w:p>
    <w:p w:rsidR="00851665" w:rsidRPr="00A961A9" w:rsidRDefault="00851665" w:rsidP="00D431F1">
      <w:pPr>
        <w:numPr>
          <w:ilvl w:val="0"/>
          <w:numId w:val="3"/>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theoretical and practical knowledge and experience of discipline demonstrated by applying discipline specific knowledge</w:t>
      </w:r>
    </w:p>
    <w:p w:rsidR="00851665" w:rsidRPr="00A961A9" w:rsidRDefault="00851665" w:rsidP="00D431F1">
      <w:pPr>
        <w:numPr>
          <w:ilvl w:val="0"/>
          <w:numId w:val="3"/>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intrapersonal skills, including ability and willingness to align personal vision and goals with the university's vision for its students</w:t>
      </w:r>
    </w:p>
    <w:p w:rsidR="00851665" w:rsidRPr="00A961A9" w:rsidRDefault="00851665" w:rsidP="00D431F1">
      <w:pPr>
        <w:numPr>
          <w:ilvl w:val="0"/>
          <w:numId w:val="3"/>
        </w:numPr>
        <w:spacing w:before="100" w:beforeAutospacing="1" w:after="100" w:afterAutospacing="1" w:line="240" w:lineRule="auto"/>
        <w:jc w:val="both"/>
        <w:rPr>
          <w:rFonts w:ascii="Verdana" w:eastAsia="Times New Roman" w:hAnsi="Verdana" w:cs="Times New Roman"/>
          <w:color w:val="000000" w:themeColor="text1"/>
          <w:sz w:val="24"/>
          <w:szCs w:val="24"/>
        </w:rPr>
      </w:pPr>
      <w:r w:rsidRPr="00A961A9">
        <w:rPr>
          <w:rFonts w:ascii="Verdana" w:eastAsia="Times New Roman" w:hAnsi="Verdana" w:cs="Times New Roman"/>
          <w:color w:val="000000" w:themeColor="text1"/>
          <w:sz w:val="24"/>
          <w:szCs w:val="24"/>
        </w:rPr>
        <w:t xml:space="preserve">high level planning and </w:t>
      </w:r>
      <w:r w:rsidR="00A961A9" w:rsidRPr="00A961A9">
        <w:rPr>
          <w:rFonts w:ascii="Verdana" w:eastAsia="Times New Roman" w:hAnsi="Verdana" w:cs="Times New Roman"/>
          <w:color w:val="000000" w:themeColor="text1"/>
          <w:sz w:val="24"/>
          <w:szCs w:val="24"/>
        </w:rPr>
        <w:t>organizing</w:t>
      </w:r>
      <w:r w:rsidRPr="00A961A9">
        <w:rPr>
          <w:rFonts w:ascii="Verdana" w:eastAsia="Times New Roman" w:hAnsi="Verdana" w:cs="Times New Roman"/>
          <w:color w:val="000000" w:themeColor="text1"/>
          <w:sz w:val="24"/>
          <w:szCs w:val="24"/>
        </w:rPr>
        <w:t xml:space="preserve"> skills demonstrated by effective day-to-day and longer term planning</w:t>
      </w:r>
    </w:p>
    <w:p w:rsidR="00851665" w:rsidRPr="00A961A9" w:rsidRDefault="00851665" w:rsidP="00D431F1">
      <w:pPr>
        <w:numPr>
          <w:ilvl w:val="0"/>
          <w:numId w:val="3"/>
        </w:numPr>
        <w:spacing w:before="100" w:beforeAutospacing="1" w:after="100" w:afterAutospacing="1" w:line="240" w:lineRule="auto"/>
        <w:jc w:val="both"/>
        <w:rPr>
          <w:rFonts w:ascii="Verdana" w:eastAsia="Times New Roman" w:hAnsi="Verdana" w:cs="Times New Roman"/>
          <w:color w:val="000000" w:themeColor="text1"/>
          <w:sz w:val="24"/>
          <w:szCs w:val="24"/>
        </w:rPr>
      </w:pPr>
      <w:proofErr w:type="gramStart"/>
      <w:r w:rsidRPr="00A961A9">
        <w:rPr>
          <w:rFonts w:ascii="Verdana" w:eastAsia="Times New Roman" w:hAnsi="Verdana" w:cs="Times New Roman"/>
          <w:color w:val="000000" w:themeColor="text1"/>
          <w:sz w:val="24"/>
          <w:szCs w:val="24"/>
        </w:rPr>
        <w:t>problem</w:t>
      </w:r>
      <w:proofErr w:type="gramEnd"/>
      <w:r w:rsidRPr="00A961A9">
        <w:rPr>
          <w:rFonts w:ascii="Verdana" w:eastAsia="Times New Roman" w:hAnsi="Verdana" w:cs="Times New Roman"/>
          <w:color w:val="000000" w:themeColor="text1"/>
          <w:sz w:val="24"/>
          <w:szCs w:val="24"/>
        </w:rPr>
        <w:t xml:space="preserve"> solving, independent and innovative thinking skills.</w:t>
      </w:r>
    </w:p>
    <w:p w:rsidR="00851665" w:rsidRPr="00A961A9" w:rsidRDefault="00851665" w:rsidP="00D431F1">
      <w:pPr>
        <w:spacing w:before="100" w:beforeAutospacing="1" w:after="100" w:afterAutospacing="1" w:line="240" w:lineRule="auto"/>
        <w:jc w:val="both"/>
        <w:rPr>
          <w:rFonts w:ascii="Verdana" w:eastAsia="Times New Roman" w:hAnsi="Verdana" w:cs="Times New Roman"/>
          <w:b/>
          <w:color w:val="000000" w:themeColor="text1"/>
          <w:sz w:val="28"/>
          <w:szCs w:val="24"/>
        </w:rPr>
      </w:pPr>
      <w:r w:rsidRPr="00A961A9">
        <w:rPr>
          <w:rFonts w:ascii="Verdana" w:eastAsia="Times New Roman" w:hAnsi="Verdana" w:cs="Times New Roman"/>
          <w:b/>
          <w:color w:val="000000" w:themeColor="text1"/>
          <w:sz w:val="28"/>
          <w:szCs w:val="24"/>
        </w:rPr>
        <w:t>Academic Writing</w:t>
      </w:r>
    </w:p>
    <w:p w:rsidR="005A6142" w:rsidRPr="00A961A9" w:rsidRDefault="00A60C58" w:rsidP="00D431F1">
      <w:pPr>
        <w:shd w:val="clear" w:color="auto" w:fill="FFFFFF"/>
        <w:spacing w:after="360" w:line="432" w:lineRule="atLeast"/>
        <w:jc w:val="both"/>
        <w:rPr>
          <w:rFonts w:ascii="Verdana" w:eastAsia="Times New Roman" w:hAnsi="Verdana" w:cs="Arial"/>
          <w:color w:val="000000" w:themeColor="text1"/>
          <w:sz w:val="24"/>
          <w:szCs w:val="24"/>
        </w:rPr>
      </w:pPr>
      <w:r w:rsidRPr="00A961A9">
        <w:rPr>
          <w:rFonts w:ascii="Verdana" w:eastAsia="Times New Roman" w:hAnsi="Verdana" w:cs="Arial"/>
          <w:color w:val="000000" w:themeColor="text1"/>
          <w:sz w:val="24"/>
          <w:szCs w:val="24"/>
        </w:rPr>
        <w:t>A</w:t>
      </w:r>
      <w:r w:rsidR="005A6142" w:rsidRPr="00A961A9">
        <w:rPr>
          <w:rFonts w:ascii="Verdana" w:eastAsia="Times New Roman" w:hAnsi="Verdana" w:cs="Arial"/>
          <w:color w:val="000000" w:themeColor="text1"/>
          <w:sz w:val="24"/>
          <w:szCs w:val="24"/>
        </w:rPr>
        <w:t>cademic writing is clear, concise, focussed, structured and backed up by evidence. Its purpose is to aid the reader’s understanding.</w:t>
      </w:r>
      <w:r w:rsidRPr="00A961A9">
        <w:rPr>
          <w:rFonts w:ascii="Verdana" w:eastAsia="Times New Roman" w:hAnsi="Verdana" w:cs="Arial"/>
          <w:color w:val="000000" w:themeColor="text1"/>
          <w:sz w:val="24"/>
          <w:szCs w:val="24"/>
        </w:rPr>
        <w:t xml:space="preserve"> </w:t>
      </w:r>
      <w:r w:rsidR="005A6142" w:rsidRPr="00A961A9">
        <w:rPr>
          <w:rFonts w:ascii="Verdana" w:eastAsia="Times New Roman" w:hAnsi="Verdana" w:cs="Arial"/>
          <w:color w:val="000000" w:themeColor="text1"/>
          <w:sz w:val="24"/>
          <w:szCs w:val="24"/>
        </w:rPr>
        <w:t>It has a formal tone and style, but it is not complex and does not require the use of long sentences and complicated vocabulary.</w:t>
      </w:r>
      <w:r w:rsidRPr="00A961A9">
        <w:rPr>
          <w:rFonts w:ascii="Verdana" w:eastAsia="Times New Roman" w:hAnsi="Verdana" w:cs="Arial"/>
          <w:color w:val="000000" w:themeColor="text1"/>
          <w:sz w:val="24"/>
          <w:szCs w:val="24"/>
        </w:rPr>
        <w:t xml:space="preserve"> </w:t>
      </w:r>
      <w:r w:rsidR="005A6142" w:rsidRPr="00A961A9">
        <w:rPr>
          <w:rFonts w:ascii="Verdana" w:eastAsia="Times New Roman" w:hAnsi="Verdana" w:cs="Arial"/>
          <w:color w:val="000000" w:themeColor="text1"/>
          <w:sz w:val="24"/>
          <w:szCs w:val="24"/>
        </w:rPr>
        <w:t>Each subject discipline will have certain writing conventions, vocabulary and types of discourse that you will become familiar with over the course of your degree</w:t>
      </w:r>
      <w:r w:rsidRPr="00A961A9">
        <w:rPr>
          <w:rFonts w:ascii="Verdana" w:hAnsi="Verdana"/>
          <w:color w:val="000000" w:themeColor="text1"/>
          <w:sz w:val="24"/>
          <w:szCs w:val="24"/>
        </w:rPr>
        <w:t xml:space="preserve"> Grehan, P. M., Flanagan, R. &amp; Malgady, R. G. (2011)</w:t>
      </w:r>
      <w:r w:rsidR="005A6142" w:rsidRPr="00A961A9">
        <w:rPr>
          <w:rFonts w:ascii="Verdana" w:eastAsia="Times New Roman" w:hAnsi="Verdana" w:cs="Arial"/>
          <w:color w:val="000000" w:themeColor="text1"/>
          <w:sz w:val="24"/>
          <w:szCs w:val="24"/>
        </w:rPr>
        <w:t>. However, there are some general characteristics of academic writing that are relevant across all disciplines.</w:t>
      </w:r>
      <w:r w:rsidRPr="00A961A9">
        <w:rPr>
          <w:rFonts w:ascii="Verdana" w:eastAsia="Times New Roman" w:hAnsi="Verdana" w:cs="Arial"/>
          <w:color w:val="000000" w:themeColor="text1"/>
          <w:sz w:val="24"/>
          <w:szCs w:val="24"/>
        </w:rPr>
        <w:t xml:space="preserve"> </w:t>
      </w:r>
      <w:proofErr w:type="gramStart"/>
      <w:r w:rsidR="005A6142" w:rsidRPr="00A961A9">
        <w:rPr>
          <w:rFonts w:ascii="Verdana" w:eastAsia="Times New Roman" w:hAnsi="Verdana" w:cs="Arial"/>
          <w:color w:val="000000" w:themeColor="text1"/>
          <w:sz w:val="24"/>
          <w:szCs w:val="24"/>
        </w:rPr>
        <w:t>Characteristics of academic writing</w:t>
      </w:r>
      <w:r w:rsidRPr="00A961A9">
        <w:rPr>
          <w:rFonts w:ascii="Verdana" w:eastAsia="Times New Roman" w:hAnsi="Verdana" w:cs="Arial"/>
          <w:color w:val="000000" w:themeColor="text1"/>
          <w:sz w:val="24"/>
          <w:szCs w:val="24"/>
        </w:rPr>
        <w:t>.</w:t>
      </w:r>
      <w:proofErr w:type="gramEnd"/>
      <w:r w:rsidRPr="00A961A9">
        <w:rPr>
          <w:rFonts w:ascii="Verdana" w:eastAsia="Times New Roman" w:hAnsi="Verdana" w:cs="Arial"/>
          <w:color w:val="000000" w:themeColor="text1"/>
          <w:sz w:val="24"/>
          <w:szCs w:val="24"/>
        </w:rPr>
        <w:t xml:space="preserve"> A</w:t>
      </w:r>
      <w:r w:rsidR="005A6142" w:rsidRPr="00A961A9">
        <w:rPr>
          <w:rFonts w:ascii="Verdana" w:eastAsia="Times New Roman" w:hAnsi="Verdana" w:cs="Arial"/>
          <w:color w:val="000000" w:themeColor="text1"/>
          <w:sz w:val="24"/>
          <w:szCs w:val="24"/>
        </w:rPr>
        <w:t>cademic writing is:</w:t>
      </w:r>
    </w:p>
    <w:p w:rsidR="005A6142" w:rsidRPr="00A961A9" w:rsidRDefault="005A6142" w:rsidP="00D431F1">
      <w:pPr>
        <w:numPr>
          <w:ilvl w:val="0"/>
          <w:numId w:val="4"/>
        </w:numPr>
        <w:shd w:val="clear" w:color="auto" w:fill="FFFFFF"/>
        <w:spacing w:before="30" w:after="30" w:line="459" w:lineRule="atLeast"/>
        <w:ind w:left="300"/>
        <w:jc w:val="both"/>
        <w:rPr>
          <w:rFonts w:ascii="Verdana" w:eastAsia="Times New Roman" w:hAnsi="Verdana" w:cs="Arial"/>
          <w:color w:val="000000" w:themeColor="text1"/>
          <w:sz w:val="24"/>
          <w:szCs w:val="24"/>
        </w:rPr>
      </w:pPr>
      <w:r w:rsidRPr="00A961A9">
        <w:rPr>
          <w:rFonts w:ascii="Verdana" w:eastAsia="Times New Roman" w:hAnsi="Verdana" w:cs="Arial"/>
          <w:bCs/>
          <w:color w:val="000000" w:themeColor="text1"/>
          <w:sz w:val="24"/>
          <w:szCs w:val="24"/>
        </w:rPr>
        <w:t>Planned and focused: </w:t>
      </w:r>
      <w:r w:rsidRPr="00A961A9">
        <w:rPr>
          <w:rFonts w:ascii="Verdana" w:eastAsia="Times New Roman" w:hAnsi="Verdana" w:cs="Arial"/>
          <w:color w:val="000000" w:themeColor="text1"/>
          <w:sz w:val="24"/>
          <w:szCs w:val="24"/>
        </w:rPr>
        <w:t>answers the question and demonstrates an understanding of the subject.</w:t>
      </w:r>
    </w:p>
    <w:p w:rsidR="005A6142" w:rsidRPr="00A961A9" w:rsidRDefault="005A6142" w:rsidP="00D431F1">
      <w:pPr>
        <w:numPr>
          <w:ilvl w:val="0"/>
          <w:numId w:val="4"/>
        </w:numPr>
        <w:shd w:val="clear" w:color="auto" w:fill="FFFFFF"/>
        <w:spacing w:before="30" w:after="30" w:line="459" w:lineRule="atLeast"/>
        <w:ind w:left="300"/>
        <w:jc w:val="both"/>
        <w:rPr>
          <w:rFonts w:ascii="Verdana" w:eastAsia="Times New Roman" w:hAnsi="Verdana" w:cs="Arial"/>
          <w:color w:val="000000" w:themeColor="text1"/>
          <w:sz w:val="24"/>
          <w:szCs w:val="24"/>
        </w:rPr>
      </w:pPr>
      <w:r w:rsidRPr="00A961A9">
        <w:rPr>
          <w:rFonts w:ascii="Verdana" w:eastAsia="Times New Roman" w:hAnsi="Verdana" w:cs="Arial"/>
          <w:bCs/>
          <w:color w:val="000000" w:themeColor="text1"/>
          <w:sz w:val="24"/>
          <w:szCs w:val="24"/>
        </w:rPr>
        <w:t>Structured:</w:t>
      </w:r>
      <w:r w:rsidRPr="00A961A9">
        <w:rPr>
          <w:rFonts w:ascii="Verdana" w:eastAsia="Times New Roman" w:hAnsi="Verdana" w:cs="Arial"/>
          <w:color w:val="000000" w:themeColor="text1"/>
          <w:sz w:val="24"/>
          <w:szCs w:val="24"/>
        </w:rPr>
        <w:t> is coherent, written in a logical order, and brings together related points and material.</w:t>
      </w:r>
    </w:p>
    <w:p w:rsidR="005A6142" w:rsidRPr="00A961A9" w:rsidRDefault="005A6142" w:rsidP="00D431F1">
      <w:pPr>
        <w:numPr>
          <w:ilvl w:val="0"/>
          <w:numId w:val="4"/>
        </w:numPr>
        <w:shd w:val="clear" w:color="auto" w:fill="FFFFFF"/>
        <w:spacing w:before="30" w:after="30" w:line="459" w:lineRule="atLeast"/>
        <w:ind w:left="300"/>
        <w:jc w:val="both"/>
        <w:rPr>
          <w:rFonts w:ascii="Verdana" w:eastAsia="Times New Roman" w:hAnsi="Verdana" w:cs="Arial"/>
          <w:color w:val="000000" w:themeColor="text1"/>
          <w:sz w:val="24"/>
          <w:szCs w:val="24"/>
        </w:rPr>
      </w:pPr>
      <w:r w:rsidRPr="00A961A9">
        <w:rPr>
          <w:rFonts w:ascii="Verdana" w:eastAsia="Times New Roman" w:hAnsi="Verdana" w:cs="Arial"/>
          <w:bCs/>
          <w:color w:val="000000" w:themeColor="text1"/>
          <w:sz w:val="24"/>
          <w:szCs w:val="24"/>
        </w:rPr>
        <w:t>Evidenced: </w:t>
      </w:r>
      <w:r w:rsidRPr="00A961A9">
        <w:rPr>
          <w:rFonts w:ascii="Verdana" w:eastAsia="Times New Roman" w:hAnsi="Verdana" w:cs="Arial"/>
          <w:color w:val="000000" w:themeColor="text1"/>
          <w:sz w:val="24"/>
          <w:szCs w:val="24"/>
        </w:rPr>
        <w:t>demonstrates knowledge of the subject area, supports opinions and arguments with evidence, and is referenced accurately.</w:t>
      </w:r>
    </w:p>
    <w:p w:rsidR="005A6142" w:rsidRPr="00A961A9" w:rsidRDefault="005A6142" w:rsidP="00D431F1">
      <w:pPr>
        <w:numPr>
          <w:ilvl w:val="0"/>
          <w:numId w:val="4"/>
        </w:numPr>
        <w:shd w:val="clear" w:color="auto" w:fill="FFFFFF"/>
        <w:spacing w:before="30" w:after="30" w:line="459" w:lineRule="atLeast"/>
        <w:ind w:left="300"/>
        <w:jc w:val="both"/>
        <w:rPr>
          <w:rFonts w:ascii="Verdana" w:eastAsia="Times New Roman" w:hAnsi="Verdana" w:cs="Arial"/>
          <w:color w:val="000000" w:themeColor="text1"/>
          <w:sz w:val="24"/>
          <w:szCs w:val="24"/>
        </w:rPr>
      </w:pPr>
      <w:r w:rsidRPr="00A961A9">
        <w:rPr>
          <w:rFonts w:ascii="Verdana" w:eastAsia="Times New Roman" w:hAnsi="Verdana" w:cs="Arial"/>
          <w:bCs/>
          <w:color w:val="000000" w:themeColor="text1"/>
          <w:sz w:val="24"/>
          <w:szCs w:val="24"/>
        </w:rPr>
        <w:lastRenderedPageBreak/>
        <w:t>Formal in tone and style: </w:t>
      </w:r>
      <w:r w:rsidRPr="00A961A9">
        <w:rPr>
          <w:rFonts w:ascii="Verdana" w:eastAsia="Times New Roman" w:hAnsi="Verdana" w:cs="Arial"/>
          <w:color w:val="000000" w:themeColor="text1"/>
          <w:sz w:val="24"/>
          <w:szCs w:val="24"/>
        </w:rPr>
        <w:t>uses appropriate language and tenses, and is clear, concise and balanced.</w:t>
      </w:r>
    </w:p>
    <w:p w:rsidR="005A6142" w:rsidRPr="00A961A9" w:rsidRDefault="00A60C58" w:rsidP="00D431F1">
      <w:pPr>
        <w:shd w:val="clear" w:color="auto" w:fill="FFFFFF"/>
        <w:spacing w:after="360" w:line="432" w:lineRule="atLeast"/>
        <w:jc w:val="both"/>
        <w:rPr>
          <w:rFonts w:ascii="Verdana" w:eastAsia="Times New Roman" w:hAnsi="Verdana" w:cs="Arial"/>
          <w:color w:val="000000" w:themeColor="text1"/>
          <w:sz w:val="24"/>
          <w:szCs w:val="24"/>
        </w:rPr>
      </w:pPr>
      <w:r w:rsidRPr="00A961A9">
        <w:rPr>
          <w:rFonts w:ascii="Verdana" w:eastAsia="Times New Roman" w:hAnsi="Verdana" w:cs="Arial"/>
          <w:color w:val="000000" w:themeColor="text1"/>
          <w:sz w:val="24"/>
          <w:szCs w:val="24"/>
        </w:rPr>
        <w:t>Th</w:t>
      </w:r>
      <w:r w:rsidR="005A6142" w:rsidRPr="00A961A9">
        <w:rPr>
          <w:rFonts w:ascii="Verdana" w:eastAsia="Times New Roman" w:hAnsi="Verdana" w:cs="Arial"/>
          <w:color w:val="000000" w:themeColor="text1"/>
          <w:sz w:val="24"/>
          <w:szCs w:val="24"/>
        </w:rPr>
        <w:t>e following pages will look at all these characteristics in detail.</w:t>
      </w:r>
      <w:r w:rsidRPr="00A961A9">
        <w:rPr>
          <w:rFonts w:ascii="Verdana" w:eastAsia="Times New Roman" w:hAnsi="Verdana" w:cs="Arial"/>
          <w:color w:val="000000" w:themeColor="text1"/>
          <w:sz w:val="24"/>
          <w:szCs w:val="24"/>
        </w:rPr>
        <w:t xml:space="preserve">               </w:t>
      </w:r>
      <w:proofErr w:type="gramStart"/>
      <w:r w:rsidR="005A6142" w:rsidRPr="00A961A9">
        <w:rPr>
          <w:rFonts w:ascii="Verdana" w:eastAsia="Times New Roman" w:hAnsi="Verdana" w:cs="Arial"/>
          <w:color w:val="000000" w:themeColor="text1"/>
          <w:sz w:val="24"/>
          <w:szCs w:val="24"/>
        </w:rPr>
        <w:t>ref. (</w:t>
      </w:r>
      <w:hyperlink r:id="rId8" w:history="1">
        <w:r w:rsidR="005A6142" w:rsidRPr="00A961A9">
          <w:rPr>
            <w:rStyle w:val="Hyperlink"/>
            <w:rFonts w:ascii="Verdana" w:hAnsi="Verdana"/>
            <w:color w:val="000000" w:themeColor="text1"/>
            <w:sz w:val="24"/>
            <w:szCs w:val="24"/>
            <w:u w:val="none"/>
          </w:rPr>
          <w:t>https://library.leeds.ac.uk/info/14011/writing/106/academic_writing</w:t>
        </w:r>
      </w:hyperlink>
      <w:r w:rsidR="005A6142" w:rsidRPr="00A961A9">
        <w:rPr>
          <w:rFonts w:ascii="Verdana" w:hAnsi="Verdana"/>
          <w:color w:val="000000" w:themeColor="text1"/>
          <w:sz w:val="24"/>
          <w:szCs w:val="24"/>
        </w:rPr>
        <w:t>).</w:t>
      </w:r>
      <w:proofErr w:type="gramEnd"/>
    </w:p>
    <w:p w:rsidR="005A6142" w:rsidRPr="00A961A9" w:rsidRDefault="005A6142" w:rsidP="00D431F1">
      <w:pPr>
        <w:pStyle w:val="NormalWeb"/>
        <w:shd w:val="clear" w:color="auto" w:fill="FFFFFF"/>
        <w:spacing w:before="0" w:beforeAutospacing="0" w:after="360" w:afterAutospacing="0" w:line="432" w:lineRule="atLeast"/>
        <w:jc w:val="both"/>
        <w:rPr>
          <w:rFonts w:ascii="Verdana" w:hAnsi="Verdana" w:cs="Arial"/>
          <w:color w:val="000000" w:themeColor="text1"/>
        </w:rPr>
      </w:pPr>
      <w:r w:rsidRPr="00A961A9">
        <w:rPr>
          <w:rFonts w:ascii="Verdana" w:hAnsi="Verdana" w:cs="Arial"/>
          <w:color w:val="000000" w:themeColor="text1"/>
        </w:rPr>
        <w:t>Some academic writing, such as lab or business reports, will have a fairly rigid structure, with headings and content for each section. For more details see our </w:t>
      </w:r>
      <w:hyperlink r:id="rId9" w:history="1">
        <w:r w:rsidRPr="00A961A9">
          <w:rPr>
            <w:rStyle w:val="Hyperlink"/>
            <w:rFonts w:ascii="Verdana" w:hAnsi="Verdana" w:cs="Arial"/>
            <w:color w:val="000000" w:themeColor="text1"/>
            <w:u w:val="none"/>
          </w:rPr>
          <w:t>Report writing pages</w:t>
        </w:r>
      </w:hyperlink>
      <w:r w:rsidRPr="00A961A9">
        <w:rPr>
          <w:rFonts w:ascii="Verdana" w:hAnsi="Verdana" w:cs="Arial"/>
          <w:color w:val="000000" w:themeColor="text1"/>
        </w:rPr>
        <w:t>.</w:t>
      </w:r>
      <w:r w:rsidR="00A60C58" w:rsidRPr="00A961A9">
        <w:rPr>
          <w:rFonts w:ascii="Verdana" w:hAnsi="Verdana" w:cs="Arial"/>
          <w:color w:val="000000" w:themeColor="text1"/>
        </w:rPr>
        <w:t xml:space="preserve"> </w:t>
      </w:r>
      <w:r w:rsidRPr="00A961A9">
        <w:rPr>
          <w:rFonts w:ascii="Verdana" w:hAnsi="Verdana" w:cs="Arial"/>
          <w:color w:val="000000" w:themeColor="text1"/>
        </w:rPr>
        <w:t>In other formats, writing usually follows the same overall structure: introduction, main body and conclusion. The introduction outlines the main direction the writing will take, and gives any necessary background information and context.</w:t>
      </w:r>
      <w:r w:rsidR="00A961A9">
        <w:rPr>
          <w:rFonts w:ascii="Verdana" w:hAnsi="Verdana" w:cs="Arial"/>
          <w:color w:val="000000" w:themeColor="text1"/>
        </w:rPr>
        <w:t xml:space="preserve"> </w:t>
      </w:r>
      <w:r w:rsidRPr="00A961A9">
        <w:rPr>
          <w:rFonts w:ascii="Verdana" w:hAnsi="Verdana" w:cs="Arial"/>
          <w:color w:val="000000" w:themeColor="text1"/>
        </w:rPr>
        <w:t xml:space="preserve">In the main body each point is presented, explored and developed. These points must be set out in a logical order, to make it easier for the reader to follow and understand </w:t>
      </w:r>
      <w:r w:rsidRPr="00A961A9">
        <w:rPr>
          <w:rFonts w:ascii="Verdana" w:hAnsi="Verdana"/>
          <w:color w:val="000000" w:themeColor="text1"/>
        </w:rPr>
        <w:t xml:space="preserve">(Nickell and </w:t>
      </w:r>
      <w:r w:rsidR="00A961A9" w:rsidRPr="00A961A9">
        <w:rPr>
          <w:rFonts w:ascii="Verdana" w:hAnsi="Verdana"/>
          <w:color w:val="000000" w:themeColor="text1"/>
        </w:rPr>
        <w:t>Quinine</w:t>
      </w:r>
      <w:r w:rsidRPr="00A961A9">
        <w:rPr>
          <w:rFonts w:ascii="Verdana" w:hAnsi="Verdana"/>
          <w:color w:val="000000" w:themeColor="text1"/>
        </w:rPr>
        <w:t>, 2002).</w:t>
      </w:r>
      <w:r w:rsidRPr="00A961A9">
        <w:rPr>
          <w:rFonts w:ascii="Verdana" w:hAnsi="Verdana" w:cs="Arial"/>
          <w:color w:val="000000" w:themeColor="text1"/>
        </w:rPr>
        <w:t xml:space="preserve"> The conclusion brings together the main points, and will highlight the key message or argument you want the reader to take </w:t>
      </w:r>
      <w:proofErr w:type="gramStart"/>
      <w:r w:rsidRPr="00A961A9">
        <w:rPr>
          <w:rFonts w:ascii="Verdana" w:hAnsi="Verdana" w:cs="Arial"/>
          <w:color w:val="000000" w:themeColor="text1"/>
        </w:rPr>
        <w:t>away</w:t>
      </w:r>
      <w:r w:rsidRPr="00A961A9">
        <w:rPr>
          <w:rFonts w:ascii="Verdana" w:hAnsi="Verdana"/>
          <w:color w:val="000000" w:themeColor="text1"/>
        </w:rPr>
        <w:t>(</w:t>
      </w:r>
      <w:proofErr w:type="gramEnd"/>
      <w:r w:rsidRPr="00A961A9">
        <w:rPr>
          <w:rFonts w:ascii="Verdana" w:hAnsi="Verdana"/>
          <w:color w:val="000000" w:themeColor="text1"/>
        </w:rPr>
        <w:t>McQuaid and Lindsay, 2002)</w:t>
      </w:r>
      <w:r w:rsidRPr="00A961A9">
        <w:rPr>
          <w:rFonts w:ascii="Verdana" w:hAnsi="Verdana" w:cs="Arial"/>
          <w:color w:val="000000" w:themeColor="text1"/>
        </w:rPr>
        <w:t>. It may also identify any gaps or weaknesses in the arguments or ideas presented, and recommend further research or investigation where appropriate.</w:t>
      </w:r>
    </w:p>
    <w:p w:rsidR="005A6142" w:rsidRPr="00A961A9" w:rsidRDefault="005A6142" w:rsidP="00D431F1">
      <w:pPr>
        <w:pStyle w:val="NormalWeb"/>
        <w:shd w:val="clear" w:color="auto" w:fill="FFFFFF"/>
        <w:spacing w:before="0" w:beforeAutospacing="0" w:after="360" w:afterAutospacing="0" w:line="432" w:lineRule="atLeast"/>
        <w:jc w:val="both"/>
        <w:rPr>
          <w:rFonts w:ascii="Verdana" w:hAnsi="Verdana" w:cs="Arial"/>
          <w:color w:val="000000" w:themeColor="text1"/>
        </w:rPr>
      </w:pPr>
      <w:r w:rsidRPr="00A961A9">
        <w:rPr>
          <w:rFonts w:ascii="Verdana" w:hAnsi="Verdana" w:cs="Arial"/>
          <w:color w:val="000000" w:themeColor="text1"/>
        </w:rPr>
        <w:t>It is important to use the correct tense and voice in your written work. You will probably need to use different tenses throughout depending upon the context.</w:t>
      </w:r>
      <w:r w:rsidR="00A60C58" w:rsidRPr="00A961A9">
        <w:rPr>
          <w:rFonts w:ascii="Verdana" w:hAnsi="Verdana" w:cs="Arial"/>
          <w:color w:val="000000" w:themeColor="text1"/>
        </w:rPr>
        <w:t xml:space="preserve"> </w:t>
      </w:r>
      <w:r w:rsidRPr="00A961A9">
        <w:rPr>
          <w:rFonts w:ascii="Verdana" w:hAnsi="Verdana" w:cs="Arial"/>
          <w:color w:val="000000" w:themeColor="text1"/>
        </w:rPr>
        <w:t>Only use first person voice in reflective writing</w:t>
      </w:r>
      <w:r w:rsidR="00A60C58" w:rsidRPr="00A961A9">
        <w:rPr>
          <w:rFonts w:ascii="Verdana" w:hAnsi="Verdana" w:cs="Arial"/>
          <w:color w:val="000000" w:themeColor="text1"/>
        </w:rPr>
        <w:t xml:space="preserve"> </w:t>
      </w:r>
      <w:r w:rsidRPr="00A961A9">
        <w:rPr>
          <w:rFonts w:ascii="Verdana" w:hAnsi="Verdana" w:cs="Arial"/>
          <w:color w:val="000000" w:themeColor="text1"/>
        </w:rPr>
        <w:t>Academic arguments are not usually presented in the first person (using I), but use more objective language, logic and reasoning to persuade (rather than emotional or personal perspectives)</w:t>
      </w:r>
      <w:r w:rsidRPr="00A961A9">
        <w:rPr>
          <w:rFonts w:ascii="Verdana" w:hAnsi="Verdana"/>
          <w:color w:val="000000" w:themeColor="text1"/>
        </w:rPr>
        <w:t xml:space="preserve"> (Hofferth and Iceland, 1998).</w:t>
      </w:r>
    </w:p>
    <w:p w:rsidR="005A6142" w:rsidRPr="00A961A9" w:rsidRDefault="005A6142" w:rsidP="00D431F1">
      <w:pPr>
        <w:pStyle w:val="NormalWeb"/>
        <w:shd w:val="clear" w:color="auto" w:fill="FFFFFF"/>
        <w:spacing w:before="0" w:beforeAutospacing="0" w:after="360" w:afterAutospacing="0" w:line="432" w:lineRule="atLeast"/>
        <w:jc w:val="both"/>
        <w:rPr>
          <w:rFonts w:ascii="Verdana" w:hAnsi="Verdana" w:cs="Arial"/>
          <w:color w:val="000000" w:themeColor="text1"/>
        </w:rPr>
      </w:pPr>
      <w:r w:rsidRPr="00A961A9">
        <w:rPr>
          <w:rFonts w:ascii="Verdana" w:hAnsi="Verdana" w:cs="Arial"/>
          <w:color w:val="000000" w:themeColor="text1"/>
        </w:rPr>
        <w:t>This may not apply, however, if you are asked to write a reflective report based on your own thoughts and experiences.</w:t>
      </w:r>
      <w:r w:rsidR="00A60C58" w:rsidRPr="00A961A9">
        <w:rPr>
          <w:rFonts w:ascii="Verdana" w:hAnsi="Verdana" w:cs="Arial"/>
          <w:color w:val="000000" w:themeColor="text1"/>
        </w:rPr>
        <w:t xml:space="preserve"> </w:t>
      </w:r>
      <w:r w:rsidRPr="00A961A9">
        <w:rPr>
          <w:rFonts w:ascii="Verdana" w:hAnsi="Verdana" w:cs="Arial"/>
          <w:color w:val="000000" w:themeColor="text1"/>
        </w:rPr>
        <w:t xml:space="preserve">If you are writing about an experiment you carried out or a method you used then use the past tense. </w:t>
      </w:r>
      <w:r w:rsidRPr="00A961A9">
        <w:rPr>
          <w:rFonts w:ascii="Verdana" w:hAnsi="Verdana" w:cs="Arial"/>
          <w:color w:val="000000" w:themeColor="text1"/>
        </w:rPr>
        <w:lastRenderedPageBreak/>
        <w:t>For example: "Our experiment showed wide variations in results where the variable was altered even slightly." (Diabetes UK, 2015).</w:t>
      </w:r>
    </w:p>
    <w:p w:rsidR="005A6142" w:rsidRPr="00A961A9" w:rsidRDefault="005A6142" w:rsidP="00D431F1">
      <w:pPr>
        <w:pStyle w:val="Heading3"/>
        <w:shd w:val="clear" w:color="auto" w:fill="FFFFFF"/>
        <w:spacing w:before="0" w:beforeAutospacing="0" w:after="240" w:afterAutospacing="0" w:line="450" w:lineRule="atLeast"/>
        <w:jc w:val="both"/>
        <w:rPr>
          <w:rFonts w:ascii="Verdana" w:hAnsi="Verdana" w:cs="Arial"/>
          <w:b w:val="0"/>
          <w:bCs w:val="0"/>
          <w:color w:val="000000" w:themeColor="text1"/>
          <w:sz w:val="24"/>
          <w:szCs w:val="24"/>
        </w:rPr>
      </w:pPr>
      <w:r w:rsidRPr="00A961A9">
        <w:rPr>
          <w:rFonts w:ascii="Verdana" w:hAnsi="Verdana" w:cs="Arial"/>
          <w:b w:val="0"/>
          <w:bCs w:val="0"/>
          <w:color w:val="000000" w:themeColor="text1"/>
          <w:sz w:val="24"/>
          <w:szCs w:val="24"/>
        </w:rPr>
        <w:t>Use present tense to conclude or discuss established knowledge</w:t>
      </w:r>
    </w:p>
    <w:p w:rsidR="005A6142" w:rsidRPr="00A961A9" w:rsidRDefault="005A6142" w:rsidP="00D431F1">
      <w:pPr>
        <w:pStyle w:val="NormalWeb"/>
        <w:shd w:val="clear" w:color="auto" w:fill="FFFFFF"/>
        <w:spacing w:before="0" w:beforeAutospacing="0" w:after="360" w:afterAutospacing="0" w:line="432" w:lineRule="atLeast"/>
        <w:jc w:val="both"/>
        <w:rPr>
          <w:rFonts w:ascii="Verdana" w:hAnsi="Verdana" w:cs="Arial"/>
          <w:color w:val="000000" w:themeColor="text1"/>
        </w:rPr>
      </w:pPr>
      <w:r w:rsidRPr="00A961A9">
        <w:rPr>
          <w:rFonts w:ascii="Verdana" w:hAnsi="Verdana" w:cs="Arial"/>
          <w:color w:val="000000" w:themeColor="text1"/>
        </w:rPr>
        <w:t>If you are writing about established knowledge then use the present tense. For example: "Diabetes is a condition where the amount of glucose in the blood is too high because the body cannot use it properly." (Diabetes UK, 2015)</w:t>
      </w:r>
    </w:p>
    <w:p w:rsidR="00D431F1" w:rsidRPr="00A961A9" w:rsidRDefault="00D431F1" w:rsidP="00D431F1">
      <w:pPr>
        <w:pStyle w:val="Heading1"/>
        <w:shd w:val="clear" w:color="auto" w:fill="FFFFFF"/>
        <w:spacing w:before="240" w:after="120" w:line="324" w:lineRule="atLeast"/>
        <w:jc w:val="both"/>
        <w:rPr>
          <w:rFonts w:ascii="Verdana" w:hAnsi="Verdana"/>
          <w:color w:val="000000" w:themeColor="text1"/>
          <w:sz w:val="24"/>
          <w:szCs w:val="24"/>
        </w:rPr>
      </w:pPr>
      <w:r w:rsidRPr="00A961A9">
        <w:rPr>
          <w:rStyle w:val="Title1"/>
          <w:rFonts w:ascii="Verdana" w:hAnsi="Verdana" w:cs="Arial"/>
          <w:color w:val="000000" w:themeColor="text1"/>
          <w:szCs w:val="24"/>
        </w:rPr>
        <w:t>Conclusions and recommendations for future research</w:t>
      </w:r>
    </w:p>
    <w:p w:rsidR="00A60C58" w:rsidRPr="00A961A9" w:rsidRDefault="00A60C58" w:rsidP="00D431F1">
      <w:pPr>
        <w:jc w:val="both"/>
        <w:rPr>
          <w:rFonts w:ascii="Verdana" w:hAnsi="Verdana"/>
          <w:color w:val="000000" w:themeColor="text1"/>
          <w:sz w:val="24"/>
          <w:szCs w:val="24"/>
          <w:shd w:val="clear" w:color="auto" w:fill="FFFEE7"/>
        </w:rPr>
      </w:pPr>
    </w:p>
    <w:p w:rsidR="00A60C58" w:rsidRPr="00A961A9" w:rsidRDefault="00A60C58" w:rsidP="00D431F1">
      <w:pPr>
        <w:jc w:val="both"/>
        <w:rPr>
          <w:rFonts w:ascii="Verdana" w:hAnsi="Verdana"/>
          <w:color w:val="000000" w:themeColor="text1"/>
          <w:sz w:val="24"/>
          <w:szCs w:val="24"/>
        </w:rPr>
      </w:pPr>
      <w:r w:rsidRPr="00A961A9">
        <w:rPr>
          <w:rFonts w:ascii="Verdana" w:hAnsi="Verdana"/>
          <w:color w:val="000000" w:themeColor="text1"/>
          <w:sz w:val="24"/>
          <w:szCs w:val="24"/>
        </w:rPr>
        <w:t>Future research ideas would include analysing phrases and words employers are using when placing advertisements for positions. The analysis of these common words and phrases would provide an opportunity to create links between these specific phrases and the related academic skills and would in turn give students a clearer idea of what skills they have been developing and how to articulate this development in a job application VERHAAR, C. H. A. and SMULDERS, H. R. M. (1999) Employability in practice, Journal of European Industrial Training, 23, pp. 268–274).</w:t>
      </w:r>
    </w:p>
    <w:p w:rsidR="00D431F1" w:rsidRPr="00A961A9" w:rsidRDefault="00D431F1" w:rsidP="00D431F1">
      <w:pPr>
        <w:pStyle w:val="NormalWeb"/>
        <w:jc w:val="both"/>
        <w:rPr>
          <w:rFonts w:ascii="Verdana" w:hAnsi="Verdana"/>
          <w:color w:val="000000" w:themeColor="text1"/>
        </w:rPr>
      </w:pPr>
      <w:r w:rsidRPr="00A961A9">
        <w:rPr>
          <w:rFonts w:ascii="Verdana" w:hAnsi="Verdana"/>
          <w:color w:val="000000" w:themeColor="text1"/>
        </w:rPr>
        <w:t>It would be interesting to note student responses to courses/ units that explicitly include employability skills/ attributes in their curriculum documents and teaching. How do students perceive the inclusion of this information? Do students feel that it will support them when it comes to being more competitive in the job market</w:t>
      </w:r>
      <w:proofErr w:type="gramStart"/>
      <w:r w:rsidRPr="00A961A9">
        <w:rPr>
          <w:rFonts w:ascii="Verdana" w:hAnsi="Verdana"/>
          <w:color w:val="000000" w:themeColor="text1"/>
        </w:rPr>
        <w:t>?</w:t>
      </w:r>
      <w:r w:rsidR="00856323" w:rsidRPr="00A961A9">
        <w:rPr>
          <w:rFonts w:ascii="Verdana" w:hAnsi="Verdana"/>
          <w:color w:val="000000" w:themeColor="text1"/>
        </w:rPr>
        <w:t>(</w:t>
      </w:r>
      <w:proofErr w:type="gramEnd"/>
      <w:r w:rsidR="00856323" w:rsidRPr="00A961A9">
        <w:rPr>
          <w:rFonts w:ascii="Verdana" w:hAnsi="Verdana"/>
          <w:color w:val="000000" w:themeColor="text1"/>
        </w:rPr>
        <w:t xml:space="preserve"> WHITE, M. (2000) The New Deal for Young People: towards an ethical employment policy Policy Studies, 21, pp. 285–299).</w:t>
      </w:r>
    </w:p>
    <w:p w:rsidR="00D431F1" w:rsidRPr="00A961A9" w:rsidRDefault="00D431F1" w:rsidP="00D431F1">
      <w:pPr>
        <w:pStyle w:val="NormalWeb"/>
        <w:jc w:val="both"/>
        <w:rPr>
          <w:rFonts w:ascii="Verdana" w:hAnsi="Verdana"/>
          <w:color w:val="000000" w:themeColor="text1"/>
        </w:rPr>
      </w:pPr>
      <w:r w:rsidRPr="00A961A9">
        <w:rPr>
          <w:rFonts w:ascii="Verdana" w:hAnsi="Verdana"/>
          <w:color w:val="000000" w:themeColor="text1"/>
        </w:rPr>
        <w:t>In the long term it would be worth engaging with employers about employers who have been interviewed and whether they were better able to articulate what skills they possessed if they had completed a course that actively promoted both academic and employability skills. In turn, it would follow that a discussion would be useful about whether it improved workers’ employability rates, and made them app</w:t>
      </w:r>
      <w:r w:rsidR="00856323" w:rsidRPr="00A961A9">
        <w:rPr>
          <w:rFonts w:ascii="Verdana" w:hAnsi="Verdana"/>
          <w:color w:val="000000" w:themeColor="text1"/>
        </w:rPr>
        <w:t>ear more desirable to employers (</w:t>
      </w:r>
      <w:hyperlink r:id="rId10" w:history="1">
        <w:r w:rsidR="00856323" w:rsidRPr="00A961A9">
          <w:rPr>
            <w:rStyle w:val="Hyperlink"/>
            <w:rFonts w:ascii="Verdana" w:hAnsi="Verdana"/>
            <w:color w:val="000000" w:themeColor="text1"/>
            <w:u w:val="none"/>
          </w:rPr>
          <w:t>http://clt.curtin.edu.au/</w:t>
        </w:r>
      </w:hyperlink>
      <w:r w:rsidR="00856323" w:rsidRPr="00A961A9">
        <w:rPr>
          <w:rFonts w:ascii="Verdana" w:hAnsi="Verdana"/>
          <w:color w:val="000000" w:themeColor="text1"/>
        </w:rPr>
        <w:t>2012).</w:t>
      </w:r>
    </w:p>
    <w:p w:rsidR="005A6142" w:rsidRPr="00A961A9" w:rsidRDefault="005A6142" w:rsidP="00D431F1">
      <w:pPr>
        <w:spacing w:before="100" w:beforeAutospacing="1" w:after="100" w:afterAutospacing="1" w:line="240" w:lineRule="auto"/>
        <w:ind w:left="720"/>
        <w:jc w:val="both"/>
        <w:rPr>
          <w:rFonts w:ascii="Verdana" w:eastAsia="Times New Roman" w:hAnsi="Verdana" w:cs="Times New Roman"/>
          <w:color w:val="000000" w:themeColor="text1"/>
          <w:sz w:val="24"/>
          <w:szCs w:val="24"/>
        </w:rPr>
      </w:pPr>
    </w:p>
    <w:p w:rsidR="00D431F1" w:rsidRPr="00A961A9" w:rsidRDefault="00D431F1" w:rsidP="00D431F1">
      <w:pPr>
        <w:pStyle w:val="Heading3"/>
        <w:rPr>
          <w:rFonts w:ascii="Verdana" w:hAnsi="Verdana"/>
          <w:color w:val="000000" w:themeColor="text1"/>
          <w:sz w:val="28"/>
          <w:szCs w:val="24"/>
        </w:rPr>
      </w:pPr>
      <w:r w:rsidRPr="00A961A9">
        <w:rPr>
          <w:rFonts w:ascii="Verdana" w:hAnsi="Verdana"/>
          <w:color w:val="000000" w:themeColor="text1"/>
          <w:sz w:val="28"/>
          <w:szCs w:val="24"/>
        </w:rPr>
        <w:lastRenderedPageBreak/>
        <w:t>References</w:t>
      </w:r>
    </w:p>
    <w:p w:rsidR="00D431F1" w:rsidRPr="00A961A9" w:rsidRDefault="00D431F1" w:rsidP="00D431F1">
      <w:pPr>
        <w:rPr>
          <w:rFonts w:ascii="Verdana" w:hAnsi="Verdana"/>
          <w:color w:val="000000" w:themeColor="text1"/>
          <w:sz w:val="24"/>
          <w:szCs w:val="24"/>
        </w:rPr>
      </w:pPr>
      <w:proofErr w:type="gramStart"/>
      <w:r w:rsidRPr="00A961A9">
        <w:rPr>
          <w:rFonts w:ascii="Verdana" w:hAnsi="Verdana"/>
          <w:color w:val="000000" w:themeColor="text1"/>
          <w:sz w:val="24"/>
          <w:szCs w:val="24"/>
          <w:shd w:val="clear" w:color="auto" w:fill="FFFEE7"/>
        </w:rPr>
        <w:t>ALTC.</w:t>
      </w:r>
      <w:proofErr w:type="gramEnd"/>
      <w:r w:rsidRPr="00A961A9">
        <w:rPr>
          <w:rFonts w:ascii="Verdana" w:hAnsi="Verdana"/>
          <w:color w:val="000000" w:themeColor="text1"/>
          <w:sz w:val="24"/>
          <w:szCs w:val="24"/>
          <w:shd w:val="clear" w:color="auto" w:fill="FFFEE7"/>
        </w:rPr>
        <w:t xml:space="preserve"> (2011). </w:t>
      </w:r>
      <w:r w:rsidRPr="00A961A9">
        <w:rPr>
          <w:rFonts w:ascii="Verdana" w:hAnsi="Verdana"/>
          <w:iCs/>
          <w:color w:val="000000" w:themeColor="text1"/>
          <w:sz w:val="24"/>
          <w:szCs w:val="24"/>
        </w:rPr>
        <w:t>Engaging industry: embedding professional learning in the business curriculum.</w:t>
      </w:r>
      <w:r w:rsidRPr="00A961A9">
        <w:rPr>
          <w:rFonts w:ascii="Verdana" w:hAnsi="Verdana"/>
          <w:color w:val="000000" w:themeColor="text1"/>
          <w:sz w:val="24"/>
          <w:szCs w:val="24"/>
          <w:shd w:val="clear" w:color="auto" w:fill="FFFEE7"/>
        </w:rPr>
        <w:t> </w:t>
      </w:r>
      <w:hyperlink r:id="rId11" w:history="1">
        <w:r w:rsidRPr="00A961A9">
          <w:rPr>
            <w:rStyle w:val="Hyperlink"/>
            <w:rFonts w:ascii="Verdana" w:hAnsi="Verdana"/>
            <w:color w:val="000000" w:themeColor="text1"/>
            <w:sz w:val="24"/>
            <w:szCs w:val="24"/>
            <w:u w:val="none"/>
          </w:rPr>
          <w:t>http://www.altc.edu.au/resource-engaging-industry-embedding-vu-2011</w:t>
        </w:r>
      </w:hyperlink>
    </w:p>
    <w:p w:rsidR="00D431F1" w:rsidRPr="00A961A9" w:rsidRDefault="00D431F1" w:rsidP="00D431F1">
      <w:pPr>
        <w:pStyle w:val="NormalWeb"/>
        <w:rPr>
          <w:rFonts w:ascii="Verdana" w:hAnsi="Verdana"/>
          <w:color w:val="000000" w:themeColor="text1"/>
        </w:rPr>
      </w:pPr>
      <w:proofErr w:type="gramStart"/>
      <w:r w:rsidRPr="00A961A9">
        <w:rPr>
          <w:rFonts w:ascii="Verdana" w:hAnsi="Verdana"/>
          <w:color w:val="000000" w:themeColor="text1"/>
        </w:rPr>
        <w:t>Cox, S. &amp; King, D. (2006).</w:t>
      </w:r>
      <w:proofErr w:type="gramEnd"/>
      <w:r w:rsidRPr="00A961A9">
        <w:rPr>
          <w:rFonts w:ascii="Verdana" w:hAnsi="Verdana"/>
          <w:color w:val="000000" w:themeColor="text1"/>
        </w:rPr>
        <w:t xml:space="preserve"> Skill sets: An approach to embed employability in course design. </w:t>
      </w:r>
      <w:proofErr w:type="gramStart"/>
      <w:r w:rsidRPr="00A961A9">
        <w:rPr>
          <w:rFonts w:ascii="Verdana" w:hAnsi="Verdana"/>
          <w:iCs/>
          <w:color w:val="000000" w:themeColor="text1"/>
        </w:rPr>
        <w:t>Education &amp; Training,</w:t>
      </w:r>
      <w:r w:rsidRPr="00A961A9">
        <w:rPr>
          <w:rFonts w:ascii="Verdana" w:hAnsi="Verdana"/>
          <w:color w:val="000000" w:themeColor="text1"/>
        </w:rPr>
        <w:t> 48(4), 262-262-274.</w:t>
      </w:r>
      <w:proofErr w:type="gramEnd"/>
      <w:r w:rsidRPr="00A961A9">
        <w:rPr>
          <w:rFonts w:ascii="Verdana" w:hAnsi="Verdana"/>
          <w:color w:val="000000" w:themeColor="text1"/>
        </w:rPr>
        <w:t> </w:t>
      </w:r>
      <w:hyperlink r:id="rId12" w:history="1">
        <w:r w:rsidRPr="00A961A9">
          <w:rPr>
            <w:rStyle w:val="Hyperlink"/>
            <w:rFonts w:ascii="Verdana" w:hAnsi="Verdana"/>
            <w:color w:val="000000" w:themeColor="text1"/>
            <w:u w:val="none"/>
          </w:rPr>
          <w:t>http://dx.doi.org/10.1108/00400910610671933</w:t>
        </w:r>
      </w:hyperlink>
    </w:p>
    <w:p w:rsidR="00D431F1" w:rsidRPr="00A961A9" w:rsidRDefault="00D431F1" w:rsidP="00D431F1">
      <w:pPr>
        <w:pStyle w:val="NormalWeb"/>
        <w:rPr>
          <w:rFonts w:ascii="Verdana" w:hAnsi="Verdana"/>
          <w:color w:val="000000" w:themeColor="text1"/>
        </w:rPr>
      </w:pPr>
      <w:proofErr w:type="gramStart"/>
      <w:r w:rsidRPr="00A961A9">
        <w:rPr>
          <w:rFonts w:ascii="Verdana" w:hAnsi="Verdana"/>
          <w:color w:val="000000" w:themeColor="text1"/>
        </w:rPr>
        <w:t>DEST.</w:t>
      </w:r>
      <w:proofErr w:type="gramEnd"/>
      <w:r w:rsidRPr="00A961A9">
        <w:rPr>
          <w:rFonts w:ascii="Verdana" w:hAnsi="Verdana"/>
          <w:color w:val="000000" w:themeColor="text1"/>
        </w:rPr>
        <w:t xml:space="preserve"> (2007). Graduate employability skills. Retrieved 30 August, 2011, from </w:t>
      </w:r>
      <w:hyperlink r:id="rId13" w:history="1">
        <w:r w:rsidRPr="00A961A9">
          <w:rPr>
            <w:rStyle w:val="Hyperlink"/>
            <w:rFonts w:ascii="Verdana" w:hAnsi="Verdana"/>
            <w:color w:val="000000" w:themeColor="text1"/>
            <w:u w:val="none"/>
          </w:rPr>
          <w:t>http://www.dest.gov.au/NR/rdonlyres/E58EFDBE-BA83-430E 2E91BCB59DF1/20214/GraduateEmployabilitySkillsFINALREPORT1.pdf</w:t>
        </w:r>
      </w:hyperlink>
    </w:p>
    <w:p w:rsidR="00D431F1" w:rsidRPr="00A961A9" w:rsidRDefault="00D431F1" w:rsidP="00D431F1">
      <w:pPr>
        <w:pStyle w:val="NormalWeb"/>
        <w:rPr>
          <w:rFonts w:ascii="Verdana" w:hAnsi="Verdana"/>
          <w:color w:val="000000" w:themeColor="text1"/>
        </w:rPr>
      </w:pPr>
      <w:proofErr w:type="gramStart"/>
      <w:r w:rsidRPr="00A961A9">
        <w:rPr>
          <w:rFonts w:ascii="Verdana" w:hAnsi="Verdana"/>
          <w:color w:val="000000" w:themeColor="text1"/>
        </w:rPr>
        <w:t>MCQUAID, R. W., GREIG, M., and ADAMS, J. (2004) Are New Deal employment initiatives on target?</w:t>
      </w:r>
      <w:proofErr w:type="gramEnd"/>
      <w:r w:rsidRPr="00A961A9">
        <w:rPr>
          <w:rFonts w:ascii="Verdana" w:hAnsi="Verdana"/>
          <w:color w:val="000000" w:themeColor="text1"/>
        </w:rPr>
        <w:t xml:space="preserve"> Evidence from job search success in local labour markets, </w:t>
      </w:r>
      <w:r w:rsidR="00A961A9" w:rsidRPr="00A961A9">
        <w:rPr>
          <w:rFonts w:ascii="Verdana" w:hAnsi="Verdana"/>
          <w:color w:val="000000" w:themeColor="text1"/>
        </w:rPr>
        <w:t>Internet</w:t>
      </w:r>
    </w:p>
    <w:p w:rsidR="00D431F1" w:rsidRPr="00A961A9" w:rsidRDefault="00D431F1" w:rsidP="00D431F1">
      <w:pPr>
        <w:pStyle w:val="NormalWeb"/>
        <w:rPr>
          <w:rFonts w:ascii="Verdana" w:hAnsi="Verdana"/>
          <w:color w:val="000000" w:themeColor="text1"/>
        </w:rPr>
      </w:pPr>
      <w:proofErr w:type="gramStart"/>
      <w:r w:rsidRPr="00A961A9">
        <w:rPr>
          <w:rFonts w:ascii="Verdana" w:hAnsi="Verdana"/>
          <w:color w:val="000000" w:themeColor="text1"/>
        </w:rPr>
        <w:t>Enright, M. K. &amp; Gitomer, D. (1989).</w:t>
      </w:r>
      <w:proofErr w:type="gramEnd"/>
      <w:r w:rsidRPr="00A961A9">
        <w:rPr>
          <w:rFonts w:ascii="Verdana" w:hAnsi="Verdana"/>
          <w:color w:val="000000" w:themeColor="text1"/>
        </w:rPr>
        <w:t> </w:t>
      </w:r>
      <w:proofErr w:type="gramStart"/>
      <w:r w:rsidRPr="00A961A9">
        <w:rPr>
          <w:rFonts w:ascii="Verdana" w:hAnsi="Verdana"/>
          <w:iCs/>
          <w:color w:val="000000" w:themeColor="text1"/>
        </w:rPr>
        <w:t>Toward a description of successful graduate students.</w:t>
      </w:r>
      <w:proofErr w:type="gramEnd"/>
      <w:r w:rsidRPr="00A961A9">
        <w:rPr>
          <w:rFonts w:ascii="Verdana" w:hAnsi="Verdana"/>
          <w:color w:val="000000" w:themeColor="text1"/>
        </w:rPr>
        <w:t> GRE Board Research Report No. 85-17RET Research Report 89-9. Princeton: NJ.</w:t>
      </w:r>
    </w:p>
    <w:p w:rsidR="00D431F1" w:rsidRPr="00A961A9" w:rsidRDefault="00D431F1" w:rsidP="00D431F1">
      <w:pPr>
        <w:pStyle w:val="NormalWeb"/>
        <w:rPr>
          <w:rFonts w:ascii="Verdana" w:hAnsi="Verdana"/>
          <w:color w:val="000000" w:themeColor="text1"/>
        </w:rPr>
      </w:pPr>
      <w:r w:rsidRPr="00A961A9">
        <w:rPr>
          <w:rFonts w:ascii="Verdana" w:hAnsi="Verdana"/>
          <w:color w:val="000000" w:themeColor="text1"/>
        </w:rPr>
        <w:t>Grehan, P. M., Flanagan, R. &amp; Malgady, R. G. (2011), Successful graduate students: The roles of personality traits and emotional intelligence. </w:t>
      </w:r>
      <w:r w:rsidRPr="00A961A9">
        <w:rPr>
          <w:rFonts w:ascii="Verdana" w:hAnsi="Verdana"/>
          <w:iCs/>
          <w:color w:val="000000" w:themeColor="text1"/>
        </w:rPr>
        <w:t>Psychology in the Schools,</w:t>
      </w:r>
      <w:r w:rsidRPr="00A961A9">
        <w:rPr>
          <w:rFonts w:ascii="Verdana" w:hAnsi="Verdana"/>
          <w:color w:val="000000" w:themeColor="text1"/>
        </w:rPr>
        <w:t> 48, 317-331. </w:t>
      </w:r>
      <w:hyperlink r:id="rId14" w:history="1">
        <w:r w:rsidRPr="00A961A9">
          <w:rPr>
            <w:rStyle w:val="Hyperlink"/>
            <w:rFonts w:ascii="Verdana" w:hAnsi="Verdana"/>
            <w:color w:val="000000" w:themeColor="text1"/>
            <w:u w:val="none"/>
          </w:rPr>
          <w:t>http://dx.doi.org/10.1002/pits.20556</w:t>
        </w:r>
      </w:hyperlink>
    </w:p>
    <w:p w:rsidR="00D431F1" w:rsidRPr="00A961A9" w:rsidRDefault="00D431F1" w:rsidP="00D431F1">
      <w:pPr>
        <w:pStyle w:val="NormalWeb"/>
        <w:rPr>
          <w:rStyle w:val="Hyperlink"/>
          <w:rFonts w:ascii="Verdana" w:hAnsi="Verdana"/>
          <w:color w:val="000000" w:themeColor="text1"/>
          <w:u w:val="none"/>
        </w:rPr>
      </w:pPr>
      <w:proofErr w:type="gramStart"/>
      <w:r w:rsidRPr="00A961A9">
        <w:rPr>
          <w:rFonts w:ascii="Verdana" w:hAnsi="Verdana"/>
          <w:color w:val="000000" w:themeColor="text1"/>
        </w:rPr>
        <w:t>DEST.</w:t>
      </w:r>
      <w:proofErr w:type="gramEnd"/>
      <w:r w:rsidRPr="00A961A9">
        <w:rPr>
          <w:rFonts w:ascii="Verdana" w:hAnsi="Verdana"/>
          <w:color w:val="000000" w:themeColor="text1"/>
        </w:rPr>
        <w:t xml:space="preserve"> </w:t>
      </w:r>
      <w:proofErr w:type="gramStart"/>
      <w:r w:rsidRPr="00A961A9">
        <w:rPr>
          <w:rFonts w:ascii="Verdana" w:hAnsi="Verdana"/>
          <w:color w:val="000000" w:themeColor="text1"/>
        </w:rPr>
        <w:t>(2002). </w:t>
      </w:r>
      <w:r w:rsidRPr="00A961A9">
        <w:rPr>
          <w:rFonts w:ascii="Verdana" w:hAnsi="Verdana"/>
          <w:iCs/>
          <w:color w:val="000000" w:themeColor="text1"/>
        </w:rPr>
        <w:t>Employability skills for the future.</w:t>
      </w:r>
      <w:proofErr w:type="gramEnd"/>
      <w:r w:rsidRPr="00A961A9">
        <w:rPr>
          <w:rFonts w:ascii="Verdana" w:hAnsi="Verdana"/>
          <w:color w:val="000000" w:themeColor="text1"/>
        </w:rPr>
        <w:t> Retrieved 30 August, 2011 from </w:t>
      </w:r>
      <w:hyperlink r:id="rId15" w:history="1">
        <w:r w:rsidRPr="00A961A9">
          <w:rPr>
            <w:rStyle w:val="Hyperlink"/>
            <w:rFonts w:ascii="Verdana" w:hAnsi="Verdana"/>
            <w:color w:val="000000" w:themeColor="text1"/>
            <w:u w:val="none"/>
          </w:rPr>
          <w:t>http://www.dest.gov.au/archive/ty/publications/employability_skills/final_report.pdf</w:t>
        </w:r>
      </w:hyperlink>
    </w:p>
    <w:p w:rsidR="00856323" w:rsidRPr="00A961A9" w:rsidRDefault="00856323" w:rsidP="00D431F1">
      <w:pPr>
        <w:pStyle w:val="NormalWeb"/>
        <w:rPr>
          <w:rFonts w:ascii="Verdana" w:hAnsi="Verdana"/>
          <w:color w:val="000000" w:themeColor="text1"/>
        </w:rPr>
      </w:pPr>
      <w:r w:rsidRPr="00A961A9">
        <w:rPr>
          <w:rFonts w:ascii="Verdana" w:hAnsi="Verdana"/>
          <w:color w:val="000000" w:themeColor="text1"/>
        </w:rPr>
        <w:t xml:space="preserve">GRANOVETTER, M. (1982) </w:t>
      </w:r>
      <w:proofErr w:type="gramStart"/>
      <w:r w:rsidRPr="00A961A9">
        <w:rPr>
          <w:rFonts w:ascii="Verdana" w:hAnsi="Verdana"/>
          <w:color w:val="000000" w:themeColor="text1"/>
        </w:rPr>
        <w:t>The</w:t>
      </w:r>
      <w:proofErr w:type="gramEnd"/>
      <w:r w:rsidRPr="00A961A9">
        <w:rPr>
          <w:rFonts w:ascii="Verdana" w:hAnsi="Verdana"/>
          <w:color w:val="000000" w:themeColor="text1"/>
        </w:rPr>
        <w:t xml:space="preserve"> strength of weak ties: a network theory revisited, in: P. V. MARSDEN and N. LIN (</w:t>
      </w:r>
      <w:proofErr w:type="spellStart"/>
      <w:r w:rsidRPr="00A961A9">
        <w:rPr>
          <w:rFonts w:ascii="Verdana" w:hAnsi="Verdana"/>
          <w:color w:val="000000" w:themeColor="text1"/>
        </w:rPr>
        <w:t>Eds</w:t>
      </w:r>
      <w:bookmarkStart w:id="0" w:name="_GoBack"/>
      <w:bookmarkEnd w:id="0"/>
      <w:proofErr w:type="spellEnd"/>
      <w:r w:rsidRPr="00A961A9">
        <w:rPr>
          <w:rFonts w:ascii="Verdana" w:hAnsi="Verdana"/>
          <w:color w:val="000000" w:themeColor="text1"/>
        </w:rPr>
        <w:t>) Social Structure and Network Analysis, pp. 105–130. London: Sage.</w:t>
      </w:r>
    </w:p>
    <w:p w:rsidR="00856323" w:rsidRPr="00A961A9" w:rsidRDefault="00856323" w:rsidP="00D431F1">
      <w:pPr>
        <w:pStyle w:val="NormalWeb"/>
        <w:rPr>
          <w:rFonts w:ascii="Verdana" w:hAnsi="Verdana"/>
          <w:color w:val="000000" w:themeColor="text1"/>
        </w:rPr>
      </w:pPr>
      <w:r w:rsidRPr="00A961A9">
        <w:rPr>
          <w:rFonts w:ascii="Verdana" w:hAnsi="Verdana"/>
          <w:color w:val="000000" w:themeColor="text1"/>
        </w:rPr>
        <w:t>WHITE, M. (2000) The New Deal for Young People: towards an ethical employment policy</w:t>
      </w:r>
      <w:proofErr w:type="gramStart"/>
      <w:r w:rsidRPr="00A961A9">
        <w:rPr>
          <w:rFonts w:ascii="Verdana" w:hAnsi="Verdana"/>
          <w:color w:val="000000" w:themeColor="text1"/>
        </w:rPr>
        <w:t>?,</w:t>
      </w:r>
      <w:proofErr w:type="gramEnd"/>
      <w:r w:rsidRPr="00A961A9">
        <w:rPr>
          <w:rFonts w:ascii="Verdana" w:hAnsi="Verdana"/>
          <w:color w:val="000000" w:themeColor="text1"/>
        </w:rPr>
        <w:t xml:space="preserve"> Policy Studies, 21, pp. 285–299.</w:t>
      </w:r>
    </w:p>
    <w:p w:rsidR="00D431F1" w:rsidRPr="00A961A9" w:rsidRDefault="00D431F1" w:rsidP="00D431F1">
      <w:pPr>
        <w:pStyle w:val="NormalWeb"/>
        <w:rPr>
          <w:rFonts w:ascii="Verdana" w:hAnsi="Verdana"/>
          <w:color w:val="000000" w:themeColor="text1"/>
        </w:rPr>
      </w:pPr>
    </w:p>
    <w:p w:rsidR="001605DA" w:rsidRPr="00A961A9" w:rsidRDefault="001605DA" w:rsidP="00D431F1">
      <w:pPr>
        <w:jc w:val="both"/>
        <w:rPr>
          <w:rFonts w:ascii="Verdana" w:hAnsi="Verdana"/>
          <w:color w:val="000000" w:themeColor="text1"/>
          <w:sz w:val="24"/>
          <w:szCs w:val="24"/>
        </w:rPr>
      </w:pPr>
    </w:p>
    <w:sectPr w:rsidR="001605DA" w:rsidRPr="00A961A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A3810"/>
    <w:multiLevelType w:val="multilevel"/>
    <w:tmpl w:val="FD86B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4912B88"/>
    <w:multiLevelType w:val="multilevel"/>
    <w:tmpl w:val="9D568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9FB24F6"/>
    <w:multiLevelType w:val="multilevel"/>
    <w:tmpl w:val="568C8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5D87DB6"/>
    <w:multiLevelType w:val="multilevel"/>
    <w:tmpl w:val="127A2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48A5"/>
    <w:rsid w:val="000348A5"/>
    <w:rsid w:val="001605DA"/>
    <w:rsid w:val="00187A2D"/>
    <w:rsid w:val="005A6142"/>
    <w:rsid w:val="00664974"/>
    <w:rsid w:val="00794AEF"/>
    <w:rsid w:val="00851665"/>
    <w:rsid w:val="00856323"/>
    <w:rsid w:val="008939E5"/>
    <w:rsid w:val="008E5293"/>
    <w:rsid w:val="008F1D2A"/>
    <w:rsid w:val="00A60C58"/>
    <w:rsid w:val="00A961A9"/>
    <w:rsid w:val="00BA1035"/>
    <w:rsid w:val="00D23944"/>
    <w:rsid w:val="00D431F1"/>
    <w:rsid w:val="00DC4B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31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1605DA"/>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85632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4AE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1605DA"/>
    <w:rPr>
      <w:rFonts w:ascii="Times New Roman" w:eastAsia="Times New Roman" w:hAnsi="Times New Roman" w:cs="Times New Roman"/>
      <w:b/>
      <w:bCs/>
      <w:sz w:val="27"/>
      <w:szCs w:val="27"/>
    </w:rPr>
  </w:style>
  <w:style w:type="character" w:styleId="Hyperlink">
    <w:name w:val="Hyperlink"/>
    <w:basedOn w:val="DefaultParagraphFont"/>
    <w:uiPriority w:val="99"/>
    <w:semiHidden/>
    <w:unhideWhenUsed/>
    <w:rsid w:val="001605DA"/>
    <w:rPr>
      <w:color w:val="0000FF"/>
      <w:u w:val="single"/>
    </w:rPr>
  </w:style>
  <w:style w:type="character" w:styleId="Strong">
    <w:name w:val="Strong"/>
    <w:basedOn w:val="DefaultParagraphFont"/>
    <w:uiPriority w:val="22"/>
    <w:qFormat/>
    <w:rsid w:val="005A6142"/>
    <w:rPr>
      <w:b/>
      <w:bCs/>
    </w:rPr>
  </w:style>
  <w:style w:type="character" w:customStyle="1" w:styleId="Heading1Char">
    <w:name w:val="Heading 1 Char"/>
    <w:basedOn w:val="DefaultParagraphFont"/>
    <w:link w:val="Heading1"/>
    <w:uiPriority w:val="9"/>
    <w:rsid w:val="00D431F1"/>
    <w:rPr>
      <w:rFonts w:asciiTheme="majorHAnsi" w:eastAsiaTheme="majorEastAsia" w:hAnsiTheme="majorHAnsi" w:cstheme="majorBidi"/>
      <w:b/>
      <w:bCs/>
      <w:color w:val="365F91" w:themeColor="accent1" w:themeShade="BF"/>
      <w:sz w:val="28"/>
      <w:szCs w:val="28"/>
    </w:rPr>
  </w:style>
  <w:style w:type="character" w:customStyle="1" w:styleId="Title1">
    <w:name w:val="Title1"/>
    <w:basedOn w:val="DefaultParagraphFont"/>
    <w:rsid w:val="00D431F1"/>
  </w:style>
  <w:style w:type="character" w:customStyle="1" w:styleId="Heading4Char">
    <w:name w:val="Heading 4 Char"/>
    <w:basedOn w:val="DefaultParagraphFont"/>
    <w:link w:val="Heading4"/>
    <w:uiPriority w:val="9"/>
    <w:rsid w:val="00856323"/>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DC4B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4B4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31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1605DA"/>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85632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4AE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1605DA"/>
    <w:rPr>
      <w:rFonts w:ascii="Times New Roman" w:eastAsia="Times New Roman" w:hAnsi="Times New Roman" w:cs="Times New Roman"/>
      <w:b/>
      <w:bCs/>
      <w:sz w:val="27"/>
      <w:szCs w:val="27"/>
    </w:rPr>
  </w:style>
  <w:style w:type="character" w:styleId="Hyperlink">
    <w:name w:val="Hyperlink"/>
    <w:basedOn w:val="DefaultParagraphFont"/>
    <w:uiPriority w:val="99"/>
    <w:semiHidden/>
    <w:unhideWhenUsed/>
    <w:rsid w:val="001605DA"/>
    <w:rPr>
      <w:color w:val="0000FF"/>
      <w:u w:val="single"/>
    </w:rPr>
  </w:style>
  <w:style w:type="character" w:styleId="Strong">
    <w:name w:val="Strong"/>
    <w:basedOn w:val="DefaultParagraphFont"/>
    <w:uiPriority w:val="22"/>
    <w:qFormat/>
    <w:rsid w:val="005A6142"/>
    <w:rPr>
      <w:b/>
      <w:bCs/>
    </w:rPr>
  </w:style>
  <w:style w:type="character" w:customStyle="1" w:styleId="Heading1Char">
    <w:name w:val="Heading 1 Char"/>
    <w:basedOn w:val="DefaultParagraphFont"/>
    <w:link w:val="Heading1"/>
    <w:uiPriority w:val="9"/>
    <w:rsid w:val="00D431F1"/>
    <w:rPr>
      <w:rFonts w:asciiTheme="majorHAnsi" w:eastAsiaTheme="majorEastAsia" w:hAnsiTheme="majorHAnsi" w:cstheme="majorBidi"/>
      <w:b/>
      <w:bCs/>
      <w:color w:val="365F91" w:themeColor="accent1" w:themeShade="BF"/>
      <w:sz w:val="28"/>
      <w:szCs w:val="28"/>
    </w:rPr>
  </w:style>
  <w:style w:type="character" w:customStyle="1" w:styleId="Title1">
    <w:name w:val="Title1"/>
    <w:basedOn w:val="DefaultParagraphFont"/>
    <w:rsid w:val="00D431F1"/>
  </w:style>
  <w:style w:type="character" w:customStyle="1" w:styleId="Heading4Char">
    <w:name w:val="Heading 4 Char"/>
    <w:basedOn w:val="DefaultParagraphFont"/>
    <w:link w:val="Heading4"/>
    <w:uiPriority w:val="9"/>
    <w:rsid w:val="00856323"/>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DC4B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4B4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5212241">
      <w:bodyDiv w:val="1"/>
      <w:marLeft w:val="0"/>
      <w:marRight w:val="0"/>
      <w:marTop w:val="0"/>
      <w:marBottom w:val="0"/>
      <w:divBdr>
        <w:top w:val="none" w:sz="0" w:space="0" w:color="auto"/>
        <w:left w:val="none" w:sz="0" w:space="0" w:color="auto"/>
        <w:bottom w:val="none" w:sz="0" w:space="0" w:color="auto"/>
        <w:right w:val="none" w:sz="0" w:space="0" w:color="auto"/>
      </w:divBdr>
    </w:div>
    <w:div w:id="352540586">
      <w:bodyDiv w:val="1"/>
      <w:marLeft w:val="0"/>
      <w:marRight w:val="0"/>
      <w:marTop w:val="0"/>
      <w:marBottom w:val="0"/>
      <w:divBdr>
        <w:top w:val="none" w:sz="0" w:space="0" w:color="auto"/>
        <w:left w:val="none" w:sz="0" w:space="0" w:color="auto"/>
        <w:bottom w:val="none" w:sz="0" w:space="0" w:color="auto"/>
        <w:right w:val="none" w:sz="0" w:space="0" w:color="auto"/>
      </w:divBdr>
    </w:div>
    <w:div w:id="587084668">
      <w:bodyDiv w:val="1"/>
      <w:marLeft w:val="0"/>
      <w:marRight w:val="0"/>
      <w:marTop w:val="0"/>
      <w:marBottom w:val="0"/>
      <w:divBdr>
        <w:top w:val="none" w:sz="0" w:space="0" w:color="auto"/>
        <w:left w:val="none" w:sz="0" w:space="0" w:color="auto"/>
        <w:bottom w:val="none" w:sz="0" w:space="0" w:color="auto"/>
        <w:right w:val="none" w:sz="0" w:space="0" w:color="auto"/>
      </w:divBdr>
    </w:div>
    <w:div w:id="631833633">
      <w:bodyDiv w:val="1"/>
      <w:marLeft w:val="0"/>
      <w:marRight w:val="0"/>
      <w:marTop w:val="0"/>
      <w:marBottom w:val="0"/>
      <w:divBdr>
        <w:top w:val="none" w:sz="0" w:space="0" w:color="auto"/>
        <w:left w:val="none" w:sz="0" w:space="0" w:color="auto"/>
        <w:bottom w:val="none" w:sz="0" w:space="0" w:color="auto"/>
        <w:right w:val="none" w:sz="0" w:space="0" w:color="auto"/>
      </w:divBdr>
    </w:div>
    <w:div w:id="692731507">
      <w:bodyDiv w:val="1"/>
      <w:marLeft w:val="0"/>
      <w:marRight w:val="0"/>
      <w:marTop w:val="0"/>
      <w:marBottom w:val="0"/>
      <w:divBdr>
        <w:top w:val="none" w:sz="0" w:space="0" w:color="auto"/>
        <w:left w:val="none" w:sz="0" w:space="0" w:color="auto"/>
        <w:bottom w:val="none" w:sz="0" w:space="0" w:color="auto"/>
        <w:right w:val="none" w:sz="0" w:space="0" w:color="auto"/>
      </w:divBdr>
    </w:div>
    <w:div w:id="921373903">
      <w:bodyDiv w:val="1"/>
      <w:marLeft w:val="0"/>
      <w:marRight w:val="0"/>
      <w:marTop w:val="0"/>
      <w:marBottom w:val="0"/>
      <w:divBdr>
        <w:top w:val="none" w:sz="0" w:space="0" w:color="auto"/>
        <w:left w:val="none" w:sz="0" w:space="0" w:color="auto"/>
        <w:bottom w:val="none" w:sz="0" w:space="0" w:color="auto"/>
        <w:right w:val="none" w:sz="0" w:space="0" w:color="auto"/>
      </w:divBdr>
    </w:div>
    <w:div w:id="967856884">
      <w:bodyDiv w:val="1"/>
      <w:marLeft w:val="0"/>
      <w:marRight w:val="0"/>
      <w:marTop w:val="0"/>
      <w:marBottom w:val="0"/>
      <w:divBdr>
        <w:top w:val="none" w:sz="0" w:space="0" w:color="auto"/>
        <w:left w:val="none" w:sz="0" w:space="0" w:color="auto"/>
        <w:bottom w:val="none" w:sz="0" w:space="0" w:color="auto"/>
        <w:right w:val="none" w:sz="0" w:space="0" w:color="auto"/>
      </w:divBdr>
    </w:div>
    <w:div w:id="1122575741">
      <w:bodyDiv w:val="1"/>
      <w:marLeft w:val="0"/>
      <w:marRight w:val="0"/>
      <w:marTop w:val="0"/>
      <w:marBottom w:val="0"/>
      <w:divBdr>
        <w:top w:val="none" w:sz="0" w:space="0" w:color="auto"/>
        <w:left w:val="none" w:sz="0" w:space="0" w:color="auto"/>
        <w:bottom w:val="none" w:sz="0" w:space="0" w:color="auto"/>
        <w:right w:val="none" w:sz="0" w:space="0" w:color="auto"/>
      </w:divBdr>
    </w:div>
    <w:div w:id="1157649701">
      <w:bodyDiv w:val="1"/>
      <w:marLeft w:val="0"/>
      <w:marRight w:val="0"/>
      <w:marTop w:val="0"/>
      <w:marBottom w:val="0"/>
      <w:divBdr>
        <w:top w:val="none" w:sz="0" w:space="0" w:color="auto"/>
        <w:left w:val="none" w:sz="0" w:space="0" w:color="auto"/>
        <w:bottom w:val="none" w:sz="0" w:space="0" w:color="auto"/>
        <w:right w:val="none" w:sz="0" w:space="0" w:color="auto"/>
      </w:divBdr>
    </w:div>
    <w:div w:id="1239554754">
      <w:bodyDiv w:val="1"/>
      <w:marLeft w:val="0"/>
      <w:marRight w:val="0"/>
      <w:marTop w:val="0"/>
      <w:marBottom w:val="0"/>
      <w:divBdr>
        <w:top w:val="none" w:sz="0" w:space="0" w:color="auto"/>
        <w:left w:val="none" w:sz="0" w:space="0" w:color="auto"/>
        <w:bottom w:val="none" w:sz="0" w:space="0" w:color="auto"/>
        <w:right w:val="none" w:sz="0" w:space="0" w:color="auto"/>
      </w:divBdr>
    </w:div>
    <w:div w:id="1881938386">
      <w:bodyDiv w:val="1"/>
      <w:marLeft w:val="0"/>
      <w:marRight w:val="0"/>
      <w:marTop w:val="0"/>
      <w:marBottom w:val="0"/>
      <w:divBdr>
        <w:top w:val="none" w:sz="0" w:space="0" w:color="auto"/>
        <w:left w:val="none" w:sz="0" w:space="0" w:color="auto"/>
        <w:bottom w:val="none" w:sz="0" w:space="0" w:color="auto"/>
        <w:right w:val="none" w:sz="0" w:space="0" w:color="auto"/>
      </w:divBdr>
    </w:div>
    <w:div w:id="192298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leeds.ac.uk/info/14011/writing/106/academic_writing" TargetMode="External"/><Relationship Id="rId13" Type="http://schemas.openxmlformats.org/officeDocument/2006/relationships/hyperlink" Target="http://www.dest.gov.au/NR/rdonlyres/E58EFDBE-BA83-430E%202E91BCB59DF1/20214/GraduateEmployabilitySkillsFINALREPORT1.pdf" TargetMode="External"/><Relationship Id="rId3" Type="http://schemas.microsoft.com/office/2007/relationships/stylesWithEffects" Target="stylesWithEffects.xml"/><Relationship Id="rId7" Type="http://schemas.openxmlformats.org/officeDocument/2006/relationships/hyperlink" Target="https://www.exeter.ac.uk/ambassadors/HESTEM/resources/General/STEMNET%20Employability%20skills%20guide.pdf" TargetMode="External"/><Relationship Id="rId12" Type="http://schemas.openxmlformats.org/officeDocument/2006/relationships/hyperlink" Target="http://dx.doi.org/10.1108/0040091061067193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hyperlink" Target="http://www.altc.edu.au/resource-engaging-industry-embedding-vu-2011" TargetMode="External"/><Relationship Id="rId5" Type="http://schemas.openxmlformats.org/officeDocument/2006/relationships/webSettings" Target="webSettings.xml"/><Relationship Id="rId15" Type="http://schemas.openxmlformats.org/officeDocument/2006/relationships/hyperlink" Target="http://www.dest.gov.au/archive/ty/publications/employability_skills/final_report.pdf" TargetMode="External"/><Relationship Id="rId10" Type="http://schemas.openxmlformats.org/officeDocument/2006/relationships/hyperlink" Target="http://clt.curtin.edu.au/" TargetMode="External"/><Relationship Id="rId4" Type="http://schemas.openxmlformats.org/officeDocument/2006/relationships/settings" Target="settings.xml"/><Relationship Id="rId9" Type="http://schemas.openxmlformats.org/officeDocument/2006/relationships/hyperlink" Target="https://library.leeds.ac.uk/info/14011/writing/114/report_writing" TargetMode="External"/><Relationship Id="rId14" Type="http://schemas.openxmlformats.org/officeDocument/2006/relationships/hyperlink" Target="http://dx.doi.org/10.1002/pits.205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2630</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Mccoc</dc:creator>
  <cp:lastModifiedBy>Mccoc</cp:lastModifiedBy>
  <cp:revision>5</cp:revision>
  <dcterms:created xsi:type="dcterms:W3CDTF">2020-08-21T12:33:00Z</dcterms:created>
  <dcterms:modified xsi:type="dcterms:W3CDTF">2020-08-22T01:45:00Z</dcterms:modified>
</cp:coreProperties>
</file>