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42EE0" w14:textId="77777777" w:rsidR="00246498" w:rsidRPr="00EE6B67" w:rsidRDefault="00246498" w:rsidP="00EE6B67">
      <w:pPr>
        <w:jc w:val="center"/>
        <w:rPr>
          <w:rFonts w:ascii="Arial" w:hAnsi="Arial" w:cs="Arial"/>
          <w:b/>
          <w:bCs/>
          <w:sz w:val="24"/>
          <w:szCs w:val="24"/>
          <w:u w:val="single"/>
        </w:rPr>
      </w:pPr>
      <w:r w:rsidRPr="00EE6B67">
        <w:rPr>
          <w:rFonts w:ascii="Arial" w:hAnsi="Arial" w:cs="Arial"/>
          <w:b/>
          <w:bCs/>
          <w:sz w:val="24"/>
          <w:szCs w:val="24"/>
          <w:u w:val="single"/>
        </w:rPr>
        <w:t>Jasmin Williams - Student Number – 2236912</w:t>
      </w:r>
    </w:p>
    <w:p w14:paraId="49623EC7" w14:textId="717B3B48" w:rsidR="00246498" w:rsidRPr="00EE6B67" w:rsidRDefault="00246498" w:rsidP="00246498">
      <w:pPr>
        <w:rPr>
          <w:rFonts w:ascii="Arial" w:hAnsi="Arial" w:cs="Arial"/>
        </w:rPr>
      </w:pPr>
      <w:r w:rsidRPr="00EE6B67">
        <w:rPr>
          <w:rFonts w:ascii="Arial" w:hAnsi="Arial" w:cs="Arial"/>
          <w:b/>
          <w:bCs/>
          <w:sz w:val="24"/>
          <w:szCs w:val="24"/>
          <w:u w:val="single"/>
        </w:rPr>
        <w:t xml:space="preserve">Essay </w:t>
      </w:r>
      <w:r w:rsidR="00EE6B67">
        <w:rPr>
          <w:rFonts w:ascii="Arial" w:hAnsi="Arial" w:cs="Arial"/>
          <w:b/>
          <w:bCs/>
          <w:sz w:val="24"/>
          <w:szCs w:val="24"/>
          <w:u w:val="single"/>
        </w:rPr>
        <w:t>Two</w:t>
      </w:r>
      <w:r w:rsidRPr="00EE6B67">
        <w:rPr>
          <w:rFonts w:ascii="Arial" w:hAnsi="Arial" w:cs="Arial"/>
          <w:b/>
          <w:bCs/>
          <w:sz w:val="24"/>
          <w:szCs w:val="24"/>
          <w:u w:val="single"/>
        </w:rPr>
        <w:t xml:space="preserve"> Response Policing</w:t>
      </w:r>
      <w:r w:rsidRPr="00EE6B67">
        <w:rPr>
          <w:rFonts w:ascii="Arial" w:hAnsi="Arial" w:cs="Arial"/>
          <w:sz w:val="24"/>
          <w:szCs w:val="24"/>
        </w:rPr>
        <w:t xml:space="preserve"> </w:t>
      </w:r>
      <w:r w:rsidRPr="00EE6B67">
        <w:rPr>
          <w:rFonts w:ascii="Arial" w:hAnsi="Arial" w:cs="Arial"/>
        </w:rPr>
        <w:t>– Why is it important to manage wellbeing in policing? What can be the consequences if mental wellbeing is not managed accordingly?</w:t>
      </w:r>
    </w:p>
    <w:p w14:paraId="561E40D0" w14:textId="6EF52968" w:rsidR="00246498" w:rsidRPr="00EE6B67" w:rsidRDefault="00246498" w:rsidP="00246498">
      <w:pPr>
        <w:rPr>
          <w:rFonts w:ascii="Arial" w:hAnsi="Arial" w:cs="Arial"/>
        </w:rPr>
      </w:pPr>
      <w:r w:rsidRPr="00EE6B67">
        <w:rPr>
          <w:rFonts w:ascii="Arial" w:hAnsi="Arial" w:cs="Arial"/>
        </w:rPr>
        <w:t xml:space="preserve">Managing </w:t>
      </w:r>
      <w:r w:rsidR="00CC1869" w:rsidRPr="00EE6B67">
        <w:rPr>
          <w:rFonts w:ascii="Arial" w:hAnsi="Arial" w:cs="Arial"/>
        </w:rPr>
        <w:t>wellbeing</w:t>
      </w:r>
      <w:r w:rsidRPr="00EE6B67">
        <w:rPr>
          <w:rFonts w:ascii="Arial" w:hAnsi="Arial" w:cs="Arial"/>
        </w:rPr>
        <w:t xml:space="preserve"> in policing is very important, as there can be many factors of poor management of poor wellbeing that can have consequences on the policing roll and the officer also.</w:t>
      </w:r>
    </w:p>
    <w:p w14:paraId="61A9482C" w14:textId="77777777" w:rsidR="00246498" w:rsidRPr="00EE6B67" w:rsidRDefault="00246498" w:rsidP="00246498">
      <w:pPr>
        <w:rPr>
          <w:rFonts w:ascii="Arial" w:hAnsi="Arial" w:cs="Arial"/>
        </w:rPr>
      </w:pPr>
      <w:r w:rsidRPr="00EE6B67">
        <w:rPr>
          <w:rFonts w:ascii="Arial" w:hAnsi="Arial" w:cs="Arial"/>
        </w:rPr>
        <w:t>Wellbeing does not have a general definition as it is so different for each individual person, especially when applying this to the workplace and the police force. Many different officers work to different techniques and also different policing styles and their wellbeing on top of this will differ from each officer.</w:t>
      </w:r>
    </w:p>
    <w:p w14:paraId="3642AD4E" w14:textId="65559FCF" w:rsidR="00246498" w:rsidRPr="00EE6B67" w:rsidRDefault="00246498" w:rsidP="00246498">
      <w:pPr>
        <w:rPr>
          <w:rFonts w:ascii="Arial" w:hAnsi="Arial" w:cs="Arial"/>
        </w:rPr>
      </w:pPr>
      <w:r w:rsidRPr="00EE6B67">
        <w:rPr>
          <w:rFonts w:ascii="Arial" w:hAnsi="Arial" w:cs="Arial"/>
        </w:rPr>
        <w:t xml:space="preserve">Being able to balance and have a good understanding of what </w:t>
      </w:r>
      <w:r w:rsidR="00CC1869" w:rsidRPr="00EE6B67">
        <w:rPr>
          <w:rFonts w:ascii="Arial" w:hAnsi="Arial" w:cs="Arial"/>
        </w:rPr>
        <w:t>wellbeing</w:t>
      </w:r>
      <w:r w:rsidRPr="00EE6B67">
        <w:rPr>
          <w:rFonts w:ascii="Arial" w:hAnsi="Arial" w:cs="Arial"/>
        </w:rPr>
        <w:t xml:space="preserve"> is, is again very important as you will be able to understand the general meaning. </w:t>
      </w:r>
    </w:p>
    <w:p w14:paraId="36FF63B3" w14:textId="68781FFA" w:rsidR="00246498" w:rsidRPr="00EE6B67" w:rsidRDefault="00246498" w:rsidP="00246498">
      <w:pPr>
        <w:rPr>
          <w:rFonts w:ascii="Arial" w:hAnsi="Arial" w:cs="Arial"/>
        </w:rPr>
      </w:pPr>
      <w:r w:rsidRPr="00EE6B67">
        <w:rPr>
          <w:rFonts w:ascii="Arial" w:hAnsi="Arial" w:cs="Arial"/>
        </w:rPr>
        <w:t xml:space="preserve">The Mental Health Foundation (2015) define wellbeing as “the state of being comfortable, healthy or happy”. Showing that in order to have a good wellbeing general means that the person is comfortable, happy, and healthy, showing a positive in their day-to-day mental health. This can play a factor in how an officer performs, which shows the importance of managing wellbeing and having a good </w:t>
      </w:r>
      <w:r w:rsidR="00CC1869" w:rsidRPr="00EE6B67">
        <w:rPr>
          <w:rFonts w:ascii="Arial" w:hAnsi="Arial" w:cs="Arial"/>
        </w:rPr>
        <w:t>wellbeing</w:t>
      </w:r>
      <w:r w:rsidRPr="00EE6B67">
        <w:rPr>
          <w:rFonts w:ascii="Arial" w:hAnsi="Arial" w:cs="Arial"/>
        </w:rPr>
        <w:t xml:space="preserve"> in the police force.</w:t>
      </w:r>
    </w:p>
    <w:p w14:paraId="7EA0A61C" w14:textId="77777777" w:rsidR="00246498" w:rsidRPr="00EE6B67" w:rsidRDefault="00246498" w:rsidP="00246498">
      <w:pPr>
        <w:rPr>
          <w:rFonts w:ascii="Arial" w:hAnsi="Arial" w:cs="Arial"/>
          <w:shd w:val="clear" w:color="auto" w:fill="FFFFFF"/>
        </w:rPr>
      </w:pPr>
      <w:r w:rsidRPr="00EE6B67">
        <w:rPr>
          <w:rFonts w:ascii="Arial" w:hAnsi="Arial" w:cs="Arial"/>
        </w:rPr>
        <w:t>Officers managing their wellbeing is very impactive to the role of an officers as Hasson and Butler (2020) state that “</w:t>
      </w:r>
      <w:r w:rsidRPr="00EE6B67">
        <w:rPr>
          <w:rFonts w:ascii="Arial" w:hAnsi="Arial" w:cs="Arial"/>
          <w:shd w:val="clear" w:color="auto" w:fill="FFFFFF"/>
        </w:rPr>
        <w:t>our wellbeing and mental health at work is in our control; we each have the ability to deal with most situations, cope with difficulties and challenges, and bounce back. This ability is called resilience. Like everyone else, you have the potential to be resilient, but it does require thought and effort on your part”.</w:t>
      </w:r>
    </w:p>
    <w:p w14:paraId="74118970" w14:textId="77777777" w:rsidR="00246498" w:rsidRPr="00EE6B67" w:rsidRDefault="00246498" w:rsidP="00246498">
      <w:pPr>
        <w:rPr>
          <w:rFonts w:ascii="Arial" w:hAnsi="Arial" w:cs="Arial"/>
          <w:shd w:val="clear" w:color="auto" w:fill="FFFFFF"/>
        </w:rPr>
      </w:pPr>
      <w:r w:rsidRPr="00EE6B67">
        <w:rPr>
          <w:rFonts w:ascii="Arial" w:hAnsi="Arial" w:cs="Arial"/>
          <w:shd w:val="clear" w:color="auto" w:fill="FFFFFF"/>
        </w:rPr>
        <w:t>This shows that an officer is able to have control of their own wellbeing and manage on how they control this in order to deal with most situations that they may have to face when in the force as an officers resilience to bounce back as stated above is normal.</w:t>
      </w:r>
    </w:p>
    <w:p w14:paraId="5FD284E6" w14:textId="77777777" w:rsidR="00246498" w:rsidRPr="00EE6B67" w:rsidRDefault="00246498" w:rsidP="00246498">
      <w:pPr>
        <w:rPr>
          <w:rFonts w:ascii="Arial" w:hAnsi="Arial" w:cs="Arial"/>
        </w:rPr>
      </w:pPr>
      <w:r w:rsidRPr="00EE6B67">
        <w:rPr>
          <w:rFonts w:ascii="Arial" w:hAnsi="Arial" w:cs="Arial"/>
        </w:rPr>
        <w:t>Some of these importances when working in the role can be the positive attitude to the day, having a good wellbeing and being happy as stated above allows for an officer to attend work and be committed as they are happier and more positive minded during their tour of duty. This then also impacts their responses to victims, witnesses, subject and vulnerable people that they see during their tour of duty, and as stated above they have the stronger reliance in order to bounce back to situations and incidents.</w:t>
      </w:r>
    </w:p>
    <w:p w14:paraId="2A414518" w14:textId="77777777" w:rsidR="00246498" w:rsidRPr="00EE6B67" w:rsidRDefault="00246498" w:rsidP="00246498">
      <w:pPr>
        <w:rPr>
          <w:rFonts w:ascii="Arial" w:hAnsi="Arial" w:cs="Arial"/>
          <w:shd w:val="clear" w:color="auto" w:fill="FFFFFF"/>
        </w:rPr>
      </w:pPr>
      <w:r w:rsidRPr="00EE6B67">
        <w:rPr>
          <w:rFonts w:ascii="Arial" w:hAnsi="Arial" w:cs="Arial"/>
          <w:shd w:val="clear" w:color="auto" w:fill="FFFFFF"/>
        </w:rPr>
        <w:t>This is why wellbeing is important in the force as it along with the officers resilience allows for them to complete their daily duties and allows them to complete these with their best wellbeing in hand and not affected. However, it is also down to the officer when struggling with their wellbeing to try and seek support, although some may find this hard to reach out for.</w:t>
      </w:r>
    </w:p>
    <w:p w14:paraId="250485E2" w14:textId="77777777" w:rsidR="00246498" w:rsidRPr="00EE6B67" w:rsidRDefault="00246498" w:rsidP="00246498">
      <w:pPr>
        <w:rPr>
          <w:rFonts w:ascii="Arial" w:hAnsi="Arial" w:cs="Arial"/>
        </w:rPr>
      </w:pPr>
      <w:r w:rsidRPr="00EE6B67">
        <w:rPr>
          <w:rFonts w:ascii="Arial" w:hAnsi="Arial" w:cs="Arial"/>
        </w:rPr>
        <w:t xml:space="preserve">Police forces have policies and practises in place for officers who are struggling with their wellbeing and also balancing their wellbeing. Officers are able to go to seniors and other in their role and express their need for help, they are then referred to these practises and support is put in place for them to try and get their wellbeing back on track and the officer comfortable and happier when working. </w:t>
      </w:r>
    </w:p>
    <w:p w14:paraId="3990F29D" w14:textId="77777777" w:rsidR="00246498" w:rsidRPr="00EE6B67" w:rsidRDefault="00246498" w:rsidP="00246498">
      <w:pPr>
        <w:rPr>
          <w:rFonts w:ascii="Arial" w:hAnsi="Arial" w:cs="Arial"/>
        </w:rPr>
      </w:pPr>
      <w:r w:rsidRPr="00EE6B67">
        <w:rPr>
          <w:rFonts w:ascii="Arial" w:hAnsi="Arial" w:cs="Arial"/>
        </w:rPr>
        <w:t xml:space="preserve">Many companies have prioritised their employees wellbeing in work and offered this as a service to protect, Wellbeing (2022) states that ““Recent years have seen a growing interest in wellbeing as a goal of public policy. This has led to significant advances in our </w:t>
      </w:r>
      <w:r w:rsidRPr="00EE6B67">
        <w:rPr>
          <w:rFonts w:ascii="Arial" w:hAnsi="Arial" w:cs="Arial"/>
        </w:rPr>
        <w:lastRenderedPageBreak/>
        <w:t xml:space="preserve">understanding of the measurement of subjective wellbeing and its determinants.” This allows for the companies and even the police to find pathways to support and balance their wellbeing. </w:t>
      </w:r>
    </w:p>
    <w:p w14:paraId="08B83DC4" w14:textId="77777777" w:rsidR="00246498" w:rsidRPr="00EE6B67" w:rsidRDefault="00246498" w:rsidP="00246498">
      <w:pPr>
        <w:rPr>
          <w:rFonts w:ascii="Arial" w:hAnsi="Arial" w:cs="Arial"/>
        </w:rPr>
      </w:pPr>
      <w:r w:rsidRPr="00EE6B67">
        <w:rPr>
          <w:rFonts w:ascii="Arial" w:hAnsi="Arial" w:cs="Arial"/>
        </w:rPr>
        <w:t>There are however consequences of an officer having poor wellbeing when working, and when this is not managed correctly can again have consequences for them as an individual and also when they are working.</w:t>
      </w:r>
    </w:p>
    <w:p w14:paraId="1F263BAE" w14:textId="77777777" w:rsidR="00246498" w:rsidRPr="00EE6B67" w:rsidRDefault="00246498" w:rsidP="00246498">
      <w:pPr>
        <w:rPr>
          <w:rFonts w:ascii="Arial" w:hAnsi="Arial" w:cs="Arial"/>
        </w:rPr>
      </w:pPr>
      <w:r w:rsidRPr="00EE6B67">
        <w:rPr>
          <w:rFonts w:ascii="Arial" w:hAnsi="Arial" w:cs="Arial"/>
        </w:rPr>
        <w:t>As stated above good wellbeing was defined as being comfortable happy and healthy, in order to understand poor balance of wellbeing this would be seen as the opposite. Meaning that the individual might not unhappy, not feeling comfortable in the day and being unhealthy, this could be health wise or in general having an unhealthy habit, or hygiene, or diet.</w:t>
      </w:r>
    </w:p>
    <w:p w14:paraId="18CC53E3" w14:textId="77777777" w:rsidR="00246498" w:rsidRPr="00EE6B67" w:rsidRDefault="00246498" w:rsidP="00246498">
      <w:pPr>
        <w:rPr>
          <w:rFonts w:ascii="Arial" w:hAnsi="Arial" w:cs="Arial"/>
        </w:rPr>
      </w:pPr>
      <w:r w:rsidRPr="00EE6B67">
        <w:rPr>
          <w:rFonts w:ascii="Arial" w:hAnsi="Arial" w:cs="Arial"/>
        </w:rPr>
        <w:t xml:space="preserve">Mind.org (2023) state “poor mental wellbeing can make it more difficult to cope with daily life”, this could lead to many different negative factors in an individual managing their wellbeing. This could also occur in the police as officers deal and manage with serious crime and also deaths, which can have a massive impact on an officers as they have seen things that can be described as upsetting and traumatic, which is a reason as to why an officer may not be able to balance their wellbeing, also meaning that this is a consequence of poor wellbeing, as they will not be able to perform to the best of their ability when in work due to this. </w:t>
      </w:r>
    </w:p>
    <w:p w14:paraId="71BADE7D" w14:textId="77777777" w:rsidR="00246498" w:rsidRPr="00EE6B67" w:rsidRDefault="00246498" w:rsidP="00246498">
      <w:pPr>
        <w:rPr>
          <w:rFonts w:ascii="Arial" w:hAnsi="Arial" w:cs="Arial"/>
        </w:rPr>
      </w:pPr>
      <w:r w:rsidRPr="00EE6B67">
        <w:rPr>
          <w:rFonts w:ascii="Arial" w:hAnsi="Arial" w:cs="Arial"/>
        </w:rPr>
        <w:t xml:space="preserve">As stated above this may also lead to stressors in the officers duties and their life. </w:t>
      </w:r>
      <w:proofErr w:type="spellStart"/>
      <w:r w:rsidRPr="00EE6B67">
        <w:rPr>
          <w:rFonts w:ascii="Arial" w:hAnsi="Arial" w:cs="Arial"/>
        </w:rPr>
        <w:t>Palaniappan</w:t>
      </w:r>
      <w:proofErr w:type="spellEnd"/>
      <w:r w:rsidRPr="00EE6B67">
        <w:rPr>
          <w:rFonts w:ascii="Arial" w:hAnsi="Arial" w:cs="Arial"/>
        </w:rPr>
        <w:t>, K. (2023) states that “Stress is an adaptive response, moderated by the individual difference that is a consequence of any actions, situation, or event that places special demands on a person. Stress is seen partially as a response to some stimulus, called a stressor.” With an officer being stressed this can lead to poor management of work and also approaching incidents in a poor mindset.</w:t>
      </w:r>
    </w:p>
    <w:p w14:paraId="28F65600" w14:textId="62FF246B" w:rsidR="00246498" w:rsidRPr="00EE6B67" w:rsidRDefault="00246498" w:rsidP="00246498">
      <w:pPr>
        <w:rPr>
          <w:rFonts w:ascii="Arial" w:hAnsi="Arial" w:cs="Arial"/>
        </w:rPr>
      </w:pPr>
      <w:r w:rsidRPr="00EE6B67">
        <w:rPr>
          <w:rFonts w:ascii="Arial" w:hAnsi="Arial" w:cs="Arial"/>
        </w:rPr>
        <w:t xml:space="preserve">In conclusion as stated above having a good balanced wellbeing allows for a productive officer when working and approaching situations. And in consequence to poor balanced wellbeing this allows for stressors to have an </w:t>
      </w:r>
      <w:r w:rsidR="00CC1869" w:rsidRPr="00EE6B67">
        <w:rPr>
          <w:rFonts w:ascii="Arial" w:hAnsi="Arial" w:cs="Arial"/>
        </w:rPr>
        <w:t>effect</w:t>
      </w:r>
      <w:r w:rsidRPr="00EE6B67">
        <w:rPr>
          <w:rFonts w:ascii="Arial" w:hAnsi="Arial" w:cs="Arial"/>
        </w:rPr>
        <w:t xml:space="preserve"> on the officer whereby their production of work can have an impact not allowing them to perform to their best ability, therefore they are unhappy in their work.</w:t>
      </w:r>
    </w:p>
    <w:p w14:paraId="504329B9" w14:textId="04C76659" w:rsidR="00CC1869" w:rsidRPr="00EE6B67" w:rsidRDefault="00CC1869" w:rsidP="00246498">
      <w:pPr>
        <w:rPr>
          <w:rFonts w:ascii="Arial" w:hAnsi="Arial" w:cs="Arial"/>
          <w:b/>
          <w:bCs/>
        </w:rPr>
      </w:pPr>
      <w:r w:rsidRPr="00EE6B67">
        <w:rPr>
          <w:rFonts w:ascii="Arial" w:hAnsi="Arial" w:cs="Arial"/>
          <w:b/>
          <w:bCs/>
        </w:rPr>
        <w:t>Word Count - 957</w:t>
      </w:r>
    </w:p>
    <w:p w14:paraId="4354C3C1" w14:textId="121726AD" w:rsidR="00246498" w:rsidRPr="00EE6B67" w:rsidRDefault="00246498" w:rsidP="00246498">
      <w:pPr>
        <w:pStyle w:val="Default"/>
        <w:rPr>
          <w:sz w:val="22"/>
          <w:szCs w:val="22"/>
        </w:rPr>
      </w:pPr>
      <w:r w:rsidRPr="00EE6B67">
        <w:rPr>
          <w:b/>
          <w:bCs/>
          <w:u w:val="single"/>
        </w:rPr>
        <w:t xml:space="preserve">Essay </w:t>
      </w:r>
      <w:r w:rsidR="00EE6B67" w:rsidRPr="00EE6B67">
        <w:rPr>
          <w:b/>
          <w:bCs/>
          <w:u w:val="single"/>
        </w:rPr>
        <w:t>T</w:t>
      </w:r>
      <w:r w:rsidRPr="00EE6B67">
        <w:rPr>
          <w:b/>
          <w:bCs/>
          <w:u w:val="single"/>
        </w:rPr>
        <w:t>hree</w:t>
      </w:r>
      <w:r w:rsidRPr="00EE6B67">
        <w:rPr>
          <w:b/>
          <w:bCs/>
        </w:rPr>
        <w:t xml:space="preserve"> </w:t>
      </w:r>
      <w:r w:rsidRPr="00EE6B67">
        <w:rPr>
          <w:b/>
          <w:bCs/>
          <w:sz w:val="22"/>
          <w:szCs w:val="22"/>
        </w:rPr>
        <w:t xml:space="preserve">- </w:t>
      </w:r>
      <w:r w:rsidRPr="00EE6B67">
        <w:rPr>
          <w:sz w:val="22"/>
          <w:szCs w:val="22"/>
        </w:rPr>
        <w:t xml:space="preserve">How might personal attitudes, </w:t>
      </w:r>
      <w:r w:rsidR="00CC1869" w:rsidRPr="00EE6B67">
        <w:rPr>
          <w:sz w:val="22"/>
          <w:szCs w:val="22"/>
        </w:rPr>
        <w:t>values,</w:t>
      </w:r>
      <w:r w:rsidRPr="00EE6B67">
        <w:rPr>
          <w:sz w:val="22"/>
          <w:szCs w:val="22"/>
        </w:rPr>
        <w:t xml:space="preserve"> and bias impact upon the effective investigation of volume crime? </w:t>
      </w:r>
    </w:p>
    <w:p w14:paraId="0B6D92F3" w14:textId="77777777" w:rsidR="00246498" w:rsidRPr="00EE6B67" w:rsidRDefault="00246498" w:rsidP="00246498">
      <w:pPr>
        <w:pStyle w:val="Default"/>
        <w:rPr>
          <w:sz w:val="22"/>
          <w:szCs w:val="22"/>
        </w:rPr>
      </w:pPr>
    </w:p>
    <w:p w14:paraId="508593D8" w14:textId="77777777" w:rsidR="00246498" w:rsidRPr="00EE6B67" w:rsidRDefault="00246498" w:rsidP="00246498">
      <w:pPr>
        <w:rPr>
          <w:rFonts w:ascii="Arial" w:hAnsi="Arial" w:cs="Arial"/>
        </w:rPr>
      </w:pPr>
      <w:r w:rsidRPr="00EE6B67">
        <w:rPr>
          <w:rFonts w:ascii="Arial" w:hAnsi="Arial" w:cs="Arial"/>
        </w:rPr>
        <w:t xml:space="preserve">Being able to investigate volume crime effectively can be challenging due to unique circumstances of the crime, offender and also the victim as every crime and how they are committed are unique to that specific investigation. However, how police investigate can be very similar due to processes and procedures that are in place for officers and how they have to investigate and the line of enquires that they have to complete with each volume crime. </w:t>
      </w:r>
    </w:p>
    <w:p w14:paraId="2F85B3D7" w14:textId="77777777" w:rsidR="00246498" w:rsidRPr="00EE6B67" w:rsidRDefault="00246498" w:rsidP="00246498">
      <w:pPr>
        <w:rPr>
          <w:rFonts w:ascii="Arial" w:hAnsi="Arial" w:cs="Arial"/>
        </w:rPr>
      </w:pPr>
      <w:r w:rsidRPr="00EE6B67">
        <w:rPr>
          <w:rFonts w:ascii="Arial" w:hAnsi="Arial" w:cs="Arial"/>
        </w:rPr>
        <w:t>When leading the investigation into a volume crime an officers personal attitudes, and bias can impact the investigation if they are not able to manage these when conducting the investigation, interacting with the subject and even the victims and witnesses. Officers have to put aside these attitudes in order to effectively investigate.</w:t>
      </w:r>
    </w:p>
    <w:p w14:paraId="375107F0" w14:textId="77777777" w:rsidR="00246498" w:rsidRPr="00EE6B67" w:rsidRDefault="00246498" w:rsidP="00246498">
      <w:pPr>
        <w:rPr>
          <w:rFonts w:ascii="Arial" w:hAnsi="Arial" w:cs="Arial"/>
        </w:rPr>
      </w:pPr>
      <w:r w:rsidRPr="00EE6B67">
        <w:rPr>
          <w:rFonts w:ascii="Arial" w:hAnsi="Arial" w:cs="Arial"/>
        </w:rPr>
        <w:t xml:space="preserve">Volume Crime in policing are priority crimes. The Police Federation (2017) state that ‘volume crime includes the majority of offences which are committed in England and Wales, and as </w:t>
      </w:r>
      <w:r w:rsidRPr="00EE6B67">
        <w:rPr>
          <w:rFonts w:ascii="Arial" w:hAnsi="Arial" w:cs="Arial"/>
        </w:rPr>
        <w:lastRenderedPageBreak/>
        <w:t>such have significant impact on many victims. Volume Crime can include, robbery, burglary, shoplifting, vehicle crime, criminal damage, drugs, and assaults’.</w:t>
      </w:r>
    </w:p>
    <w:p w14:paraId="3AAA4AF2" w14:textId="77777777" w:rsidR="00246498" w:rsidRPr="00EE6B67" w:rsidRDefault="00246498" w:rsidP="00246498">
      <w:pPr>
        <w:rPr>
          <w:rFonts w:ascii="Arial" w:hAnsi="Arial" w:cs="Arial"/>
        </w:rPr>
      </w:pPr>
      <w:r w:rsidRPr="00EE6B67">
        <w:rPr>
          <w:rFonts w:ascii="Arial" w:hAnsi="Arial" w:cs="Arial"/>
        </w:rPr>
        <w:t xml:space="preserve">These are crimes that come in day in and day out for officers, and in many cases the prolific subject in the crime can be a subject that is identified and reported to the police almost once a day. Due to this, officers will know the subject and have to deal with the same subject each time they have been reported to have committed one of these volume crimes. </w:t>
      </w:r>
    </w:p>
    <w:p w14:paraId="3209E7B4" w14:textId="77777777" w:rsidR="00246498" w:rsidRPr="00EE6B67" w:rsidRDefault="00246498" w:rsidP="00246498">
      <w:pPr>
        <w:rPr>
          <w:rFonts w:ascii="Arial" w:hAnsi="Arial" w:cs="Arial"/>
        </w:rPr>
      </w:pPr>
      <w:r w:rsidRPr="00EE6B67">
        <w:rPr>
          <w:rFonts w:ascii="Arial" w:hAnsi="Arial" w:cs="Arial"/>
        </w:rPr>
        <w:t>Due to this, this can impact the personal attitudes of an officer as they could be fed up with dealing with the same person and that person not learning from their mistakes and continue to reoffend.</w:t>
      </w:r>
    </w:p>
    <w:p w14:paraId="410AAA4D" w14:textId="77777777" w:rsidR="00246498" w:rsidRPr="00EE6B67" w:rsidRDefault="00246498" w:rsidP="00246498">
      <w:pPr>
        <w:rPr>
          <w:rFonts w:ascii="Arial" w:hAnsi="Arial" w:cs="Arial"/>
        </w:rPr>
      </w:pPr>
      <w:r w:rsidRPr="00EE6B67">
        <w:rPr>
          <w:rFonts w:ascii="Arial" w:hAnsi="Arial" w:cs="Arial"/>
        </w:rPr>
        <w:t>The College of Policing (2023) can also define volume crime as ‘any crime which, through its sheer volume, has a significant impact on the community and the ability of the local police to tackle it’. This again shows that the crime can have an impact on the community around them and also how to police investigate the crime.</w:t>
      </w:r>
    </w:p>
    <w:p w14:paraId="51341181" w14:textId="77777777" w:rsidR="00246498" w:rsidRPr="00EE6B67" w:rsidRDefault="00246498" w:rsidP="00246498">
      <w:pPr>
        <w:rPr>
          <w:rFonts w:ascii="Arial" w:hAnsi="Arial" w:cs="Arial"/>
        </w:rPr>
      </w:pPr>
      <w:r w:rsidRPr="00EE6B67">
        <w:rPr>
          <w:rFonts w:ascii="Arial" w:hAnsi="Arial" w:cs="Arial"/>
        </w:rPr>
        <w:t xml:space="preserve">Having to deal with a high number of crimes each working day for officers can be straining on resources and also officer workloads, and this in itself can impact an officers personal attitude and bias on investigating the crime due to them not having the time to be able to investigate, which then makes the officer lack motivation as they have other crimes on their workload. </w:t>
      </w:r>
    </w:p>
    <w:p w14:paraId="55907148" w14:textId="77777777" w:rsidR="00246498" w:rsidRPr="00EE6B67" w:rsidRDefault="00246498" w:rsidP="00246498">
      <w:pPr>
        <w:rPr>
          <w:rFonts w:ascii="Arial" w:hAnsi="Arial" w:cs="Arial"/>
        </w:rPr>
      </w:pPr>
      <w:r w:rsidRPr="00EE6B67">
        <w:rPr>
          <w:rFonts w:ascii="Arial" w:hAnsi="Arial" w:cs="Arial"/>
        </w:rPr>
        <w:t xml:space="preserve">In order for officers to effectively investigation a volume crime is very hard, this could be due to not having sufficient evidence therefore not being able to find a subject to a crime. </w:t>
      </w:r>
    </w:p>
    <w:p w14:paraId="2156B4D2" w14:textId="77777777" w:rsidR="00246498" w:rsidRPr="00EE6B67" w:rsidRDefault="00246498" w:rsidP="00246498">
      <w:pPr>
        <w:rPr>
          <w:rFonts w:ascii="Arial" w:hAnsi="Arial" w:cs="Arial"/>
        </w:rPr>
      </w:pPr>
      <w:r w:rsidRPr="00EE6B67">
        <w:rPr>
          <w:rFonts w:ascii="Arial" w:hAnsi="Arial" w:cs="Arial"/>
        </w:rPr>
        <w:t xml:space="preserve">The Council of Europe (2016) state that police are ‘capable of leading to the establishment of the facts as well as the identification and eventually, if appropriate, punishment of those responsible’ meaning that this is an effective investigation, but in order to do this an officer may have to put their personal attitudes and bias’s aside in order to get a positive result. </w:t>
      </w:r>
    </w:p>
    <w:p w14:paraId="166391B7" w14:textId="77777777" w:rsidR="00246498" w:rsidRPr="00EE6B67" w:rsidRDefault="00246498" w:rsidP="00246498">
      <w:pPr>
        <w:rPr>
          <w:rFonts w:ascii="Arial" w:hAnsi="Arial" w:cs="Arial"/>
          <w:color w:val="000000"/>
          <w:shd w:val="clear" w:color="auto" w:fill="FFFFFF"/>
        </w:rPr>
      </w:pPr>
      <w:r w:rsidRPr="00EE6B67">
        <w:rPr>
          <w:rFonts w:ascii="Arial" w:hAnsi="Arial" w:cs="Arial"/>
        </w:rPr>
        <w:t xml:space="preserve">An officers personal values are importance when working, as these are what motive and drive officers to do a good job, however these can impact an investigation if the officer does not share the same attitudes/values as the victim, witness or even the subject. </w:t>
      </w:r>
      <w:proofErr w:type="spellStart"/>
      <w:r w:rsidRPr="00EE6B67">
        <w:rPr>
          <w:rFonts w:ascii="Arial" w:hAnsi="Arial" w:cs="Arial"/>
          <w:color w:val="000000"/>
          <w:shd w:val="clear" w:color="auto" w:fill="FFFFFF"/>
        </w:rPr>
        <w:t>Arieli</w:t>
      </w:r>
      <w:proofErr w:type="spellEnd"/>
      <w:r w:rsidRPr="00EE6B67">
        <w:rPr>
          <w:rFonts w:ascii="Arial" w:hAnsi="Arial" w:cs="Arial"/>
          <w:color w:val="000000"/>
          <w:shd w:val="clear" w:color="auto" w:fill="FFFFFF"/>
        </w:rPr>
        <w:t xml:space="preserve">, S., </w:t>
      </w:r>
      <w:proofErr w:type="spellStart"/>
      <w:r w:rsidRPr="00EE6B67">
        <w:rPr>
          <w:rFonts w:ascii="Arial" w:hAnsi="Arial" w:cs="Arial"/>
          <w:color w:val="000000"/>
          <w:shd w:val="clear" w:color="auto" w:fill="FFFFFF"/>
        </w:rPr>
        <w:t>Sagiv</w:t>
      </w:r>
      <w:proofErr w:type="spellEnd"/>
      <w:r w:rsidRPr="00EE6B67">
        <w:rPr>
          <w:rFonts w:ascii="Arial" w:hAnsi="Arial" w:cs="Arial"/>
          <w:color w:val="000000"/>
          <w:shd w:val="clear" w:color="auto" w:fill="FFFFFF"/>
        </w:rPr>
        <w:t xml:space="preserve">, L., and </w:t>
      </w:r>
      <w:proofErr w:type="spellStart"/>
      <w:r w:rsidRPr="00EE6B67">
        <w:rPr>
          <w:rFonts w:ascii="Arial" w:hAnsi="Arial" w:cs="Arial"/>
          <w:color w:val="000000"/>
          <w:shd w:val="clear" w:color="auto" w:fill="FFFFFF"/>
        </w:rPr>
        <w:t>Roccas</w:t>
      </w:r>
      <w:proofErr w:type="spellEnd"/>
      <w:r w:rsidRPr="00EE6B67">
        <w:rPr>
          <w:rFonts w:ascii="Arial" w:hAnsi="Arial" w:cs="Arial"/>
          <w:color w:val="000000"/>
          <w:shd w:val="clear" w:color="auto" w:fill="FFFFFF"/>
        </w:rPr>
        <w:t xml:space="preserve">, S. (2018) state ‘although for most people all values are important to some extent, individuals differ in the values that motivate them for actions’. Meaning that officers still have to be motivated and put their personal attitudes and values, bias’s aside and be able to investigation without bias and effectively investigation the volume crime. </w:t>
      </w:r>
    </w:p>
    <w:p w14:paraId="04D9E084" w14:textId="77777777" w:rsidR="00246498" w:rsidRPr="00EE6B67" w:rsidRDefault="00246498" w:rsidP="00246498">
      <w:pPr>
        <w:rPr>
          <w:rFonts w:ascii="Arial" w:hAnsi="Arial" w:cs="Arial"/>
        </w:rPr>
      </w:pPr>
      <w:r w:rsidRPr="00EE6B67">
        <w:rPr>
          <w:rFonts w:ascii="Arial" w:hAnsi="Arial" w:cs="Arial"/>
        </w:rPr>
        <w:t xml:space="preserve">How can this impact the investigation of the volume crime? </w:t>
      </w:r>
      <w:proofErr w:type="spellStart"/>
      <w:r w:rsidRPr="00EE6B67">
        <w:rPr>
          <w:rFonts w:ascii="Arial" w:hAnsi="Arial" w:cs="Arial"/>
        </w:rPr>
        <w:t>Pohling</w:t>
      </w:r>
      <w:proofErr w:type="spellEnd"/>
      <w:r w:rsidRPr="00EE6B67">
        <w:rPr>
          <w:rFonts w:ascii="Arial" w:hAnsi="Arial" w:cs="Arial"/>
        </w:rPr>
        <w:t>, R. et al (2016) states that ‘an ethical decision is a decision that is both legal and morally acceptable to the larger community. Conversely, an unethical decision is either illegal or morally unacceptable to the larger community’.</w:t>
      </w:r>
    </w:p>
    <w:p w14:paraId="3586E2EC" w14:textId="77777777" w:rsidR="00246498" w:rsidRPr="00EE6B67" w:rsidRDefault="00246498" w:rsidP="00246498">
      <w:pPr>
        <w:rPr>
          <w:rFonts w:ascii="Arial" w:hAnsi="Arial" w:cs="Arial"/>
        </w:rPr>
      </w:pPr>
      <w:r w:rsidRPr="00EE6B67">
        <w:rPr>
          <w:rFonts w:ascii="Arial" w:hAnsi="Arial" w:cs="Arial"/>
        </w:rPr>
        <w:t xml:space="preserve">This again shows that even making ethical decisions in an investigation means that an officer will be making the morally acceptable decision in relation to the investigation, putting their personal values aside this will benefit the investigation, keeping that non bias mindset and being impartial when investigating as they have to look at every line of enquiry that the investigation presents and also from questioning of the subject, as they have to show they have fully investigated. </w:t>
      </w:r>
    </w:p>
    <w:p w14:paraId="12BC4FB4" w14:textId="77777777" w:rsidR="00246498" w:rsidRPr="00EE6B67" w:rsidRDefault="00246498" w:rsidP="00246498">
      <w:pPr>
        <w:rPr>
          <w:rFonts w:ascii="Arial" w:hAnsi="Arial" w:cs="Arial"/>
        </w:rPr>
      </w:pPr>
      <w:r w:rsidRPr="00EE6B67">
        <w:rPr>
          <w:rFonts w:ascii="Arial" w:hAnsi="Arial" w:cs="Arial"/>
        </w:rPr>
        <w:t xml:space="preserve">The officer may think that the subject is guilty from immediate investigation in the volume crime, and not like the subject as this is their personal value against the subject, meaning that if they were to act on </w:t>
      </w:r>
      <w:proofErr w:type="gramStart"/>
      <w:r w:rsidRPr="00EE6B67">
        <w:rPr>
          <w:rFonts w:ascii="Arial" w:hAnsi="Arial" w:cs="Arial"/>
        </w:rPr>
        <w:t>this</w:t>
      </w:r>
      <w:proofErr w:type="gramEnd"/>
      <w:r w:rsidRPr="00EE6B67">
        <w:rPr>
          <w:rFonts w:ascii="Arial" w:hAnsi="Arial" w:cs="Arial"/>
        </w:rPr>
        <w:t xml:space="preserve"> they would be bias to the investigation as they will not want to investigate any of the lines of enquiries that the subject brings forward in interview for </w:t>
      </w:r>
      <w:r w:rsidRPr="00EE6B67">
        <w:rPr>
          <w:rFonts w:ascii="Arial" w:hAnsi="Arial" w:cs="Arial"/>
        </w:rPr>
        <w:lastRenderedPageBreak/>
        <w:t xml:space="preserve">example to the officer. However morally and ethically the officer has to investigate this, as for example the subject may be able to have an alibi, although the officer believes that the subject has committed the offence, they have to be able to investigate that line of enquiry and either prove or disprove what the subject has brought forward to them, and if the officer does not do this as stated above this has a bias result for the investigation. And if the officer were to follow this and prove or disprove the subject and set aside their bias’s and personal aptitudes then they have successfully and effectively investigated the volume crime. </w:t>
      </w:r>
    </w:p>
    <w:p w14:paraId="5CF31E0B" w14:textId="19E292F9" w:rsidR="00CC1869" w:rsidRPr="00EE6B67" w:rsidRDefault="00CC1869" w:rsidP="00246498">
      <w:pPr>
        <w:rPr>
          <w:rFonts w:ascii="Arial" w:hAnsi="Arial" w:cs="Arial"/>
          <w:b/>
          <w:bCs/>
        </w:rPr>
      </w:pPr>
      <w:r w:rsidRPr="00EE6B67">
        <w:rPr>
          <w:rFonts w:ascii="Arial" w:hAnsi="Arial" w:cs="Arial"/>
          <w:b/>
          <w:bCs/>
        </w:rPr>
        <w:t>Word Count - 910</w:t>
      </w:r>
    </w:p>
    <w:p w14:paraId="07E96025" w14:textId="0DF90A44" w:rsidR="00246498" w:rsidRPr="00EE6B67" w:rsidRDefault="00246498" w:rsidP="00246498">
      <w:pPr>
        <w:pStyle w:val="Default"/>
        <w:rPr>
          <w:sz w:val="22"/>
          <w:szCs w:val="22"/>
        </w:rPr>
      </w:pPr>
      <w:r w:rsidRPr="00EE6B67">
        <w:rPr>
          <w:b/>
          <w:bCs/>
          <w:u w:val="single"/>
        </w:rPr>
        <w:t xml:space="preserve">Essay </w:t>
      </w:r>
      <w:r w:rsidR="00EE6B67" w:rsidRPr="00EE6B67">
        <w:rPr>
          <w:b/>
          <w:bCs/>
          <w:u w:val="single"/>
        </w:rPr>
        <w:t>Four</w:t>
      </w:r>
      <w:r w:rsidRPr="00EE6B67">
        <w:rPr>
          <w:b/>
          <w:bCs/>
          <w:sz w:val="22"/>
          <w:szCs w:val="22"/>
        </w:rPr>
        <w:t xml:space="preserve"> - </w:t>
      </w:r>
      <w:r w:rsidRPr="00EE6B67">
        <w:rPr>
          <w:sz w:val="22"/>
          <w:szCs w:val="22"/>
        </w:rPr>
        <w:t xml:space="preserve">Outline potential links between serious and organised crime and public protection issues. What characteristics make some people more vulnerable to exploitation by serious and organised crime gangs? </w:t>
      </w:r>
    </w:p>
    <w:p w14:paraId="341F2D90" w14:textId="77777777" w:rsidR="00246498" w:rsidRPr="00EE6B67" w:rsidRDefault="00246498" w:rsidP="00246498">
      <w:pPr>
        <w:pStyle w:val="Default"/>
        <w:rPr>
          <w:sz w:val="22"/>
          <w:szCs w:val="22"/>
        </w:rPr>
      </w:pPr>
    </w:p>
    <w:p w14:paraId="3A1D1357" w14:textId="77777777" w:rsidR="00246498" w:rsidRPr="00EE6B67" w:rsidRDefault="00246498" w:rsidP="00246498">
      <w:pPr>
        <w:rPr>
          <w:rFonts w:ascii="Arial" w:hAnsi="Arial" w:cs="Arial"/>
        </w:rPr>
      </w:pPr>
      <w:r w:rsidRPr="00EE6B67">
        <w:rPr>
          <w:rFonts w:ascii="Arial" w:hAnsi="Arial" w:cs="Arial"/>
        </w:rPr>
        <w:t>There are many different links between serious and organised crime and also public protection. One of these major links being the vulnerable people that are exploited through the serious and organised crime area and those that the public protection units seek to help as they are seen as vulnerable victims. There are then many different factors that bring these victims to be classed as more vulnerable also and how the serious and organised crime groups use these vulnerabilities.</w:t>
      </w:r>
    </w:p>
    <w:p w14:paraId="087BD354" w14:textId="77777777" w:rsidR="00246498" w:rsidRPr="00EE6B67" w:rsidRDefault="00246498" w:rsidP="00246498">
      <w:pPr>
        <w:rPr>
          <w:rFonts w:ascii="Arial" w:hAnsi="Arial" w:cs="Arial"/>
        </w:rPr>
      </w:pPr>
      <w:r w:rsidRPr="00EE6B67">
        <w:rPr>
          <w:rFonts w:ascii="Arial" w:hAnsi="Arial" w:cs="Arial"/>
        </w:rPr>
        <w:t>Serious and organised crime gangs run throughout the world, Gov UK (2019) define what serious and organised crime gangs are ‘as individuals planning, co-ordinating and committing serious offences, whether individually, in groups and/or as part of transnational networks’.</w:t>
      </w:r>
    </w:p>
    <w:p w14:paraId="1166E9BA" w14:textId="77777777" w:rsidR="00246498" w:rsidRPr="00EE6B67" w:rsidRDefault="00246498" w:rsidP="00246498">
      <w:pPr>
        <w:rPr>
          <w:rFonts w:ascii="Arial" w:hAnsi="Arial" w:cs="Arial"/>
        </w:rPr>
      </w:pPr>
      <w:r w:rsidRPr="00EE6B67">
        <w:rPr>
          <w:rFonts w:ascii="Arial" w:hAnsi="Arial" w:cs="Arial"/>
          <w:color w:val="000000"/>
          <w:shd w:val="clear" w:color="auto" w:fill="FFFFFF"/>
        </w:rPr>
        <w:t>Graeme Biggar CBE</w:t>
      </w:r>
      <w:r w:rsidRPr="00EE6B67">
        <w:rPr>
          <w:rFonts w:ascii="Arial" w:hAnsi="Arial" w:cs="Arial"/>
        </w:rPr>
        <w:t xml:space="preserve"> (2024) also categorise the different criminal classifications that these run through as:</w:t>
      </w:r>
    </w:p>
    <w:p w14:paraId="34213E7E" w14:textId="77777777" w:rsidR="00246498" w:rsidRPr="00EE6B67" w:rsidRDefault="00246498" w:rsidP="00246498">
      <w:pPr>
        <w:pStyle w:val="ListParagraph"/>
        <w:numPr>
          <w:ilvl w:val="0"/>
          <w:numId w:val="1"/>
        </w:numPr>
        <w:rPr>
          <w:rFonts w:ascii="Arial" w:hAnsi="Arial" w:cs="Arial"/>
        </w:rPr>
      </w:pPr>
      <w:r w:rsidRPr="00EE6B67">
        <w:rPr>
          <w:rFonts w:ascii="Arial" w:hAnsi="Arial" w:cs="Arial"/>
        </w:rPr>
        <w:t>“Child sexual abuse</w:t>
      </w:r>
    </w:p>
    <w:p w14:paraId="7A672AE8" w14:textId="77777777" w:rsidR="00246498" w:rsidRPr="00EE6B67" w:rsidRDefault="00246498" w:rsidP="00246498">
      <w:pPr>
        <w:pStyle w:val="ListParagraph"/>
        <w:numPr>
          <w:ilvl w:val="0"/>
          <w:numId w:val="1"/>
        </w:numPr>
        <w:rPr>
          <w:rFonts w:ascii="Arial" w:hAnsi="Arial" w:cs="Arial"/>
        </w:rPr>
      </w:pPr>
      <w:r w:rsidRPr="00EE6B67">
        <w:rPr>
          <w:rFonts w:ascii="Arial" w:hAnsi="Arial" w:cs="Arial"/>
        </w:rPr>
        <w:t>Cyber Crime</w:t>
      </w:r>
    </w:p>
    <w:p w14:paraId="62E5FCE4" w14:textId="77777777" w:rsidR="00246498" w:rsidRPr="00EE6B67" w:rsidRDefault="00246498" w:rsidP="00246498">
      <w:pPr>
        <w:pStyle w:val="ListParagraph"/>
        <w:numPr>
          <w:ilvl w:val="0"/>
          <w:numId w:val="1"/>
        </w:numPr>
        <w:rPr>
          <w:rFonts w:ascii="Arial" w:hAnsi="Arial" w:cs="Arial"/>
        </w:rPr>
      </w:pPr>
      <w:r w:rsidRPr="00EE6B67">
        <w:rPr>
          <w:rFonts w:ascii="Arial" w:hAnsi="Arial" w:cs="Arial"/>
        </w:rPr>
        <w:t>Drugs</w:t>
      </w:r>
    </w:p>
    <w:p w14:paraId="2C23A559" w14:textId="77777777" w:rsidR="00246498" w:rsidRPr="00EE6B67" w:rsidRDefault="00246498" w:rsidP="00246498">
      <w:pPr>
        <w:pStyle w:val="ListParagraph"/>
        <w:numPr>
          <w:ilvl w:val="0"/>
          <w:numId w:val="1"/>
        </w:numPr>
        <w:rPr>
          <w:rFonts w:ascii="Arial" w:hAnsi="Arial" w:cs="Arial"/>
        </w:rPr>
      </w:pPr>
      <w:r w:rsidRPr="00EE6B67">
        <w:rPr>
          <w:rFonts w:ascii="Arial" w:hAnsi="Arial" w:cs="Arial"/>
        </w:rPr>
        <w:t>Firearms</w:t>
      </w:r>
    </w:p>
    <w:p w14:paraId="6E8B1E19" w14:textId="77777777" w:rsidR="00246498" w:rsidRPr="00EE6B67" w:rsidRDefault="00246498" w:rsidP="00246498">
      <w:pPr>
        <w:pStyle w:val="ListParagraph"/>
        <w:numPr>
          <w:ilvl w:val="0"/>
          <w:numId w:val="1"/>
        </w:numPr>
        <w:rPr>
          <w:rFonts w:ascii="Arial" w:hAnsi="Arial" w:cs="Arial"/>
        </w:rPr>
      </w:pPr>
      <w:r w:rsidRPr="00EE6B67">
        <w:rPr>
          <w:rFonts w:ascii="Arial" w:hAnsi="Arial" w:cs="Arial"/>
        </w:rPr>
        <w:t>Fraud</w:t>
      </w:r>
    </w:p>
    <w:p w14:paraId="6A0E8BF5" w14:textId="77777777" w:rsidR="00246498" w:rsidRPr="00EE6B67" w:rsidRDefault="00246498" w:rsidP="00246498">
      <w:pPr>
        <w:pStyle w:val="ListParagraph"/>
        <w:numPr>
          <w:ilvl w:val="0"/>
          <w:numId w:val="1"/>
        </w:numPr>
        <w:rPr>
          <w:rFonts w:ascii="Arial" w:hAnsi="Arial" w:cs="Arial"/>
        </w:rPr>
      </w:pPr>
      <w:r w:rsidRPr="00EE6B67">
        <w:rPr>
          <w:rFonts w:ascii="Arial" w:hAnsi="Arial" w:cs="Arial"/>
        </w:rPr>
        <w:t>Illicit Finance</w:t>
      </w:r>
    </w:p>
    <w:p w14:paraId="4B1C1EFA" w14:textId="77777777" w:rsidR="00246498" w:rsidRPr="00EE6B67" w:rsidRDefault="00246498" w:rsidP="00246498">
      <w:pPr>
        <w:pStyle w:val="ListParagraph"/>
        <w:numPr>
          <w:ilvl w:val="0"/>
          <w:numId w:val="1"/>
        </w:numPr>
        <w:rPr>
          <w:rFonts w:ascii="Arial" w:hAnsi="Arial" w:cs="Arial"/>
        </w:rPr>
      </w:pPr>
      <w:r w:rsidRPr="00EE6B67">
        <w:rPr>
          <w:rFonts w:ascii="Arial" w:hAnsi="Arial" w:cs="Arial"/>
        </w:rPr>
        <w:t>Modern Day Slavery and Human Trafficking</w:t>
      </w:r>
    </w:p>
    <w:p w14:paraId="10DD4905" w14:textId="77777777" w:rsidR="00246498" w:rsidRPr="00EE6B67" w:rsidRDefault="00246498" w:rsidP="00246498">
      <w:pPr>
        <w:pStyle w:val="ListParagraph"/>
        <w:numPr>
          <w:ilvl w:val="0"/>
          <w:numId w:val="1"/>
        </w:numPr>
        <w:rPr>
          <w:rFonts w:ascii="Arial" w:hAnsi="Arial" w:cs="Arial"/>
        </w:rPr>
      </w:pPr>
      <w:r w:rsidRPr="00EE6B67">
        <w:rPr>
          <w:rFonts w:ascii="Arial" w:hAnsi="Arial" w:cs="Arial"/>
        </w:rPr>
        <w:t>Organised Acquisitive Crime</w:t>
      </w:r>
    </w:p>
    <w:p w14:paraId="14470362" w14:textId="77777777" w:rsidR="00246498" w:rsidRPr="00EE6B67" w:rsidRDefault="00246498" w:rsidP="00246498">
      <w:pPr>
        <w:pStyle w:val="ListParagraph"/>
        <w:numPr>
          <w:ilvl w:val="0"/>
          <w:numId w:val="1"/>
        </w:numPr>
        <w:rPr>
          <w:rFonts w:ascii="Arial" w:hAnsi="Arial" w:cs="Arial"/>
        </w:rPr>
      </w:pPr>
      <w:r w:rsidRPr="00EE6B67">
        <w:rPr>
          <w:rFonts w:ascii="Arial" w:hAnsi="Arial" w:cs="Arial"/>
        </w:rPr>
        <w:t>Organised Immigration Crime”</w:t>
      </w:r>
    </w:p>
    <w:p w14:paraId="035993C8" w14:textId="77777777" w:rsidR="00246498" w:rsidRPr="00EE6B67" w:rsidRDefault="00246498" w:rsidP="00246498">
      <w:pPr>
        <w:rPr>
          <w:rFonts w:ascii="Arial" w:hAnsi="Arial" w:cs="Arial"/>
        </w:rPr>
      </w:pPr>
      <w:r w:rsidRPr="00EE6B67">
        <w:rPr>
          <w:rFonts w:ascii="Arial" w:hAnsi="Arial" w:cs="Arial"/>
        </w:rPr>
        <w:t>Due to these being involved in such serious crime and crime in general they pose a massive threat to people and also vulnerable people. As the threat that these serious gangs bring these being ‘individuals may be drawn into serious and organised crime in order to provide a sense of belonging to their family, friends, or even community’ (HM Government, 2015).</w:t>
      </w:r>
    </w:p>
    <w:p w14:paraId="1E871695" w14:textId="77777777" w:rsidR="00246498" w:rsidRPr="00EE6B67" w:rsidRDefault="00246498" w:rsidP="00246498">
      <w:pPr>
        <w:rPr>
          <w:rFonts w:ascii="Arial" w:hAnsi="Arial" w:cs="Arial"/>
        </w:rPr>
      </w:pPr>
      <w:r w:rsidRPr="00EE6B67">
        <w:rPr>
          <w:rFonts w:ascii="Arial" w:hAnsi="Arial" w:cs="Arial"/>
        </w:rPr>
        <w:t>Just from the threat that is posed on people and also vulnerable people, as stated above by HM Government (2015) those at risk are those of a need of belonging, and this can massively contribute to someone who is classed as vulnerable due to their characteristics, as many people who are vulnerable are those of the age under 18 and classed as a vulnerable adult, as these young people seek acceptance and a sense of belonging, whereby they are drawn into these groups and from there are drawn into the gangs and the criminal aspect of the serious and organised crime gangs.</w:t>
      </w:r>
    </w:p>
    <w:p w14:paraId="3F7A0B13" w14:textId="77777777" w:rsidR="00246498" w:rsidRPr="00EE6B67" w:rsidRDefault="00246498" w:rsidP="00246498">
      <w:pPr>
        <w:rPr>
          <w:rFonts w:ascii="Arial" w:hAnsi="Arial" w:cs="Arial"/>
        </w:rPr>
      </w:pPr>
      <w:r w:rsidRPr="00EE6B67">
        <w:rPr>
          <w:rFonts w:ascii="Arial" w:hAnsi="Arial" w:cs="Arial"/>
        </w:rPr>
        <w:t xml:space="preserve">There are many different classifications of a vulnerable person, as stated above those under the age of 18 being classed as a child is a characteristic of a vulnerable person due to their </w:t>
      </w:r>
      <w:r w:rsidRPr="00EE6B67">
        <w:rPr>
          <w:rFonts w:ascii="Arial" w:hAnsi="Arial" w:cs="Arial"/>
        </w:rPr>
        <w:lastRenderedPageBreak/>
        <w:t>young age and the risks that that in itself can bring to the young person. However, in general there are also that of vulnerable adults that bring characteristics that make them vulnerable West Somerset Healthcare (2024) state these categories as ‘they may not be able to protect themselves against significant harm or from being taken advantage of. This may include young or elderly people, those with mental health issues, physical disabilities, learning disabilities or gender. They may also be individuals at risk because they are socially isolated or are dependent on others (carer)’.</w:t>
      </w:r>
    </w:p>
    <w:p w14:paraId="4807B38A" w14:textId="77777777" w:rsidR="00246498" w:rsidRPr="00EE6B67" w:rsidRDefault="00246498" w:rsidP="00246498">
      <w:pPr>
        <w:rPr>
          <w:rFonts w:ascii="Arial" w:hAnsi="Arial" w:cs="Arial"/>
        </w:rPr>
      </w:pPr>
      <w:r w:rsidRPr="00EE6B67">
        <w:rPr>
          <w:rFonts w:ascii="Arial" w:hAnsi="Arial" w:cs="Arial"/>
        </w:rPr>
        <w:t xml:space="preserve">A wat in which we are able to protect these vulnerable people is through a public protection unit that are imbedded in police forces throughout the UK which have a team which protect these vulnerable people and victims from exploitation, being associated and harmed by these serious organised crime gangs, this being the link between the serious and organised crime gangs and public protection. </w:t>
      </w:r>
    </w:p>
    <w:p w14:paraId="6A7F9497" w14:textId="77777777" w:rsidR="00246498" w:rsidRPr="00EE6B67" w:rsidRDefault="00246498" w:rsidP="00246498">
      <w:pPr>
        <w:rPr>
          <w:rFonts w:ascii="Arial" w:hAnsi="Arial" w:cs="Arial"/>
        </w:rPr>
      </w:pPr>
      <w:r w:rsidRPr="00EE6B67">
        <w:rPr>
          <w:rFonts w:ascii="Arial" w:hAnsi="Arial" w:cs="Arial"/>
        </w:rPr>
        <w:t>His Majesty’s Inspectorate of Constabulary and Fire and Rescue (2023) define public protection as ‘the section of police force dedicated to ensure the safety of those in danger of becoming victims of crime such as child sexual exploitation, modern slavery and human trafficking and domestic abuse’.</w:t>
      </w:r>
    </w:p>
    <w:p w14:paraId="3B744E6E" w14:textId="77777777" w:rsidR="00246498" w:rsidRPr="00EE6B67" w:rsidRDefault="00246498" w:rsidP="00246498">
      <w:pPr>
        <w:rPr>
          <w:rFonts w:ascii="Arial" w:hAnsi="Arial" w:cs="Arial"/>
        </w:rPr>
      </w:pPr>
      <w:r w:rsidRPr="00EE6B67">
        <w:rPr>
          <w:rFonts w:ascii="Arial" w:hAnsi="Arial" w:cs="Arial"/>
        </w:rPr>
        <w:t xml:space="preserve">This again shows that serious and organised crime gangs and public protection are linked through the crime that these gangs are committing, the vulnerable people they are targeting and exploiting and the protection that the public protection unit strives to ensure that they make these vulnerable people and victims safe. </w:t>
      </w:r>
    </w:p>
    <w:p w14:paraId="77F1A92D" w14:textId="77777777" w:rsidR="00246498" w:rsidRPr="00EE6B67" w:rsidRDefault="00246498" w:rsidP="00246498">
      <w:pPr>
        <w:rPr>
          <w:rFonts w:ascii="Arial" w:hAnsi="Arial" w:cs="Arial"/>
        </w:rPr>
      </w:pPr>
      <w:r w:rsidRPr="00EE6B67">
        <w:rPr>
          <w:rFonts w:ascii="Arial" w:hAnsi="Arial" w:cs="Arial"/>
        </w:rPr>
        <w:t xml:space="preserve">There are however issues that this bring, as many people who are vulnerable and are being exploited by these serious and organised crime gangs. One of the major issues that related to this is the demand on responding to these vulnerable people and victims in a mannerly time as </w:t>
      </w:r>
      <w:bookmarkStart w:id="0" w:name="_Hlk176770490"/>
      <w:r w:rsidRPr="00EE6B67">
        <w:rPr>
          <w:rFonts w:ascii="Arial" w:hAnsi="Arial" w:cs="Arial"/>
        </w:rPr>
        <w:t>The College of Policing (2021) state ‘vulnerable victims may not always receive a prompt emergency response from the police, because forces have been overwhelmed by the scale of demand they face’</w:t>
      </w:r>
      <w:bookmarkEnd w:id="0"/>
      <w:r w:rsidRPr="00EE6B67">
        <w:rPr>
          <w:rFonts w:ascii="Arial" w:hAnsi="Arial" w:cs="Arial"/>
        </w:rPr>
        <w:t>.</w:t>
      </w:r>
    </w:p>
    <w:p w14:paraId="0CF40DAD" w14:textId="77777777" w:rsidR="00246498" w:rsidRPr="00EE6B67" w:rsidRDefault="00246498" w:rsidP="00246498">
      <w:pPr>
        <w:rPr>
          <w:rFonts w:ascii="Arial" w:hAnsi="Arial" w:cs="Arial"/>
        </w:rPr>
      </w:pPr>
      <w:r w:rsidRPr="00EE6B67">
        <w:rPr>
          <w:rFonts w:ascii="Arial" w:hAnsi="Arial" w:cs="Arial"/>
        </w:rPr>
        <w:t xml:space="preserve">Due to the public protection unit also being a multi-agency team, as they work with for example social service and many more agencies. When dealing with these vulnerable victims and agency’s there is the issue of non-victim engagement whereby the victim after being delt with by police does not wish to engage with police and also the agency which are able to support them and this is an issue that is not able to be managed, but then this is also the same for the vulnerable victims that are let down by the public protection unit and also agencies like victim support whereby they haven’t been managed by them correctly or received the support they need. And also many victims and vulnerable victims aren’t aware that they are intitled to the support also, this again being a massive issues in serious organised crime gangs and the public protection who are managing these vulnerable people as </w:t>
      </w:r>
      <w:proofErr w:type="spellStart"/>
      <w:r w:rsidRPr="00EE6B67">
        <w:rPr>
          <w:rFonts w:ascii="Arial" w:hAnsi="Arial" w:cs="Arial"/>
        </w:rPr>
        <w:t>Lowev</w:t>
      </w:r>
      <w:proofErr w:type="spellEnd"/>
      <w:r w:rsidRPr="00EE6B67">
        <w:rPr>
          <w:rFonts w:ascii="Arial" w:hAnsi="Arial" w:cs="Arial"/>
        </w:rPr>
        <w:t xml:space="preserve"> et al (2015) states ‘it is necessary to put greater emphasis on highlighting to the public about that services are offered, with services that can meet the need of specific victim groups, and is necessary, broadening the types of services provided to victims’.</w:t>
      </w:r>
    </w:p>
    <w:p w14:paraId="09BD4FBC" w14:textId="77777777" w:rsidR="00246498" w:rsidRPr="00EE6B67" w:rsidRDefault="00246498" w:rsidP="00246498">
      <w:pPr>
        <w:rPr>
          <w:rFonts w:ascii="Arial" w:hAnsi="Arial" w:cs="Arial"/>
        </w:rPr>
      </w:pPr>
      <w:r w:rsidRPr="00EE6B67">
        <w:rPr>
          <w:rFonts w:ascii="Arial" w:hAnsi="Arial" w:cs="Arial"/>
        </w:rPr>
        <w:t xml:space="preserve">In conclusion seeing the many crime categories that serious and organised crime gangs there are associated with the crime they commit and the definition of the trafficking of the crimes, and the vulnerable people that they exploit in order to commit these crimes through them, and also the public protection teams that are imbedded in the police to tackle these crimes and help the vulnerable people and victims that are exploited can show the link between the two. However, the issues that they are bring in order tackling this, being the response time to the victim, the non-engagement from the victims, not knowing the support </w:t>
      </w:r>
      <w:r w:rsidRPr="00EE6B67">
        <w:rPr>
          <w:rFonts w:ascii="Arial" w:hAnsi="Arial" w:cs="Arial"/>
        </w:rPr>
        <w:lastRenderedPageBreak/>
        <w:t xml:space="preserve">they ate entitled to receiving and also let down from services not providing the services to them plays a massive issue in vulnerable people and victims being exploited. </w:t>
      </w:r>
    </w:p>
    <w:p w14:paraId="716DA51F" w14:textId="28686008" w:rsidR="00CC1869" w:rsidRPr="00EE6B67" w:rsidRDefault="00CC1869" w:rsidP="00246498">
      <w:pPr>
        <w:rPr>
          <w:rFonts w:ascii="Arial" w:hAnsi="Arial" w:cs="Arial"/>
          <w:b/>
          <w:bCs/>
        </w:rPr>
      </w:pPr>
      <w:r w:rsidRPr="00EE6B67">
        <w:rPr>
          <w:rFonts w:ascii="Arial" w:hAnsi="Arial" w:cs="Arial"/>
          <w:b/>
          <w:bCs/>
        </w:rPr>
        <w:t>Word Count - 1023</w:t>
      </w:r>
    </w:p>
    <w:p w14:paraId="5A99C035" w14:textId="7E97C572" w:rsidR="00246498" w:rsidRPr="00EE6B67" w:rsidRDefault="00246498" w:rsidP="00246498">
      <w:pPr>
        <w:rPr>
          <w:rFonts w:ascii="Arial" w:hAnsi="Arial" w:cs="Arial"/>
        </w:rPr>
      </w:pPr>
      <w:r w:rsidRPr="00EE6B67">
        <w:rPr>
          <w:rFonts w:ascii="Arial" w:hAnsi="Arial" w:cs="Arial"/>
          <w:b/>
          <w:bCs/>
          <w:sz w:val="24"/>
          <w:szCs w:val="24"/>
          <w:u w:val="single"/>
        </w:rPr>
        <w:t xml:space="preserve">Essay </w:t>
      </w:r>
      <w:r w:rsidR="00EE6B67" w:rsidRPr="00EE6B67">
        <w:rPr>
          <w:rFonts w:ascii="Arial" w:hAnsi="Arial" w:cs="Arial"/>
          <w:b/>
          <w:bCs/>
          <w:sz w:val="24"/>
          <w:szCs w:val="24"/>
          <w:u w:val="single"/>
        </w:rPr>
        <w:t>Five</w:t>
      </w:r>
      <w:r w:rsidRPr="00EE6B67">
        <w:rPr>
          <w:rFonts w:ascii="Arial" w:hAnsi="Arial" w:cs="Arial"/>
        </w:rPr>
        <w:t xml:space="preserve"> - </w:t>
      </w:r>
      <w:r w:rsidR="00FD3F44" w:rsidRPr="00EE6B67">
        <w:rPr>
          <w:rFonts w:ascii="Arial" w:hAnsi="Arial" w:cs="Arial"/>
        </w:rPr>
        <w:t>How effective is early intervention an effective means of preventing young people from offending or re-offending?</w:t>
      </w:r>
    </w:p>
    <w:p w14:paraId="33D7447F" w14:textId="6C49DF4B" w:rsidR="00FD3F44" w:rsidRPr="00EE6B67" w:rsidRDefault="00FD3F44" w:rsidP="00FD3F44">
      <w:pPr>
        <w:rPr>
          <w:rFonts w:ascii="Arial" w:hAnsi="Arial" w:cs="Arial"/>
        </w:rPr>
      </w:pPr>
      <w:bookmarkStart w:id="1" w:name="_Hlk176780109"/>
      <w:r w:rsidRPr="00EE6B67">
        <w:rPr>
          <w:rFonts w:ascii="Arial" w:hAnsi="Arial" w:cs="Arial"/>
        </w:rPr>
        <w:t xml:space="preserve">Early intervention can be </w:t>
      </w:r>
      <w:r w:rsidR="00CC1869" w:rsidRPr="00EE6B67">
        <w:rPr>
          <w:rFonts w:ascii="Arial" w:hAnsi="Arial" w:cs="Arial"/>
        </w:rPr>
        <w:t>very</w:t>
      </w:r>
      <w:r w:rsidRPr="00EE6B67">
        <w:rPr>
          <w:rFonts w:ascii="Arial" w:hAnsi="Arial" w:cs="Arial"/>
        </w:rPr>
        <w:t xml:space="preserve"> beneficial in preventing young people from offending and even reoffending. Being able to have a police and even multiagency approach in tackling the offending and reoffending of youth crime can be very beneficial as many multi agencies are able to work with the young people and steer them in the right direction. Police approach to offending and reoffending can also have an impact on this also. </w:t>
      </w:r>
    </w:p>
    <w:p w14:paraId="646B78D4" w14:textId="77777777" w:rsidR="00FD3F44" w:rsidRPr="00EE6B67" w:rsidRDefault="00FD3F44" w:rsidP="00FD3F44">
      <w:pPr>
        <w:rPr>
          <w:rFonts w:ascii="Arial" w:hAnsi="Arial" w:cs="Arial"/>
        </w:rPr>
      </w:pPr>
      <w:r w:rsidRPr="00EE6B67">
        <w:rPr>
          <w:rFonts w:ascii="Arial" w:hAnsi="Arial" w:cs="Arial"/>
        </w:rPr>
        <w:t xml:space="preserve">Many young people are brought through the police system whereby the young person if arrested and brought into custody, which for a young person can be very worrying and scary, many of these young people who are arrested, brought into custody, accepted, interviewed and then delt with either criminally dependant on the level of crime and reoffending or even no further action, this can have an impact on the young person in never wanting to be brought through the police system again. However, the young person is still put through a Public Protection Notification to multi agency companies to manage this. </w:t>
      </w:r>
    </w:p>
    <w:p w14:paraId="0A073BCE" w14:textId="77777777" w:rsidR="00FD3F44" w:rsidRPr="00EE6B67" w:rsidRDefault="00FD3F44" w:rsidP="00FD3F44">
      <w:pPr>
        <w:rPr>
          <w:rFonts w:ascii="Arial" w:hAnsi="Arial" w:cs="Arial"/>
        </w:rPr>
      </w:pPr>
      <w:r w:rsidRPr="00EE6B67">
        <w:rPr>
          <w:rFonts w:ascii="Arial" w:hAnsi="Arial" w:cs="Arial"/>
        </w:rPr>
        <w:t>Early intervention in any case means as stated by Early Intervention Foundation (2023) as “identifying and providing effective early support for children and young people who are at risk of poor outcomes. Effective early intervention works to prevent problems occurring, or to tackle them head-on when they do before problems get worse”.</w:t>
      </w:r>
    </w:p>
    <w:p w14:paraId="528DF8B2" w14:textId="77777777" w:rsidR="00FD3F44" w:rsidRPr="00EE6B67" w:rsidRDefault="00FD3F44" w:rsidP="00FD3F44">
      <w:pPr>
        <w:rPr>
          <w:rFonts w:ascii="Arial" w:hAnsi="Arial" w:cs="Arial"/>
        </w:rPr>
      </w:pPr>
      <w:r w:rsidRPr="00EE6B67">
        <w:rPr>
          <w:rFonts w:ascii="Arial" w:hAnsi="Arial" w:cs="Arial"/>
        </w:rPr>
        <w:t xml:space="preserve">Intervening early effectively may have a result in being able to prevent youths from offending and continue to reoffending if interventions are used early and effectively as stated above, this means that youth offending crimes rates may go down and meaning that youths could be less vulnerable to crime and reoffending. </w:t>
      </w:r>
    </w:p>
    <w:p w14:paraId="2B8A9A9C" w14:textId="77777777" w:rsidR="00FD3F44" w:rsidRPr="00EE6B67" w:rsidRDefault="00FD3F44" w:rsidP="00FD3F44">
      <w:pPr>
        <w:rPr>
          <w:rFonts w:ascii="Arial" w:hAnsi="Arial" w:cs="Arial"/>
          <w:shd w:val="clear" w:color="auto" w:fill="FFFFFF"/>
        </w:rPr>
      </w:pPr>
      <w:r w:rsidRPr="00EE6B67">
        <w:rPr>
          <w:rFonts w:ascii="Arial" w:hAnsi="Arial" w:cs="Arial"/>
        </w:rPr>
        <w:t>Preventing offending and reoffending plays a massive role in the Youth Justice System. As Case et al (2022) state “</w:t>
      </w:r>
      <w:r w:rsidRPr="00EE6B67">
        <w:rPr>
          <w:rFonts w:ascii="Arial" w:hAnsi="Arial" w:cs="Arial"/>
          <w:shd w:val="clear" w:color="auto" w:fill="FFFFFF"/>
        </w:rPr>
        <w:t xml:space="preserve">The traditional definitions of intervention “effectiveness” in youth justice derive from legislation, notably the Crime and Disorder Act (1998), wherein “effectiveness” measures are inextricably linked to the prevention and reduction of offending through a focus on individualised/psychosocial, </w:t>
      </w:r>
      <w:proofErr w:type="spellStart"/>
      <w:r w:rsidRPr="00EE6B67">
        <w:rPr>
          <w:rFonts w:ascii="Arial" w:hAnsi="Arial" w:cs="Arial"/>
          <w:shd w:val="clear" w:color="auto" w:fill="FFFFFF"/>
        </w:rPr>
        <w:t>responsibilising</w:t>
      </w:r>
      <w:proofErr w:type="spellEnd"/>
      <w:r w:rsidRPr="00EE6B67">
        <w:rPr>
          <w:rFonts w:ascii="Arial" w:hAnsi="Arial" w:cs="Arial"/>
          <w:shd w:val="clear" w:color="auto" w:fill="FFFFFF"/>
        </w:rPr>
        <w:t xml:space="preserve"> (holding the child primarily responsible for their actions) and </w:t>
      </w:r>
      <w:proofErr w:type="spellStart"/>
      <w:r w:rsidRPr="00EE6B67">
        <w:rPr>
          <w:rFonts w:ascii="Arial" w:hAnsi="Arial" w:cs="Arial"/>
          <w:shd w:val="clear" w:color="auto" w:fill="FFFFFF"/>
        </w:rPr>
        <w:t>adulterising</w:t>
      </w:r>
      <w:proofErr w:type="spellEnd"/>
      <w:r w:rsidRPr="00EE6B67">
        <w:rPr>
          <w:rFonts w:ascii="Arial" w:hAnsi="Arial" w:cs="Arial"/>
          <w:shd w:val="clear" w:color="auto" w:fill="FFFFFF"/>
        </w:rPr>
        <w:t xml:space="preserve"> (adult-centric and defined) “risk factors”. Since 1998, the “What Works” framework”.</w:t>
      </w:r>
    </w:p>
    <w:p w14:paraId="7F5A1342" w14:textId="77777777" w:rsidR="00FD3F44" w:rsidRPr="00EE6B67" w:rsidRDefault="00FD3F44" w:rsidP="00FD3F44">
      <w:pPr>
        <w:rPr>
          <w:rFonts w:ascii="Arial" w:hAnsi="Arial" w:cs="Arial"/>
          <w:shd w:val="clear" w:color="auto" w:fill="FFFFFF"/>
        </w:rPr>
      </w:pPr>
      <w:r w:rsidRPr="00EE6B67">
        <w:rPr>
          <w:rFonts w:ascii="Arial" w:hAnsi="Arial" w:cs="Arial"/>
          <w:shd w:val="clear" w:color="auto" w:fill="FFFFFF"/>
        </w:rPr>
        <w:t>Being able to use this when tackling offending and reoffending effectively will allow for the youth justice system to use early interventions and be able to tackle this issue.</w:t>
      </w:r>
    </w:p>
    <w:p w14:paraId="3DA1BAD8" w14:textId="77777777" w:rsidR="00FD3F44" w:rsidRPr="00EE6B67" w:rsidRDefault="00FD3F44" w:rsidP="00FD3F44">
      <w:pPr>
        <w:rPr>
          <w:rFonts w:ascii="Arial" w:hAnsi="Arial" w:cs="Arial"/>
        </w:rPr>
      </w:pPr>
      <w:r w:rsidRPr="00EE6B67">
        <w:rPr>
          <w:rFonts w:ascii="Arial" w:hAnsi="Arial" w:cs="Arial"/>
          <w:shd w:val="clear" w:color="auto" w:fill="FFFFFF"/>
        </w:rPr>
        <w:t xml:space="preserve">As stated above the Crime and Disorder Act 1998 was introduced and the reason for this act being put in place was </w:t>
      </w:r>
      <w:r w:rsidRPr="00EE6B67">
        <w:rPr>
          <w:rFonts w:ascii="Arial" w:hAnsi="Arial" w:cs="Arial"/>
        </w:rPr>
        <w:t>put in place “the specific requirement that youth offending is addressed through a multi-agency response, something which was suggested almost ten years earlier by the Morgan Report” (Home Office, 1991).</w:t>
      </w:r>
    </w:p>
    <w:p w14:paraId="0089D1A8" w14:textId="77777777" w:rsidR="00FD3F44" w:rsidRPr="00EE6B67" w:rsidRDefault="00FD3F44" w:rsidP="00FD3F44">
      <w:pPr>
        <w:rPr>
          <w:rFonts w:ascii="Arial" w:hAnsi="Arial" w:cs="Arial"/>
        </w:rPr>
      </w:pPr>
      <w:r w:rsidRPr="00EE6B67">
        <w:rPr>
          <w:rFonts w:ascii="Arial" w:hAnsi="Arial" w:cs="Arial"/>
        </w:rPr>
        <w:t xml:space="preserve">Being able to use multiagency alongside a police investigation has been able to efficiently manage youth offending and provide alternative disposals for offences youths have committed whilst at the same time managing their offending and intervening with their offending. </w:t>
      </w:r>
    </w:p>
    <w:p w14:paraId="423CBDB3" w14:textId="77777777" w:rsidR="00FD3F44" w:rsidRPr="00EE6B67" w:rsidRDefault="00FD3F44" w:rsidP="00FD3F44">
      <w:pPr>
        <w:rPr>
          <w:rFonts w:ascii="Arial" w:hAnsi="Arial" w:cs="Arial"/>
          <w:color w:val="333333"/>
          <w:shd w:val="clear" w:color="auto" w:fill="FFFFFF"/>
        </w:rPr>
      </w:pPr>
      <w:r w:rsidRPr="00EE6B67">
        <w:rPr>
          <w:rFonts w:ascii="Arial" w:hAnsi="Arial" w:cs="Arial"/>
        </w:rPr>
        <w:t xml:space="preserve">Having youth offending and also social workers assigned to youths when going through the youth justice system whether it be through criminality or alternative disposals for an offence </w:t>
      </w:r>
      <w:r w:rsidRPr="00EE6B67">
        <w:rPr>
          <w:rFonts w:ascii="Arial" w:hAnsi="Arial" w:cs="Arial"/>
        </w:rPr>
        <w:lastRenderedPageBreak/>
        <w:t>and having them managed allows for these agencies to “</w:t>
      </w:r>
      <w:r w:rsidRPr="00EE6B67">
        <w:rPr>
          <w:rFonts w:ascii="Arial" w:hAnsi="Arial" w:cs="Arial"/>
          <w:color w:val="333333"/>
          <w:shd w:val="clear" w:color="auto" w:fill="FFFFFF"/>
        </w:rPr>
        <w:t>contend that greater resources should be directed toward providing stronger, more accessible targeted social programs that focus on the underlying issues of family, school, and life experiences for children and young people that so often predict future criminal behaviour” (</w:t>
      </w:r>
      <w:hyperlink r:id="rId5" w:anchor="bibr47-1057567718814891" w:history="1">
        <w:r w:rsidRPr="00EE6B67">
          <w:rPr>
            <w:rStyle w:val="Hyperlink"/>
            <w:rFonts w:ascii="Arial" w:hAnsi="Arial" w:cs="Arial"/>
            <w:color w:val="auto"/>
            <w:u w:val="none"/>
            <w:shd w:val="clear" w:color="auto" w:fill="FFFFFF"/>
          </w:rPr>
          <w:t xml:space="preserve">Waller &amp; </w:t>
        </w:r>
        <w:proofErr w:type="spellStart"/>
        <w:r w:rsidRPr="00EE6B67">
          <w:rPr>
            <w:rStyle w:val="Hyperlink"/>
            <w:rFonts w:ascii="Arial" w:hAnsi="Arial" w:cs="Arial"/>
            <w:color w:val="auto"/>
            <w:u w:val="none"/>
            <w:shd w:val="clear" w:color="auto" w:fill="FFFFFF"/>
          </w:rPr>
          <w:t>Weiler</w:t>
        </w:r>
        <w:proofErr w:type="spellEnd"/>
        <w:r w:rsidRPr="00EE6B67">
          <w:rPr>
            <w:rStyle w:val="Hyperlink"/>
            <w:rFonts w:ascii="Arial" w:hAnsi="Arial" w:cs="Arial"/>
            <w:color w:val="auto"/>
            <w:u w:val="none"/>
            <w:shd w:val="clear" w:color="auto" w:fill="FFFFFF"/>
          </w:rPr>
          <w:t>, (1984</w:t>
        </w:r>
      </w:hyperlink>
      <w:r w:rsidRPr="00EE6B67">
        <w:rPr>
          <w:rStyle w:val="Hyperlink"/>
          <w:rFonts w:ascii="Arial" w:hAnsi="Arial" w:cs="Arial"/>
          <w:color w:val="auto"/>
          <w:u w:val="none"/>
          <w:shd w:val="clear" w:color="auto" w:fill="FFFFFF"/>
        </w:rPr>
        <w:t>)</w:t>
      </w:r>
      <w:r w:rsidRPr="00EE6B67">
        <w:rPr>
          <w:rFonts w:ascii="Arial" w:hAnsi="Arial" w:cs="Arial"/>
          <w:shd w:val="clear" w:color="auto" w:fill="FFFFFF"/>
        </w:rPr>
        <w:t>.</w:t>
      </w:r>
    </w:p>
    <w:p w14:paraId="2F464130" w14:textId="77777777" w:rsidR="00FD3F44" w:rsidRPr="00EE6B67" w:rsidRDefault="00FD3F44" w:rsidP="00FD3F44">
      <w:pPr>
        <w:rPr>
          <w:rFonts w:ascii="Arial" w:hAnsi="Arial" w:cs="Arial"/>
        </w:rPr>
      </w:pPr>
      <w:r w:rsidRPr="00EE6B67">
        <w:rPr>
          <w:rFonts w:ascii="Arial" w:hAnsi="Arial" w:cs="Arial"/>
        </w:rPr>
        <w:t>Due to having these measures and agencies in place Youth Justice Statistics (2024) state that statistics show “Arrest of children increased for the second consecutive year – Arrests of children increased by 9% compared with the previous year, though the number remained lower than pre-pandemic levels” further stating that “First time entrants to the youth justice system increased for the first time in the last ten years – There were just under 8,400 child first time entrants. This was an increase of 1% compared with the previous year, the first increase seen in the last ten years” and finally “The reoffending rate increased for the first time in eight years – The reoffending rate increased by 0.9 percentage points from the previous year, the first increase since the year ending March 2014, though the second lowest rate in the time series”.</w:t>
      </w:r>
    </w:p>
    <w:p w14:paraId="353FA67B" w14:textId="77777777" w:rsidR="00FD3F44" w:rsidRPr="00EE6B67" w:rsidRDefault="00FD3F44" w:rsidP="00FD3F44">
      <w:pPr>
        <w:rPr>
          <w:rFonts w:ascii="Arial" w:hAnsi="Arial" w:cs="Arial"/>
          <w:shd w:val="clear" w:color="auto" w:fill="FFFFFF"/>
        </w:rPr>
      </w:pPr>
      <w:r w:rsidRPr="00EE6B67">
        <w:rPr>
          <w:rFonts w:ascii="Arial" w:hAnsi="Arial" w:cs="Arial"/>
          <w:shd w:val="clear" w:color="auto" w:fill="FFFFFF"/>
        </w:rPr>
        <w:t>However, Adler et al (2016) also state “</w:t>
      </w:r>
      <w:r w:rsidRPr="00EE6B67">
        <w:rPr>
          <w:rFonts w:ascii="Arial" w:hAnsi="Arial" w:cs="Arial"/>
        </w:rPr>
        <w:t>Over the last decade, there have been substantial reductions in the number of young people entering the youth justice system, including those entering the system for the first time and those sentenced to custody. The proven reoffending rate for young people has, however, remained the highest across all age groups.”</w:t>
      </w:r>
    </w:p>
    <w:p w14:paraId="65E28091" w14:textId="77777777" w:rsidR="00FD3F44" w:rsidRPr="00EE6B67" w:rsidRDefault="00FD3F44" w:rsidP="00FD3F44">
      <w:pPr>
        <w:rPr>
          <w:rFonts w:ascii="Arial" w:hAnsi="Arial" w:cs="Arial"/>
        </w:rPr>
      </w:pPr>
      <w:r w:rsidRPr="00EE6B67">
        <w:rPr>
          <w:rFonts w:ascii="Arial" w:hAnsi="Arial" w:cs="Arial"/>
        </w:rPr>
        <w:t xml:space="preserve">This shows that although the youth justice manages young people offending, and reoffending, with police and multi-agency involvement, youth offending is still a massive issue across the UK and the statistics show that number had not come down and instead had increased. However, these are only by small numbers. </w:t>
      </w:r>
    </w:p>
    <w:p w14:paraId="45B07D80" w14:textId="3840E94C" w:rsidR="00246498" w:rsidRPr="00EE6B67" w:rsidRDefault="00FD3F44">
      <w:pPr>
        <w:rPr>
          <w:rFonts w:ascii="Arial" w:hAnsi="Arial" w:cs="Arial"/>
        </w:rPr>
      </w:pPr>
      <w:r w:rsidRPr="00EE6B67">
        <w:rPr>
          <w:rFonts w:ascii="Arial" w:hAnsi="Arial" w:cs="Arial"/>
        </w:rPr>
        <w:t>Although early intervention is also still managing the young people and having them on their radar they are able to still manage of offending and possible reoffending, doing this by police involvement and their interventions, allowing the police to manage the crime they have committed and have the young person processed for this and the crime investigated also, as this has a worrying effect on the young person, however many do not worry about this and this is where the vicious cycle of reoffending happens, as many youths are seen to be as better by their peers for this and many find the comical side, and this is where early intervention does not work when dealing with young people.</w:t>
      </w:r>
      <w:bookmarkEnd w:id="1"/>
    </w:p>
    <w:p w14:paraId="77A3E6BD" w14:textId="43650ADD" w:rsidR="00CC1869" w:rsidRPr="00EE6B67" w:rsidRDefault="00CC1869">
      <w:pPr>
        <w:rPr>
          <w:rFonts w:ascii="Arial" w:hAnsi="Arial" w:cs="Arial"/>
          <w:b/>
          <w:bCs/>
        </w:rPr>
      </w:pPr>
      <w:r w:rsidRPr="00EE6B67">
        <w:rPr>
          <w:rFonts w:ascii="Arial" w:hAnsi="Arial" w:cs="Arial"/>
          <w:b/>
          <w:bCs/>
        </w:rPr>
        <w:t>Word Count - 916</w:t>
      </w:r>
    </w:p>
    <w:p w14:paraId="7C7A7747" w14:textId="1C6F7704" w:rsidR="00246498" w:rsidRPr="00EE6B67" w:rsidRDefault="00246498">
      <w:pPr>
        <w:rPr>
          <w:rFonts w:ascii="Arial" w:hAnsi="Arial" w:cs="Arial"/>
          <w:b/>
          <w:bCs/>
          <w:sz w:val="24"/>
          <w:szCs w:val="24"/>
          <w:u w:val="single"/>
        </w:rPr>
      </w:pPr>
      <w:r w:rsidRPr="00EE6B67">
        <w:rPr>
          <w:rFonts w:ascii="Arial" w:hAnsi="Arial" w:cs="Arial"/>
          <w:b/>
          <w:bCs/>
          <w:sz w:val="24"/>
          <w:szCs w:val="24"/>
          <w:u w:val="single"/>
        </w:rPr>
        <w:t>References:</w:t>
      </w:r>
    </w:p>
    <w:p w14:paraId="0A02D592" w14:textId="7A2AB7B4" w:rsidR="00EE6B67" w:rsidRPr="00EE6B67" w:rsidRDefault="00EE6B67" w:rsidP="00EE6B67">
      <w:pPr>
        <w:rPr>
          <w:rFonts w:ascii="Arial" w:hAnsi="Arial" w:cs="Arial"/>
          <w:shd w:val="clear" w:color="auto" w:fill="FFFFFF"/>
        </w:rPr>
      </w:pPr>
      <w:bookmarkStart w:id="2" w:name="_Hlk176778649"/>
      <w:r w:rsidRPr="00EE6B67">
        <w:rPr>
          <w:rFonts w:ascii="Arial" w:hAnsi="Arial" w:cs="Arial"/>
        </w:rPr>
        <w:t xml:space="preserve">Adler, R,A et al (2016) What Works in Managing Young People </w:t>
      </w:r>
      <w:proofErr w:type="gramStart"/>
      <w:r w:rsidRPr="00EE6B67">
        <w:rPr>
          <w:rFonts w:ascii="Arial" w:hAnsi="Arial" w:cs="Arial"/>
        </w:rPr>
        <w:t>who</w:t>
      </w:r>
      <w:proofErr w:type="gramEnd"/>
      <w:r w:rsidRPr="00EE6B67">
        <w:rPr>
          <w:rFonts w:ascii="Arial" w:hAnsi="Arial" w:cs="Arial"/>
        </w:rPr>
        <w:t xml:space="preserve"> Offend? A Summary of the International Evidence. Forensic Psychological Services at Middlesex University. </w:t>
      </w:r>
      <w:hyperlink r:id="rId6" w:history="1">
        <w:r w:rsidRPr="00EE6B67">
          <w:rPr>
            <w:rStyle w:val="Hyperlink"/>
            <w:rFonts w:ascii="Arial" w:hAnsi="Arial" w:cs="Arial"/>
            <w:shd w:val="clear" w:color="auto" w:fill="FFFFFF"/>
          </w:rPr>
          <w:t>https://assets.publishing.service.gov.uk/media/5a803ec740f0b62305b8a07e/what-works-in-managing-young-people-who-offend.pdf</w:t>
        </w:r>
      </w:hyperlink>
    </w:p>
    <w:p w14:paraId="33AB3BD6" w14:textId="274B2CCF" w:rsidR="00EE6B67" w:rsidRDefault="00EE6B67" w:rsidP="00EE6B67">
      <w:pPr>
        <w:rPr>
          <w:rFonts w:ascii="Arial" w:hAnsi="Arial" w:cs="Arial"/>
          <w:color w:val="000000"/>
          <w:shd w:val="clear" w:color="auto" w:fill="FFFFFF"/>
        </w:rPr>
      </w:pPr>
      <w:proofErr w:type="spellStart"/>
      <w:r w:rsidRPr="00EE6B67">
        <w:rPr>
          <w:rFonts w:ascii="Arial" w:hAnsi="Arial" w:cs="Arial"/>
          <w:color w:val="000000"/>
          <w:shd w:val="clear" w:color="auto" w:fill="FFFFFF"/>
        </w:rPr>
        <w:t>Arieli</w:t>
      </w:r>
      <w:proofErr w:type="spellEnd"/>
      <w:r w:rsidRPr="00EE6B67">
        <w:rPr>
          <w:rFonts w:ascii="Arial" w:hAnsi="Arial" w:cs="Arial"/>
          <w:color w:val="000000"/>
          <w:shd w:val="clear" w:color="auto" w:fill="FFFFFF"/>
        </w:rPr>
        <w:t xml:space="preserve">, S., </w:t>
      </w:r>
      <w:proofErr w:type="spellStart"/>
      <w:r w:rsidRPr="00EE6B67">
        <w:rPr>
          <w:rFonts w:ascii="Arial" w:hAnsi="Arial" w:cs="Arial"/>
          <w:color w:val="000000"/>
          <w:shd w:val="clear" w:color="auto" w:fill="FFFFFF"/>
        </w:rPr>
        <w:t>Sagiv</w:t>
      </w:r>
      <w:proofErr w:type="spellEnd"/>
      <w:r w:rsidRPr="00EE6B67">
        <w:rPr>
          <w:rFonts w:ascii="Arial" w:hAnsi="Arial" w:cs="Arial"/>
          <w:color w:val="000000"/>
          <w:shd w:val="clear" w:color="auto" w:fill="FFFFFF"/>
        </w:rPr>
        <w:t xml:space="preserve">, L., and </w:t>
      </w:r>
      <w:proofErr w:type="spellStart"/>
      <w:r w:rsidRPr="00EE6B67">
        <w:rPr>
          <w:rFonts w:ascii="Arial" w:hAnsi="Arial" w:cs="Arial"/>
          <w:color w:val="000000"/>
          <w:shd w:val="clear" w:color="auto" w:fill="FFFFFF"/>
        </w:rPr>
        <w:t>Roccas</w:t>
      </w:r>
      <w:proofErr w:type="spellEnd"/>
      <w:r w:rsidRPr="00EE6B67">
        <w:rPr>
          <w:rFonts w:ascii="Arial" w:hAnsi="Arial" w:cs="Arial"/>
          <w:color w:val="000000"/>
          <w:shd w:val="clear" w:color="auto" w:fill="FFFFFF"/>
        </w:rPr>
        <w:t xml:space="preserve">, S. (2018) </w:t>
      </w:r>
      <w:bookmarkEnd w:id="2"/>
      <w:r w:rsidRPr="00EE6B67">
        <w:rPr>
          <w:rFonts w:ascii="Arial" w:hAnsi="Arial" w:cs="Arial"/>
          <w:i/>
          <w:iCs/>
          <w:color w:val="000000"/>
          <w:shd w:val="clear" w:color="auto" w:fill="FFFFFF"/>
        </w:rPr>
        <w:t xml:space="preserve">Values at Work: The Impact of Personal Values in Organisations. </w:t>
      </w:r>
      <w:r w:rsidRPr="00EE6B67">
        <w:rPr>
          <w:rFonts w:ascii="Arial" w:hAnsi="Arial" w:cs="Arial"/>
          <w:color w:val="000000"/>
          <w:shd w:val="clear" w:color="auto" w:fill="FFFFFF"/>
        </w:rPr>
        <w:t xml:space="preserve">Available at: </w:t>
      </w:r>
      <w:hyperlink r:id="rId7" w:history="1">
        <w:r w:rsidRPr="00EE6B67">
          <w:rPr>
            <w:rStyle w:val="Hyperlink"/>
            <w:rFonts w:ascii="Arial" w:hAnsi="Arial" w:cs="Arial"/>
            <w:shd w:val="clear" w:color="auto" w:fill="FFFFFF"/>
          </w:rPr>
          <w:t>https://iaap-journals.onlinelibrary.wiley.com/doi/full/10.1111/apps.12181</w:t>
        </w:r>
      </w:hyperlink>
      <w:r w:rsidRPr="00EE6B67">
        <w:rPr>
          <w:rFonts w:ascii="Arial" w:hAnsi="Arial" w:cs="Arial"/>
          <w:color w:val="000000"/>
          <w:shd w:val="clear" w:color="auto" w:fill="FFFFFF"/>
        </w:rPr>
        <w:t xml:space="preserve"> (Accessed: 26</w:t>
      </w:r>
      <w:r w:rsidRPr="00EE6B67">
        <w:rPr>
          <w:rFonts w:ascii="Arial" w:hAnsi="Arial" w:cs="Arial"/>
          <w:color w:val="000000"/>
          <w:shd w:val="clear" w:color="auto" w:fill="FFFFFF"/>
          <w:vertAlign w:val="superscript"/>
        </w:rPr>
        <w:t>th</w:t>
      </w:r>
      <w:r w:rsidRPr="00EE6B67">
        <w:rPr>
          <w:rFonts w:ascii="Arial" w:hAnsi="Arial" w:cs="Arial"/>
          <w:color w:val="000000"/>
          <w:shd w:val="clear" w:color="auto" w:fill="FFFFFF"/>
        </w:rPr>
        <w:t xml:space="preserve"> August 2024).</w:t>
      </w:r>
    </w:p>
    <w:p w14:paraId="11A02AD7" w14:textId="77777777" w:rsidR="00EE6B67" w:rsidRDefault="00EE6B67" w:rsidP="00EE6B67">
      <w:pPr>
        <w:rPr>
          <w:rFonts w:ascii="Arial" w:hAnsi="Arial" w:cs="Arial"/>
        </w:rPr>
      </w:pPr>
      <w:proofErr w:type="spellStart"/>
      <w:r w:rsidRPr="00EE6B67">
        <w:rPr>
          <w:rFonts w:ascii="Arial" w:hAnsi="Arial" w:cs="Arial"/>
          <w:sz w:val="23"/>
          <w:szCs w:val="23"/>
          <w:shd w:val="clear" w:color="auto" w:fill="FFFFFF"/>
        </w:rPr>
        <w:t>Besley</w:t>
      </w:r>
      <w:proofErr w:type="spellEnd"/>
      <w:r w:rsidRPr="00EE6B67">
        <w:rPr>
          <w:rFonts w:ascii="Arial" w:hAnsi="Arial" w:cs="Arial"/>
          <w:sz w:val="23"/>
          <w:szCs w:val="23"/>
          <w:shd w:val="clear" w:color="auto" w:fill="FFFFFF"/>
        </w:rPr>
        <w:t xml:space="preserve">, T. and </w:t>
      </w:r>
      <w:proofErr w:type="spellStart"/>
      <w:r w:rsidRPr="00EE6B67">
        <w:rPr>
          <w:rFonts w:ascii="Arial" w:hAnsi="Arial" w:cs="Arial"/>
          <w:sz w:val="23"/>
          <w:szCs w:val="23"/>
          <w:shd w:val="clear" w:color="auto" w:fill="FFFFFF"/>
        </w:rPr>
        <w:t>Bucelli</w:t>
      </w:r>
      <w:proofErr w:type="spellEnd"/>
      <w:r w:rsidRPr="00EE6B67">
        <w:rPr>
          <w:rFonts w:ascii="Arial" w:hAnsi="Arial" w:cs="Arial"/>
          <w:sz w:val="23"/>
          <w:szCs w:val="23"/>
          <w:shd w:val="clear" w:color="auto" w:fill="FFFFFF"/>
        </w:rPr>
        <w:t xml:space="preserve">, I. (2022) </w:t>
      </w:r>
      <w:r w:rsidRPr="00EE6B67">
        <w:rPr>
          <w:rFonts w:ascii="Arial" w:hAnsi="Arial" w:cs="Arial"/>
          <w:i/>
          <w:iCs/>
          <w:sz w:val="23"/>
          <w:szCs w:val="23"/>
          <w:shd w:val="clear" w:color="auto" w:fill="FFFFFF"/>
        </w:rPr>
        <w:t>Wellbeing</w:t>
      </w:r>
      <w:r w:rsidRPr="00EE6B67">
        <w:rPr>
          <w:rFonts w:ascii="Arial" w:hAnsi="Arial" w:cs="Arial"/>
          <w:sz w:val="23"/>
          <w:szCs w:val="23"/>
          <w:shd w:val="clear" w:color="auto" w:fill="FFFFFF"/>
        </w:rPr>
        <w:t xml:space="preserve">. LSE Press. Available at: </w:t>
      </w:r>
      <w:hyperlink r:id="rId8" w:history="1">
        <w:r w:rsidRPr="00EE6B67">
          <w:rPr>
            <w:rStyle w:val="Hyperlink"/>
            <w:rFonts w:ascii="Arial" w:hAnsi="Arial" w:cs="Arial"/>
            <w:sz w:val="23"/>
            <w:szCs w:val="23"/>
            <w:shd w:val="clear" w:color="auto" w:fill="FFFFFF"/>
          </w:rPr>
          <w:t>https://press.lse.ac.uk/site/books/e/10.31389/lsepress.well/</w:t>
        </w:r>
      </w:hyperlink>
      <w:r w:rsidRPr="00EE6B67">
        <w:rPr>
          <w:rFonts w:ascii="Arial" w:hAnsi="Arial" w:cs="Arial"/>
          <w:sz w:val="23"/>
          <w:szCs w:val="23"/>
          <w:shd w:val="clear" w:color="auto" w:fill="FFFFFF"/>
        </w:rPr>
        <w:t xml:space="preserve"> </w:t>
      </w:r>
      <w:r w:rsidRPr="00EE6B67">
        <w:rPr>
          <w:rFonts w:ascii="Arial" w:hAnsi="Arial" w:cs="Arial"/>
        </w:rPr>
        <w:t>(Accessed: 28</w:t>
      </w:r>
      <w:r w:rsidRPr="00EE6B67">
        <w:rPr>
          <w:rFonts w:ascii="Arial" w:hAnsi="Arial" w:cs="Arial"/>
          <w:vertAlign w:val="superscript"/>
        </w:rPr>
        <w:t>th</w:t>
      </w:r>
      <w:r w:rsidRPr="00EE6B67">
        <w:rPr>
          <w:rFonts w:ascii="Arial" w:hAnsi="Arial" w:cs="Arial"/>
        </w:rPr>
        <w:t xml:space="preserve"> August 2024)</w:t>
      </w:r>
    </w:p>
    <w:p w14:paraId="4E53ECCC" w14:textId="77777777" w:rsidR="00EE6B67" w:rsidRDefault="00EE6B67" w:rsidP="00EE6B67">
      <w:pPr>
        <w:rPr>
          <w:rFonts w:ascii="Arial" w:hAnsi="Arial" w:cs="Arial"/>
          <w:color w:val="000000"/>
          <w:shd w:val="clear" w:color="auto" w:fill="FFFFFF"/>
        </w:rPr>
      </w:pPr>
      <w:r w:rsidRPr="00EE6B67">
        <w:rPr>
          <w:rFonts w:ascii="Arial" w:hAnsi="Arial" w:cs="Arial"/>
          <w:color w:val="000000"/>
          <w:shd w:val="clear" w:color="auto" w:fill="FFFFFF"/>
        </w:rPr>
        <w:t xml:space="preserve">Biggar, G. (2024) </w:t>
      </w:r>
      <w:r w:rsidRPr="00EE6B67">
        <w:rPr>
          <w:rFonts w:ascii="Arial" w:hAnsi="Arial" w:cs="Arial"/>
          <w:i/>
          <w:iCs/>
          <w:color w:val="000000"/>
          <w:shd w:val="clear" w:color="auto" w:fill="FFFFFF"/>
        </w:rPr>
        <w:t xml:space="preserve">Providing a picture of the threat to the UK from serious and organised crime. </w:t>
      </w:r>
      <w:r w:rsidRPr="00EE6B67">
        <w:rPr>
          <w:rFonts w:ascii="Arial" w:hAnsi="Arial" w:cs="Arial"/>
          <w:color w:val="000000"/>
          <w:shd w:val="clear" w:color="auto" w:fill="FFFFFF"/>
        </w:rPr>
        <w:t xml:space="preserve">Available at: </w:t>
      </w:r>
      <w:hyperlink r:id="rId9" w:history="1">
        <w:r w:rsidRPr="00EE6B67">
          <w:rPr>
            <w:rStyle w:val="Hyperlink"/>
            <w:rFonts w:ascii="Arial" w:hAnsi="Arial" w:cs="Arial"/>
            <w:shd w:val="clear" w:color="auto" w:fill="FFFFFF"/>
          </w:rPr>
          <w:t>https://www.nationalcrimeagency.gov.uk/nsa-2024</w:t>
        </w:r>
      </w:hyperlink>
      <w:r w:rsidRPr="00EE6B67">
        <w:rPr>
          <w:rFonts w:ascii="Arial" w:hAnsi="Arial" w:cs="Arial"/>
          <w:color w:val="000000"/>
          <w:shd w:val="clear" w:color="auto" w:fill="FFFFFF"/>
        </w:rPr>
        <w:t xml:space="preserve"> (Accessed: 31</w:t>
      </w:r>
      <w:r w:rsidRPr="00EE6B67">
        <w:rPr>
          <w:rFonts w:ascii="Arial" w:hAnsi="Arial" w:cs="Arial"/>
          <w:color w:val="000000"/>
          <w:shd w:val="clear" w:color="auto" w:fill="FFFFFF"/>
          <w:vertAlign w:val="superscript"/>
        </w:rPr>
        <w:t>st</w:t>
      </w:r>
      <w:r w:rsidRPr="00EE6B67">
        <w:rPr>
          <w:rFonts w:ascii="Arial" w:hAnsi="Arial" w:cs="Arial"/>
          <w:color w:val="000000"/>
          <w:shd w:val="clear" w:color="auto" w:fill="FFFFFF"/>
        </w:rPr>
        <w:t xml:space="preserve"> August 2024).</w:t>
      </w:r>
    </w:p>
    <w:p w14:paraId="73F29D19" w14:textId="77777777" w:rsidR="00EE6B67" w:rsidRPr="00EE6B67" w:rsidRDefault="00EE6B67" w:rsidP="00EE6B67">
      <w:pPr>
        <w:rPr>
          <w:rFonts w:ascii="Arial" w:hAnsi="Arial" w:cs="Arial"/>
          <w:color w:val="333333"/>
          <w:shd w:val="clear" w:color="auto" w:fill="FFFFFF"/>
        </w:rPr>
      </w:pPr>
      <w:r w:rsidRPr="00EE6B67">
        <w:rPr>
          <w:rFonts w:ascii="Arial" w:hAnsi="Arial" w:cs="Arial"/>
          <w:color w:val="3A3A3A"/>
          <w:shd w:val="clear" w:color="auto" w:fill="FFFFFF"/>
        </w:rPr>
        <w:lastRenderedPageBreak/>
        <w:t>Case, S. </w:t>
      </w:r>
      <w:r w:rsidRPr="00EE6B67">
        <w:rPr>
          <w:rFonts w:ascii="Arial" w:hAnsi="Arial" w:cs="Arial"/>
          <w:i/>
          <w:iCs/>
          <w:color w:val="3A3A3A"/>
          <w:shd w:val="clear" w:color="auto" w:fill="FFFFFF"/>
        </w:rPr>
        <w:t>et al.</w:t>
      </w:r>
      <w:r w:rsidRPr="00EE6B67">
        <w:rPr>
          <w:rFonts w:ascii="Arial" w:hAnsi="Arial" w:cs="Arial"/>
          <w:color w:val="3A3A3A"/>
          <w:shd w:val="clear" w:color="auto" w:fill="FFFFFF"/>
        </w:rPr>
        <w:t> (2022) ‘Searching for context: a review of “what works” reviews of interventions to prevent youth offending using the EMMIE Framework’, </w:t>
      </w:r>
      <w:r w:rsidRPr="00EE6B67">
        <w:rPr>
          <w:rFonts w:ascii="Arial" w:hAnsi="Arial" w:cs="Arial"/>
          <w:i/>
          <w:iCs/>
          <w:color w:val="3A3A3A"/>
          <w:shd w:val="clear" w:color="auto" w:fill="FFFFFF"/>
        </w:rPr>
        <w:t>Safer communities</w:t>
      </w:r>
      <w:r w:rsidRPr="00EE6B67">
        <w:rPr>
          <w:rFonts w:ascii="Arial" w:hAnsi="Arial" w:cs="Arial"/>
          <w:color w:val="3A3A3A"/>
          <w:shd w:val="clear" w:color="auto" w:fill="FFFFFF"/>
        </w:rPr>
        <w:t xml:space="preserve">, 21(4), pp. 272–289. Available at: </w:t>
      </w:r>
      <w:hyperlink r:id="rId10" w:history="1">
        <w:r w:rsidRPr="00EE6B67">
          <w:rPr>
            <w:rStyle w:val="Hyperlink"/>
            <w:rFonts w:ascii="Arial" w:hAnsi="Arial" w:cs="Arial"/>
            <w:shd w:val="clear" w:color="auto" w:fill="FFFFFF"/>
          </w:rPr>
          <w:t>https://www.proquest.com/docview/2737363912?accountid=130472&amp;parentSessionId=hCPSj%2BI64fMJ71%2FLl2EYj2tKnGi4alqcZW339AHIz%2B0%3D&amp;pq-origsite=primo&amp;sourcetype=Scholarly%20Journals</w:t>
        </w:r>
      </w:hyperlink>
    </w:p>
    <w:p w14:paraId="3421AA8B" w14:textId="77777777" w:rsidR="00EE6B67" w:rsidRDefault="00EE6B67" w:rsidP="00EE6B67">
      <w:pPr>
        <w:rPr>
          <w:rFonts w:ascii="Arial" w:hAnsi="Arial" w:cs="Arial"/>
          <w:color w:val="000000"/>
          <w:spacing w:val="3"/>
        </w:rPr>
      </w:pPr>
      <w:r w:rsidRPr="00EE6B67">
        <w:rPr>
          <w:rFonts w:ascii="Arial" w:hAnsi="Arial" w:cs="Arial"/>
          <w:color w:val="000000"/>
          <w:spacing w:val="3"/>
        </w:rPr>
        <w:t xml:space="preserve">College of Policing (2023) </w:t>
      </w:r>
      <w:r w:rsidRPr="00EE6B67">
        <w:rPr>
          <w:rFonts w:ascii="Arial" w:hAnsi="Arial" w:cs="Arial"/>
          <w:i/>
          <w:iCs/>
          <w:color w:val="000000"/>
          <w:spacing w:val="3"/>
        </w:rPr>
        <w:t>Investigation Introduction.</w:t>
      </w:r>
      <w:r w:rsidRPr="00EE6B67">
        <w:rPr>
          <w:rFonts w:ascii="Arial" w:hAnsi="Arial" w:cs="Arial"/>
          <w:color w:val="000000"/>
          <w:spacing w:val="3"/>
        </w:rPr>
        <w:t xml:space="preserve"> Available at: </w:t>
      </w:r>
      <w:hyperlink r:id="rId11" w:history="1">
        <w:r w:rsidRPr="00EE6B67">
          <w:rPr>
            <w:rStyle w:val="Hyperlink"/>
            <w:rFonts w:ascii="Arial" w:hAnsi="Arial" w:cs="Arial"/>
            <w:spacing w:val="3"/>
          </w:rPr>
          <w:t>https://www.college.police.uk/app/investigation/investigation-introduction</w:t>
        </w:r>
      </w:hyperlink>
      <w:r w:rsidRPr="00EE6B67">
        <w:rPr>
          <w:rFonts w:ascii="Arial" w:hAnsi="Arial" w:cs="Arial"/>
          <w:color w:val="000000"/>
          <w:spacing w:val="3"/>
        </w:rPr>
        <w:t xml:space="preserve"> (Accessed: 26</w:t>
      </w:r>
      <w:r w:rsidRPr="00EE6B67">
        <w:rPr>
          <w:rFonts w:ascii="Arial" w:hAnsi="Arial" w:cs="Arial"/>
          <w:color w:val="000000"/>
          <w:spacing w:val="3"/>
          <w:vertAlign w:val="superscript"/>
        </w:rPr>
        <w:t>th</w:t>
      </w:r>
      <w:r w:rsidRPr="00EE6B67">
        <w:rPr>
          <w:rFonts w:ascii="Arial" w:hAnsi="Arial" w:cs="Arial"/>
          <w:color w:val="000000"/>
          <w:spacing w:val="3"/>
        </w:rPr>
        <w:t xml:space="preserve"> August 2024).</w:t>
      </w:r>
    </w:p>
    <w:p w14:paraId="6A00979E" w14:textId="77777777" w:rsidR="00EE6B67" w:rsidRPr="00EE6B67" w:rsidRDefault="00EE6B67" w:rsidP="00EE6B67">
      <w:pPr>
        <w:rPr>
          <w:rFonts w:ascii="Arial" w:hAnsi="Arial" w:cs="Arial"/>
        </w:rPr>
      </w:pPr>
      <w:r w:rsidRPr="00EE6B67">
        <w:rPr>
          <w:rFonts w:ascii="Arial" w:hAnsi="Arial" w:cs="Arial"/>
        </w:rPr>
        <w:t xml:space="preserve">College of Policing (2021) </w:t>
      </w:r>
      <w:r w:rsidRPr="00EE6B67">
        <w:rPr>
          <w:rFonts w:ascii="Arial" w:hAnsi="Arial" w:cs="Arial"/>
          <w:i/>
          <w:iCs/>
        </w:rPr>
        <w:t xml:space="preserve">Recognising and responding to vulnerability-related risks: Guidelines, Rapid Evidence Assessment. </w:t>
      </w:r>
      <w:r w:rsidRPr="00EE6B67">
        <w:rPr>
          <w:rFonts w:ascii="Arial" w:hAnsi="Arial" w:cs="Arial"/>
        </w:rPr>
        <w:t xml:space="preserve">Available at: </w:t>
      </w:r>
      <w:hyperlink r:id="rId12" w:history="1">
        <w:r w:rsidRPr="00EE6B67">
          <w:rPr>
            <w:rStyle w:val="Hyperlink"/>
            <w:rFonts w:ascii="Arial" w:hAnsi="Arial" w:cs="Arial"/>
          </w:rPr>
          <w:t>https://assets.college.police.uk/s3fs-public/2021-11/Recognising-responding-vulnerability-related-risks-REA.pdf</w:t>
        </w:r>
      </w:hyperlink>
      <w:r w:rsidRPr="00EE6B67">
        <w:rPr>
          <w:rFonts w:ascii="Arial" w:hAnsi="Arial" w:cs="Arial"/>
        </w:rPr>
        <w:t xml:space="preserve"> (Accessed: 31</w:t>
      </w:r>
      <w:r w:rsidRPr="00EE6B67">
        <w:rPr>
          <w:rFonts w:ascii="Arial" w:hAnsi="Arial" w:cs="Arial"/>
          <w:vertAlign w:val="superscript"/>
        </w:rPr>
        <w:t>st</w:t>
      </w:r>
      <w:r w:rsidRPr="00EE6B67">
        <w:rPr>
          <w:rFonts w:ascii="Arial" w:hAnsi="Arial" w:cs="Arial"/>
        </w:rPr>
        <w:t xml:space="preserve"> August 2024).</w:t>
      </w:r>
    </w:p>
    <w:p w14:paraId="3BCE70DA" w14:textId="77777777" w:rsidR="00EE6B67" w:rsidRPr="00EE6B67" w:rsidRDefault="00EE6B67" w:rsidP="00EE6B67">
      <w:pPr>
        <w:rPr>
          <w:rFonts w:ascii="Arial" w:hAnsi="Arial" w:cs="Arial"/>
        </w:rPr>
      </w:pPr>
      <w:r w:rsidRPr="00EE6B67">
        <w:rPr>
          <w:rFonts w:ascii="Arial" w:hAnsi="Arial" w:cs="Arial"/>
        </w:rPr>
        <w:t xml:space="preserve">Early Intervention Foundation (2023) </w:t>
      </w:r>
      <w:r w:rsidRPr="00EE6B67">
        <w:rPr>
          <w:rFonts w:ascii="Arial" w:hAnsi="Arial" w:cs="Arial"/>
          <w:i/>
          <w:iCs/>
        </w:rPr>
        <w:t>What is early intervention</w:t>
      </w:r>
      <w:r w:rsidRPr="00EE6B67">
        <w:rPr>
          <w:rFonts w:ascii="Arial" w:hAnsi="Arial" w:cs="Arial"/>
        </w:rPr>
        <w:t xml:space="preserve">. Available at: </w:t>
      </w:r>
      <w:hyperlink r:id="rId13" w:anchor=":~:text=Early%20intervention%20means%20identifying%20and,do%2C%20before%20problems%20get%20worse" w:history="1">
        <w:r w:rsidRPr="00EE6B67">
          <w:rPr>
            <w:rStyle w:val="Hyperlink"/>
            <w:rFonts w:ascii="Arial" w:hAnsi="Arial" w:cs="Arial"/>
          </w:rPr>
          <w:t>https://www.eif.org.uk/why-it-matters/what-is-early-intervention#:~:text=Early%20intervention%20means%20identifying%20and,do%2C%20before%20problems%20get%20worse</w:t>
        </w:r>
      </w:hyperlink>
      <w:r w:rsidRPr="00EE6B67">
        <w:rPr>
          <w:rFonts w:ascii="Arial" w:hAnsi="Arial" w:cs="Arial"/>
        </w:rPr>
        <w:t>. (Accessed: 28.08.2024).</w:t>
      </w:r>
    </w:p>
    <w:p w14:paraId="3410552A" w14:textId="77777777" w:rsidR="00EE6B67" w:rsidRPr="00EE6B67" w:rsidRDefault="00EE6B67" w:rsidP="00EE6B67">
      <w:pPr>
        <w:rPr>
          <w:rFonts w:ascii="Arial" w:hAnsi="Arial" w:cs="Arial"/>
        </w:rPr>
      </w:pPr>
      <w:r w:rsidRPr="00EE6B67">
        <w:rPr>
          <w:rFonts w:ascii="Arial" w:hAnsi="Arial" w:cs="Arial"/>
          <w:color w:val="3A3A3A"/>
          <w:shd w:val="clear" w:color="auto" w:fill="FFFFFF"/>
        </w:rPr>
        <w:t xml:space="preserve">Gough, D. and </w:t>
      </w:r>
      <w:proofErr w:type="spellStart"/>
      <w:r w:rsidRPr="00EE6B67">
        <w:rPr>
          <w:rFonts w:ascii="Arial" w:hAnsi="Arial" w:cs="Arial"/>
          <w:color w:val="3A3A3A"/>
          <w:shd w:val="clear" w:color="auto" w:fill="FFFFFF"/>
        </w:rPr>
        <w:t>Pycroft</w:t>
      </w:r>
      <w:proofErr w:type="spellEnd"/>
      <w:r w:rsidRPr="00EE6B67">
        <w:rPr>
          <w:rFonts w:ascii="Arial" w:hAnsi="Arial" w:cs="Arial"/>
          <w:color w:val="3A3A3A"/>
          <w:shd w:val="clear" w:color="auto" w:fill="FFFFFF"/>
        </w:rPr>
        <w:t>, A. (eds) (2019) </w:t>
      </w:r>
      <w:r w:rsidRPr="00EE6B67">
        <w:rPr>
          <w:rFonts w:ascii="Arial" w:hAnsi="Arial" w:cs="Arial"/>
          <w:i/>
          <w:iCs/>
          <w:color w:val="3A3A3A"/>
          <w:shd w:val="clear" w:color="auto" w:fill="FFFFFF"/>
        </w:rPr>
        <w:t xml:space="preserve">Multi-Agency Working in Criminal Justice 2e Theory, </w:t>
      </w:r>
      <w:proofErr w:type="gramStart"/>
      <w:r w:rsidRPr="00EE6B67">
        <w:rPr>
          <w:rFonts w:ascii="Arial" w:hAnsi="Arial" w:cs="Arial"/>
          <w:i/>
          <w:iCs/>
          <w:color w:val="3A3A3A"/>
          <w:shd w:val="clear" w:color="auto" w:fill="FFFFFF"/>
        </w:rPr>
        <w:t>Policy</w:t>
      </w:r>
      <w:proofErr w:type="gramEnd"/>
      <w:r w:rsidRPr="00EE6B67">
        <w:rPr>
          <w:rFonts w:ascii="Arial" w:hAnsi="Arial" w:cs="Arial"/>
          <w:i/>
          <w:iCs/>
          <w:color w:val="3A3A3A"/>
          <w:shd w:val="clear" w:color="auto" w:fill="FFFFFF"/>
        </w:rPr>
        <w:t xml:space="preserve"> and Practice</w:t>
      </w:r>
      <w:r w:rsidRPr="00EE6B67">
        <w:rPr>
          <w:rFonts w:ascii="Arial" w:hAnsi="Arial" w:cs="Arial"/>
          <w:color w:val="3A3A3A"/>
          <w:shd w:val="clear" w:color="auto" w:fill="FFFFFF"/>
        </w:rPr>
        <w:t>. Second edition. Chicago, IL, USA: Policy Press.</w:t>
      </w:r>
      <w:r w:rsidRPr="00EE6B67">
        <w:rPr>
          <w:rFonts w:ascii="Arial" w:hAnsi="Arial" w:cs="Arial"/>
        </w:rPr>
        <w:t xml:space="preserve"> Available at: </w:t>
      </w:r>
      <w:hyperlink r:id="rId14" w:history="1">
        <w:r w:rsidRPr="00EE6B67">
          <w:rPr>
            <w:rStyle w:val="Hyperlink"/>
            <w:rFonts w:ascii="Arial" w:hAnsi="Arial" w:cs="Arial"/>
          </w:rPr>
          <w:t>https://www-jstor-org.ezproxy.uwtsd.ac.uk/stable/j.ctvq4c0j8.22</w:t>
        </w:r>
      </w:hyperlink>
    </w:p>
    <w:p w14:paraId="283B618A" w14:textId="3C3EDAC9" w:rsidR="00EE6B67" w:rsidRPr="00EE6B67" w:rsidRDefault="00EE6B67" w:rsidP="00EE6B67">
      <w:pPr>
        <w:rPr>
          <w:rFonts w:ascii="Arial" w:hAnsi="Arial" w:cs="Arial"/>
          <w:color w:val="0B0C0C"/>
          <w:shd w:val="clear" w:color="auto" w:fill="FFFFFF"/>
        </w:rPr>
      </w:pPr>
      <w:r w:rsidRPr="00EE6B67">
        <w:rPr>
          <w:rFonts w:ascii="Arial" w:hAnsi="Arial" w:cs="Arial"/>
          <w:color w:val="0B0C0C"/>
          <w:shd w:val="clear" w:color="auto" w:fill="FFFFFF"/>
        </w:rPr>
        <w:t xml:space="preserve">Gov UK (2019) </w:t>
      </w:r>
      <w:r w:rsidRPr="00EE6B67">
        <w:rPr>
          <w:rFonts w:ascii="Arial" w:hAnsi="Arial" w:cs="Arial"/>
          <w:i/>
          <w:iCs/>
          <w:color w:val="0B0C0C"/>
          <w:shd w:val="clear" w:color="auto" w:fill="FFFFFF"/>
        </w:rPr>
        <w:t xml:space="preserve">Serious and Organised Crime Strategy. </w:t>
      </w:r>
      <w:r w:rsidRPr="00EE6B67">
        <w:rPr>
          <w:rFonts w:ascii="Arial" w:hAnsi="Arial" w:cs="Arial"/>
          <w:color w:val="0B0C0C"/>
          <w:shd w:val="clear" w:color="auto" w:fill="FFFFFF"/>
        </w:rPr>
        <w:t xml:space="preserve">Available at: </w:t>
      </w:r>
      <w:hyperlink r:id="rId15" w:history="1">
        <w:r w:rsidRPr="00EE6B67">
          <w:rPr>
            <w:rStyle w:val="Hyperlink"/>
            <w:rFonts w:ascii="Arial" w:hAnsi="Arial" w:cs="Arial"/>
            <w:shd w:val="clear" w:color="auto" w:fill="FFFFFF"/>
          </w:rPr>
          <w:t>https://www.gov.uk/government/collections/serious-and-organised-crime-strategy</w:t>
        </w:r>
      </w:hyperlink>
      <w:r w:rsidRPr="00EE6B67">
        <w:rPr>
          <w:rFonts w:ascii="Arial" w:hAnsi="Arial" w:cs="Arial"/>
          <w:color w:val="0B0C0C"/>
          <w:shd w:val="clear" w:color="auto" w:fill="FFFFFF"/>
        </w:rPr>
        <w:t xml:space="preserve"> (Accessed; 30</w:t>
      </w:r>
      <w:r w:rsidRPr="00EE6B67">
        <w:rPr>
          <w:rFonts w:ascii="Arial" w:hAnsi="Arial" w:cs="Arial"/>
          <w:color w:val="0B0C0C"/>
          <w:shd w:val="clear" w:color="auto" w:fill="FFFFFF"/>
          <w:vertAlign w:val="superscript"/>
        </w:rPr>
        <w:t>th</w:t>
      </w:r>
      <w:r w:rsidRPr="00EE6B67">
        <w:rPr>
          <w:rFonts w:ascii="Arial" w:hAnsi="Arial" w:cs="Arial"/>
          <w:color w:val="0B0C0C"/>
          <w:shd w:val="clear" w:color="auto" w:fill="FFFFFF"/>
        </w:rPr>
        <w:t xml:space="preserve"> August 2024).</w:t>
      </w:r>
    </w:p>
    <w:p w14:paraId="22BAC2E5" w14:textId="77777777" w:rsidR="00EE6B67" w:rsidRPr="00EE6B67" w:rsidRDefault="00EE6B67" w:rsidP="00EE6B67">
      <w:pPr>
        <w:rPr>
          <w:rFonts w:ascii="Arial" w:hAnsi="Arial" w:cs="Arial"/>
          <w:color w:val="0563C1" w:themeColor="hyperlink"/>
          <w:u w:val="single"/>
        </w:rPr>
      </w:pPr>
      <w:r w:rsidRPr="00EE6B67">
        <w:rPr>
          <w:rFonts w:ascii="Arial" w:hAnsi="Arial" w:cs="Arial"/>
          <w:shd w:val="clear" w:color="auto" w:fill="FFFFFF"/>
        </w:rPr>
        <w:t>Hasson, G. and Butler, D. (Donna M. (2020) </w:t>
      </w:r>
      <w:r w:rsidRPr="00EE6B67">
        <w:rPr>
          <w:rFonts w:ascii="Arial" w:hAnsi="Arial" w:cs="Arial"/>
          <w:i/>
          <w:iCs/>
          <w:shd w:val="clear" w:color="auto" w:fill="FFFFFF"/>
        </w:rPr>
        <w:t>Mental health and wellbeing in the workplace : a practical guide for employers and employees</w:t>
      </w:r>
      <w:r w:rsidRPr="00EE6B67">
        <w:rPr>
          <w:rFonts w:ascii="Arial" w:hAnsi="Arial" w:cs="Arial"/>
          <w:shd w:val="clear" w:color="auto" w:fill="FFFFFF"/>
        </w:rPr>
        <w:t>. West Sussex, England: Capstone.</w:t>
      </w:r>
      <w:r w:rsidRPr="00EE6B67">
        <w:rPr>
          <w:rFonts w:ascii="Arial" w:hAnsi="Arial" w:cs="Arial"/>
        </w:rPr>
        <w:t xml:space="preserve"> </w:t>
      </w:r>
      <w:hyperlink r:id="rId16" w:history="1">
        <w:r w:rsidRPr="00EE6B67">
          <w:rPr>
            <w:rStyle w:val="Hyperlink"/>
            <w:rFonts w:ascii="Arial" w:hAnsi="Arial" w:cs="Arial"/>
          </w:rPr>
          <w:t>https://ebookcentral.proquest.com/lib/trinity/reader.action?docID=6173698</w:t>
        </w:r>
      </w:hyperlink>
      <w:r w:rsidRPr="00EE6B67">
        <w:rPr>
          <w:rFonts w:ascii="Arial" w:hAnsi="Arial" w:cs="Arial"/>
          <w:color w:val="0563C1" w:themeColor="hyperlink"/>
          <w:u w:val="single"/>
        </w:rPr>
        <w:t xml:space="preserve"> </w:t>
      </w:r>
      <w:r w:rsidRPr="00EE6B67">
        <w:rPr>
          <w:rFonts w:ascii="Arial" w:hAnsi="Arial" w:cs="Arial"/>
          <w:sz w:val="23"/>
          <w:szCs w:val="23"/>
          <w:shd w:val="clear" w:color="auto" w:fill="FFFFFF"/>
        </w:rPr>
        <w:t>(Accessed: 28</w:t>
      </w:r>
      <w:r w:rsidRPr="00EE6B67">
        <w:rPr>
          <w:rFonts w:ascii="Arial" w:hAnsi="Arial" w:cs="Arial"/>
          <w:sz w:val="23"/>
          <w:szCs w:val="23"/>
          <w:shd w:val="clear" w:color="auto" w:fill="FFFFFF"/>
          <w:vertAlign w:val="superscript"/>
        </w:rPr>
        <w:t>th</w:t>
      </w:r>
      <w:r w:rsidRPr="00EE6B67">
        <w:rPr>
          <w:rFonts w:ascii="Arial" w:hAnsi="Arial" w:cs="Arial"/>
          <w:sz w:val="23"/>
          <w:szCs w:val="23"/>
          <w:shd w:val="clear" w:color="auto" w:fill="FFFFFF"/>
        </w:rPr>
        <w:t xml:space="preserve"> August 2024).</w:t>
      </w:r>
    </w:p>
    <w:p w14:paraId="45BE17BC" w14:textId="77777777" w:rsidR="00EE6B67" w:rsidRPr="00EE6B67" w:rsidRDefault="00EE6B67" w:rsidP="00EE6B67">
      <w:pPr>
        <w:rPr>
          <w:rFonts w:ascii="Arial" w:hAnsi="Arial" w:cs="Arial"/>
        </w:rPr>
      </w:pPr>
      <w:r w:rsidRPr="00EE6B67">
        <w:rPr>
          <w:rFonts w:ascii="Arial" w:hAnsi="Arial" w:cs="Arial"/>
          <w:color w:val="3A3A3A"/>
          <w:shd w:val="clear" w:color="auto" w:fill="FFFFFF"/>
        </w:rPr>
        <w:t>Hobson, J. </w:t>
      </w:r>
      <w:r w:rsidRPr="00EE6B67">
        <w:rPr>
          <w:rFonts w:ascii="Arial" w:hAnsi="Arial" w:cs="Arial"/>
          <w:i/>
          <w:iCs/>
          <w:color w:val="3A3A3A"/>
          <w:shd w:val="clear" w:color="auto" w:fill="FFFFFF"/>
        </w:rPr>
        <w:t>et al.</w:t>
      </w:r>
      <w:r w:rsidRPr="00EE6B67">
        <w:rPr>
          <w:rFonts w:ascii="Arial" w:hAnsi="Arial" w:cs="Arial"/>
          <w:color w:val="3A3A3A"/>
          <w:shd w:val="clear" w:color="auto" w:fill="FFFFFF"/>
        </w:rPr>
        <w:t> (2021) ‘Are Police-Led Social Crime Prevention Initiatives Effective? A Process and Outcome Evaluation of a UK Youth Intervention’, </w:t>
      </w:r>
      <w:r w:rsidRPr="00EE6B67">
        <w:rPr>
          <w:rFonts w:ascii="Arial" w:hAnsi="Arial" w:cs="Arial"/>
          <w:i/>
          <w:iCs/>
          <w:color w:val="3A3A3A"/>
          <w:shd w:val="clear" w:color="auto" w:fill="FFFFFF"/>
        </w:rPr>
        <w:t>International criminal justice review</w:t>
      </w:r>
      <w:r w:rsidRPr="00EE6B67">
        <w:rPr>
          <w:rFonts w:ascii="Arial" w:hAnsi="Arial" w:cs="Arial"/>
          <w:color w:val="3A3A3A"/>
          <w:shd w:val="clear" w:color="auto" w:fill="FFFFFF"/>
        </w:rPr>
        <w:t xml:space="preserve">, 31(3), pp. 325–346. </w:t>
      </w:r>
      <w:hyperlink r:id="rId17" w:history="1">
        <w:r w:rsidRPr="00EE6B67">
          <w:rPr>
            <w:rStyle w:val="Hyperlink"/>
            <w:rFonts w:ascii="Arial" w:hAnsi="Arial" w:cs="Arial"/>
          </w:rPr>
          <w:t>https://journals-sagepub-com.ezproxy.uwtsd.ac.uk/doi/full/10.1177/1057567718814891</w:t>
        </w:r>
      </w:hyperlink>
    </w:p>
    <w:p w14:paraId="5C279B57" w14:textId="50E7ACE0" w:rsidR="00EE6B67" w:rsidRPr="00EE6B67" w:rsidRDefault="00EE6B67" w:rsidP="00EE6B67">
      <w:pPr>
        <w:rPr>
          <w:rFonts w:ascii="Arial" w:hAnsi="Arial" w:cs="Arial"/>
          <w:color w:val="000000"/>
          <w:shd w:val="clear" w:color="auto" w:fill="FFFFFF"/>
        </w:rPr>
      </w:pPr>
      <w:r w:rsidRPr="00B423C8">
        <w:rPr>
          <w:rFonts w:ascii="Arial" w:hAnsi="Arial" w:cs="Arial"/>
          <w:shd w:val="clear" w:color="auto" w:fill="FFFFFF"/>
        </w:rPr>
        <w:t>HM Government</w:t>
      </w:r>
      <w:r w:rsidRPr="00EE6B67">
        <w:rPr>
          <w:rFonts w:ascii="Arial" w:hAnsi="Arial" w:cs="Arial"/>
          <w:color w:val="474747"/>
          <w:shd w:val="clear" w:color="auto" w:fill="FFFFFF"/>
        </w:rPr>
        <w:t xml:space="preserve"> (2015) </w:t>
      </w:r>
      <w:r w:rsidRPr="00EE6B67">
        <w:rPr>
          <w:rFonts w:ascii="Arial" w:hAnsi="Arial" w:cs="Arial"/>
          <w:i/>
          <w:iCs/>
          <w:color w:val="474747"/>
          <w:shd w:val="clear" w:color="auto" w:fill="FFFFFF"/>
        </w:rPr>
        <w:t>Individuals at risk of being drawn into Serious and Organised Crime – a Prevent Guide</w:t>
      </w:r>
      <w:r w:rsidRPr="00EE6B67">
        <w:rPr>
          <w:rFonts w:ascii="Arial" w:hAnsi="Arial" w:cs="Arial"/>
          <w:color w:val="474747"/>
          <w:shd w:val="clear" w:color="auto" w:fill="FFFFFF"/>
        </w:rPr>
        <w:t xml:space="preserve">. Available at: </w:t>
      </w:r>
      <w:hyperlink r:id="rId18" w:history="1">
        <w:r w:rsidRPr="00EE6B67">
          <w:rPr>
            <w:rStyle w:val="Hyperlink"/>
            <w:rFonts w:ascii="Arial" w:hAnsi="Arial" w:cs="Arial"/>
            <w:shd w:val="clear" w:color="auto" w:fill="FFFFFF"/>
          </w:rPr>
          <w:t>https://assets.publishing.service.gov.uk/media/5a808e9eed915d74e33fb1b1/6_162_HO_SOC_PI_Guidance_Mar2015_v10_FINAL_270215_WEB__2_.pdf</w:t>
        </w:r>
      </w:hyperlink>
      <w:r w:rsidRPr="00EE6B67">
        <w:rPr>
          <w:rFonts w:ascii="Arial" w:hAnsi="Arial" w:cs="Arial"/>
          <w:color w:val="474747"/>
          <w:shd w:val="clear" w:color="auto" w:fill="FFFFFF"/>
        </w:rPr>
        <w:t xml:space="preserve"> (Accessed: 31</w:t>
      </w:r>
      <w:r w:rsidRPr="00EE6B67">
        <w:rPr>
          <w:rFonts w:ascii="Arial" w:hAnsi="Arial" w:cs="Arial"/>
          <w:color w:val="474747"/>
          <w:shd w:val="clear" w:color="auto" w:fill="FFFFFF"/>
          <w:vertAlign w:val="superscript"/>
        </w:rPr>
        <w:t>st</w:t>
      </w:r>
      <w:r w:rsidRPr="00EE6B67">
        <w:rPr>
          <w:rFonts w:ascii="Arial" w:hAnsi="Arial" w:cs="Arial"/>
          <w:color w:val="474747"/>
          <w:shd w:val="clear" w:color="auto" w:fill="FFFFFF"/>
        </w:rPr>
        <w:t xml:space="preserve"> August 2024).</w:t>
      </w:r>
    </w:p>
    <w:p w14:paraId="0ACFF94B" w14:textId="77777777" w:rsidR="00EE6B67" w:rsidRPr="00EE6B67" w:rsidRDefault="00EE6B67" w:rsidP="00EE6B67">
      <w:pPr>
        <w:rPr>
          <w:rFonts w:ascii="Arial" w:hAnsi="Arial" w:cs="Arial"/>
          <w:color w:val="1F1F1F"/>
          <w:shd w:val="clear" w:color="auto" w:fill="FFFFFF"/>
        </w:rPr>
      </w:pPr>
      <w:r w:rsidRPr="00EE6B67">
        <w:rPr>
          <w:rFonts w:ascii="Arial" w:hAnsi="Arial" w:cs="Arial"/>
          <w:color w:val="1F1F1F"/>
          <w:shd w:val="clear" w:color="auto" w:fill="FFFFFF"/>
        </w:rPr>
        <w:t xml:space="preserve">HMICFRS (2023) </w:t>
      </w:r>
      <w:r w:rsidRPr="00EE6B67">
        <w:rPr>
          <w:rFonts w:ascii="Arial" w:hAnsi="Arial" w:cs="Arial"/>
          <w:i/>
          <w:iCs/>
          <w:color w:val="1F1F1F"/>
          <w:shd w:val="clear" w:color="auto" w:fill="FFFFFF"/>
        </w:rPr>
        <w:t xml:space="preserve">Glossary – Public Protection. </w:t>
      </w:r>
      <w:r w:rsidRPr="00EE6B67">
        <w:rPr>
          <w:rFonts w:ascii="Arial" w:hAnsi="Arial" w:cs="Arial"/>
          <w:color w:val="1F1F1F"/>
          <w:shd w:val="clear" w:color="auto" w:fill="FFFFFF"/>
        </w:rPr>
        <w:t xml:space="preserve">Available at: </w:t>
      </w:r>
      <w:hyperlink r:id="rId19" w:anchor=":~:text=The%20section%20of%20a%20police,Last%20updated%3A%2029%20March%202023" w:history="1">
        <w:r w:rsidRPr="00EE6B67">
          <w:rPr>
            <w:rStyle w:val="Hyperlink"/>
            <w:rFonts w:ascii="Arial" w:hAnsi="Arial" w:cs="Arial"/>
            <w:shd w:val="clear" w:color="auto" w:fill="FFFFFF"/>
          </w:rPr>
          <w:t>https://hmicfrs.justiceinspectorates.gov.uk/glossary/public-protection-unit/#:~:text=The%20section%20of%20a%20police,Last%20updated%3A%2029%20March%202023</w:t>
        </w:r>
      </w:hyperlink>
      <w:r w:rsidRPr="00EE6B67">
        <w:rPr>
          <w:rFonts w:ascii="Arial" w:hAnsi="Arial" w:cs="Arial"/>
          <w:color w:val="1F1F1F"/>
          <w:shd w:val="clear" w:color="auto" w:fill="FFFFFF"/>
        </w:rPr>
        <w:t xml:space="preserve"> (Accessed: 31</w:t>
      </w:r>
      <w:r w:rsidRPr="00EE6B67">
        <w:rPr>
          <w:rFonts w:ascii="Arial" w:hAnsi="Arial" w:cs="Arial"/>
          <w:color w:val="1F1F1F"/>
          <w:shd w:val="clear" w:color="auto" w:fill="FFFFFF"/>
          <w:vertAlign w:val="superscript"/>
        </w:rPr>
        <w:t>st</w:t>
      </w:r>
      <w:r w:rsidRPr="00EE6B67">
        <w:rPr>
          <w:rFonts w:ascii="Arial" w:hAnsi="Arial" w:cs="Arial"/>
          <w:color w:val="1F1F1F"/>
          <w:shd w:val="clear" w:color="auto" w:fill="FFFFFF"/>
        </w:rPr>
        <w:t xml:space="preserve"> August 2024)</w:t>
      </w:r>
    </w:p>
    <w:p w14:paraId="52014E6C" w14:textId="77777777" w:rsidR="00EE6B67" w:rsidRPr="00EE6B67" w:rsidRDefault="00EE6B67" w:rsidP="00EE6B67">
      <w:pPr>
        <w:rPr>
          <w:rFonts w:ascii="Arial" w:hAnsi="Arial" w:cs="Arial"/>
        </w:rPr>
      </w:pPr>
      <w:r w:rsidRPr="00EE6B67">
        <w:rPr>
          <w:rFonts w:ascii="Arial" w:hAnsi="Arial" w:cs="Arial"/>
        </w:rPr>
        <w:t xml:space="preserve">Lowe, M. et al. (2015) </w:t>
      </w:r>
      <w:r w:rsidRPr="00EE6B67">
        <w:rPr>
          <w:rFonts w:ascii="Arial" w:hAnsi="Arial" w:cs="Arial"/>
          <w:i/>
          <w:iCs/>
        </w:rPr>
        <w:t>Predictors of engagement with support services in a sample of UK victims of violent crime</w:t>
      </w:r>
      <w:r w:rsidRPr="00EE6B67">
        <w:rPr>
          <w:rFonts w:ascii="Arial" w:hAnsi="Arial" w:cs="Arial"/>
        </w:rPr>
        <w:t xml:space="preserve">. Available at: </w:t>
      </w:r>
      <w:hyperlink r:id="rId20" w:history="1">
        <w:r w:rsidRPr="00EE6B67">
          <w:rPr>
            <w:rStyle w:val="Hyperlink"/>
            <w:rFonts w:ascii="Arial" w:hAnsi="Arial" w:cs="Arial"/>
          </w:rPr>
          <w:t>https://e-space.mmu.ac.uk/629734/1/Lowe%20et%20al%202016%20Predictors%20of%20engagement.pdf</w:t>
        </w:r>
      </w:hyperlink>
      <w:r w:rsidRPr="00EE6B67">
        <w:rPr>
          <w:rFonts w:ascii="Arial" w:hAnsi="Arial" w:cs="Arial"/>
        </w:rPr>
        <w:t xml:space="preserve"> (Accessed: 31</w:t>
      </w:r>
      <w:r w:rsidRPr="00EE6B67">
        <w:rPr>
          <w:rFonts w:ascii="Arial" w:hAnsi="Arial" w:cs="Arial"/>
          <w:vertAlign w:val="superscript"/>
        </w:rPr>
        <w:t>st</w:t>
      </w:r>
      <w:r w:rsidRPr="00EE6B67">
        <w:rPr>
          <w:rFonts w:ascii="Arial" w:hAnsi="Arial" w:cs="Arial"/>
        </w:rPr>
        <w:t xml:space="preserve"> August 2024).</w:t>
      </w:r>
    </w:p>
    <w:p w14:paraId="4EADF7A9" w14:textId="77777777" w:rsidR="00EE6B67" w:rsidRPr="00EE6B67" w:rsidRDefault="00EE6B67" w:rsidP="00EE6B67">
      <w:pPr>
        <w:rPr>
          <w:rFonts w:ascii="Arial" w:hAnsi="Arial" w:cs="Arial"/>
        </w:rPr>
      </w:pPr>
      <w:r w:rsidRPr="00EE6B67">
        <w:rPr>
          <w:rFonts w:ascii="Arial" w:hAnsi="Arial" w:cs="Arial"/>
        </w:rPr>
        <w:lastRenderedPageBreak/>
        <w:t xml:space="preserve">Mental Health Foundation (2015) </w:t>
      </w:r>
      <w:r w:rsidRPr="00EE6B67">
        <w:rPr>
          <w:rFonts w:ascii="Arial" w:hAnsi="Arial" w:cs="Arial"/>
          <w:i/>
          <w:iCs/>
        </w:rPr>
        <w:t>What is wellbeing, how can we measure it and how can we support people to improve it?</w:t>
      </w:r>
      <w:r w:rsidRPr="00EE6B67">
        <w:rPr>
          <w:rFonts w:ascii="Arial" w:hAnsi="Arial" w:cs="Arial"/>
        </w:rPr>
        <w:t xml:space="preserve"> Available at </w:t>
      </w:r>
      <w:hyperlink r:id="rId21" w:history="1">
        <w:r w:rsidRPr="00EE6B67">
          <w:rPr>
            <w:rStyle w:val="Hyperlink"/>
            <w:rFonts w:ascii="Arial" w:hAnsi="Arial" w:cs="Arial"/>
          </w:rPr>
          <w:t>https://www.mentalhealth.org.uk/explore-mental-health/blogs/what-well-being-how-can-we-measure-it-and-how-can-we-support-people-improve-it</w:t>
        </w:r>
      </w:hyperlink>
      <w:r w:rsidRPr="00EE6B67">
        <w:rPr>
          <w:rFonts w:ascii="Arial" w:hAnsi="Arial" w:cs="Arial"/>
        </w:rPr>
        <w:t xml:space="preserve"> (Accessed: 28th August 2024).</w:t>
      </w:r>
    </w:p>
    <w:p w14:paraId="23B07F28" w14:textId="77777777" w:rsidR="00EE6B67" w:rsidRPr="00EE6B67" w:rsidRDefault="00EE6B67" w:rsidP="00EE6B67">
      <w:pPr>
        <w:rPr>
          <w:rFonts w:ascii="Arial" w:hAnsi="Arial" w:cs="Arial"/>
        </w:rPr>
      </w:pPr>
      <w:r w:rsidRPr="00EE6B67">
        <w:rPr>
          <w:rFonts w:ascii="Arial" w:hAnsi="Arial" w:cs="Arial"/>
        </w:rPr>
        <w:t xml:space="preserve">Mind.org (2023) </w:t>
      </w:r>
      <w:r w:rsidRPr="00EE6B67">
        <w:rPr>
          <w:rFonts w:ascii="Arial" w:hAnsi="Arial" w:cs="Arial"/>
          <w:i/>
          <w:iCs/>
        </w:rPr>
        <w:t>How to improve your mental wellbeing</w:t>
      </w:r>
      <w:r w:rsidRPr="00EE6B67">
        <w:rPr>
          <w:rFonts w:ascii="Arial" w:hAnsi="Arial" w:cs="Arial"/>
        </w:rPr>
        <w:t xml:space="preserve">. Available at: </w:t>
      </w:r>
      <w:hyperlink r:id="rId22" w:history="1">
        <w:r w:rsidRPr="00EE6B67">
          <w:rPr>
            <w:rStyle w:val="Hyperlink"/>
            <w:rFonts w:ascii="Arial" w:hAnsi="Arial" w:cs="Arial"/>
          </w:rPr>
          <w:t>https://www.mind.org.uk/information-support/tips-for-everyday-living/wellbeing/</w:t>
        </w:r>
      </w:hyperlink>
      <w:r w:rsidRPr="00EE6B67">
        <w:rPr>
          <w:rFonts w:ascii="Arial" w:hAnsi="Arial" w:cs="Arial"/>
        </w:rPr>
        <w:t xml:space="preserve"> (Accessed: 28</w:t>
      </w:r>
      <w:r w:rsidRPr="00EE6B67">
        <w:rPr>
          <w:rFonts w:ascii="Arial" w:hAnsi="Arial" w:cs="Arial"/>
          <w:vertAlign w:val="superscript"/>
        </w:rPr>
        <w:t>th</w:t>
      </w:r>
      <w:r w:rsidRPr="00EE6B67">
        <w:rPr>
          <w:rFonts w:ascii="Arial" w:hAnsi="Arial" w:cs="Arial"/>
        </w:rPr>
        <w:t xml:space="preserve"> August 2024)</w:t>
      </w:r>
    </w:p>
    <w:p w14:paraId="3E148125" w14:textId="47EB2365" w:rsidR="00EE6B67" w:rsidRDefault="00EE6B67" w:rsidP="00246498">
      <w:pPr>
        <w:rPr>
          <w:rFonts w:ascii="Arial" w:hAnsi="Arial" w:cs="Arial"/>
        </w:rPr>
      </w:pPr>
      <w:r w:rsidRPr="00EE6B67">
        <w:rPr>
          <w:rFonts w:ascii="Arial" w:hAnsi="Arial" w:cs="Arial"/>
        </w:rPr>
        <w:t xml:space="preserve">Police Federation (2017) </w:t>
      </w:r>
      <w:r w:rsidRPr="00EE6B67">
        <w:rPr>
          <w:rFonts w:ascii="Arial" w:hAnsi="Arial" w:cs="Arial"/>
          <w:i/>
          <w:iCs/>
        </w:rPr>
        <w:t xml:space="preserve">Volume Crime. </w:t>
      </w:r>
      <w:r w:rsidRPr="00EE6B67">
        <w:rPr>
          <w:rFonts w:ascii="Arial" w:hAnsi="Arial" w:cs="Arial"/>
        </w:rPr>
        <w:t xml:space="preserve">Available at: </w:t>
      </w:r>
      <w:hyperlink r:id="rId23" w:history="1">
        <w:r w:rsidRPr="00EE6B67">
          <w:rPr>
            <w:rStyle w:val="Hyperlink"/>
            <w:rFonts w:ascii="Arial" w:hAnsi="Arial" w:cs="Arial"/>
          </w:rPr>
          <w:t>https://www.polfed.org/media/13796/pfew_policy_-_volume_crime_-_march_2017_v2.pdf</w:t>
        </w:r>
      </w:hyperlink>
      <w:r w:rsidRPr="00EE6B67">
        <w:rPr>
          <w:rFonts w:ascii="Arial" w:hAnsi="Arial" w:cs="Arial"/>
        </w:rPr>
        <w:t xml:space="preserve"> (Accessed: 26</w:t>
      </w:r>
      <w:r w:rsidRPr="00EE6B67">
        <w:rPr>
          <w:rFonts w:ascii="Arial" w:hAnsi="Arial" w:cs="Arial"/>
          <w:vertAlign w:val="superscript"/>
        </w:rPr>
        <w:t>th</w:t>
      </w:r>
      <w:r w:rsidRPr="00EE6B67">
        <w:rPr>
          <w:rFonts w:ascii="Arial" w:hAnsi="Arial" w:cs="Arial"/>
        </w:rPr>
        <w:t xml:space="preserve"> August 2024).</w:t>
      </w:r>
    </w:p>
    <w:p w14:paraId="0F4483E4" w14:textId="359FD444" w:rsidR="00CC1869" w:rsidRDefault="00246498" w:rsidP="00246498">
      <w:pPr>
        <w:rPr>
          <w:rFonts w:ascii="Arial" w:hAnsi="Arial" w:cs="Arial"/>
        </w:rPr>
      </w:pPr>
      <w:proofErr w:type="spellStart"/>
      <w:r w:rsidRPr="00EE6B67">
        <w:rPr>
          <w:rFonts w:ascii="Arial" w:hAnsi="Arial" w:cs="Arial"/>
          <w:color w:val="3A3A3A"/>
          <w:shd w:val="clear" w:color="auto" w:fill="FFFFFF"/>
        </w:rPr>
        <w:t>Palaniappan</w:t>
      </w:r>
      <w:proofErr w:type="spellEnd"/>
      <w:r w:rsidRPr="00EE6B67">
        <w:rPr>
          <w:rFonts w:ascii="Arial" w:hAnsi="Arial" w:cs="Arial"/>
          <w:color w:val="3A3A3A"/>
          <w:shd w:val="clear" w:color="auto" w:fill="FFFFFF"/>
        </w:rPr>
        <w:t>, K. (ed.) (2023) </w:t>
      </w:r>
      <w:r w:rsidRPr="00EE6B67">
        <w:rPr>
          <w:rFonts w:ascii="Arial" w:hAnsi="Arial" w:cs="Arial"/>
          <w:i/>
          <w:iCs/>
          <w:color w:val="3A3A3A"/>
          <w:shd w:val="clear" w:color="auto" w:fill="FFFFFF"/>
        </w:rPr>
        <w:t>Identifying occupational stress and coping strategies</w:t>
      </w:r>
      <w:r w:rsidRPr="00EE6B67">
        <w:rPr>
          <w:rFonts w:ascii="Arial" w:hAnsi="Arial" w:cs="Arial"/>
          <w:color w:val="3A3A3A"/>
          <w:shd w:val="clear" w:color="auto" w:fill="FFFFFF"/>
        </w:rPr>
        <w:t xml:space="preserve">. London: </w:t>
      </w:r>
      <w:proofErr w:type="spellStart"/>
      <w:r w:rsidRPr="00EE6B67">
        <w:rPr>
          <w:rFonts w:ascii="Arial" w:hAnsi="Arial" w:cs="Arial"/>
          <w:color w:val="3A3A3A"/>
          <w:shd w:val="clear" w:color="auto" w:fill="FFFFFF"/>
        </w:rPr>
        <w:t>IntechOpen</w:t>
      </w:r>
      <w:proofErr w:type="spellEnd"/>
      <w:r w:rsidRPr="00EE6B67">
        <w:rPr>
          <w:rFonts w:ascii="Arial" w:hAnsi="Arial" w:cs="Arial"/>
          <w:color w:val="3A3A3A"/>
          <w:shd w:val="clear" w:color="auto" w:fill="FFFFFF"/>
        </w:rPr>
        <w:t xml:space="preserve">. Available at: </w:t>
      </w:r>
      <w:hyperlink r:id="rId24" w:history="1">
        <w:r w:rsidRPr="00EE6B67">
          <w:rPr>
            <w:rStyle w:val="Hyperlink"/>
            <w:rFonts w:ascii="Arial" w:hAnsi="Arial" w:cs="Arial"/>
          </w:rPr>
          <w:t>https://www.intechopen.com/chapters/84902</w:t>
        </w:r>
      </w:hyperlink>
      <w:r w:rsidR="00CC1869" w:rsidRPr="00EE6B67">
        <w:rPr>
          <w:rStyle w:val="Hyperlink"/>
          <w:rFonts w:ascii="Arial" w:hAnsi="Arial" w:cs="Arial"/>
        </w:rPr>
        <w:t xml:space="preserve"> </w:t>
      </w:r>
      <w:r w:rsidR="00CC1869" w:rsidRPr="00EE6B67">
        <w:rPr>
          <w:rFonts w:ascii="Arial" w:hAnsi="Arial" w:cs="Arial"/>
        </w:rPr>
        <w:t>(Accessed: 28</w:t>
      </w:r>
      <w:r w:rsidR="00CC1869" w:rsidRPr="00EE6B67">
        <w:rPr>
          <w:rFonts w:ascii="Arial" w:hAnsi="Arial" w:cs="Arial"/>
          <w:vertAlign w:val="superscript"/>
        </w:rPr>
        <w:t>th</w:t>
      </w:r>
      <w:r w:rsidR="00CC1869" w:rsidRPr="00EE6B67">
        <w:rPr>
          <w:rFonts w:ascii="Arial" w:hAnsi="Arial" w:cs="Arial"/>
        </w:rPr>
        <w:t xml:space="preserve"> August 2024)</w:t>
      </w:r>
    </w:p>
    <w:p w14:paraId="43784379" w14:textId="77777777" w:rsidR="00EE6B67" w:rsidRPr="00EE6B67" w:rsidRDefault="00EE6B67" w:rsidP="00EE6B67">
      <w:pPr>
        <w:rPr>
          <w:rFonts w:ascii="Arial" w:hAnsi="Arial" w:cs="Arial"/>
          <w:color w:val="222222"/>
          <w:shd w:val="clear" w:color="auto" w:fill="FFFFFF"/>
        </w:rPr>
      </w:pPr>
      <w:proofErr w:type="spellStart"/>
      <w:r w:rsidRPr="00EE6B67">
        <w:rPr>
          <w:rFonts w:ascii="Arial" w:hAnsi="Arial" w:cs="Arial"/>
          <w:color w:val="222222"/>
          <w:shd w:val="clear" w:color="auto" w:fill="FFFFFF"/>
        </w:rPr>
        <w:t>Pohling</w:t>
      </w:r>
      <w:proofErr w:type="spellEnd"/>
      <w:r w:rsidRPr="00EE6B67">
        <w:rPr>
          <w:rFonts w:ascii="Arial" w:hAnsi="Arial" w:cs="Arial"/>
          <w:color w:val="222222"/>
          <w:shd w:val="clear" w:color="auto" w:fill="FFFFFF"/>
        </w:rPr>
        <w:t xml:space="preserve">, R., et al. (2016) </w:t>
      </w:r>
      <w:r w:rsidRPr="00EE6B67">
        <w:rPr>
          <w:rFonts w:ascii="Arial" w:hAnsi="Arial" w:cs="Arial"/>
          <w:i/>
          <w:iCs/>
          <w:color w:val="222222"/>
          <w:shd w:val="clear" w:color="auto" w:fill="FFFFFF"/>
        </w:rPr>
        <w:t xml:space="preserve">What is Ethical Competence? The Role of Empathy, Personal Values, and the Five Factor Model of Personality in Ethical Decision-Making. </w:t>
      </w:r>
      <w:r w:rsidRPr="00EE6B67">
        <w:rPr>
          <w:rFonts w:ascii="Arial" w:hAnsi="Arial" w:cs="Arial"/>
          <w:color w:val="222222"/>
          <w:shd w:val="clear" w:color="auto" w:fill="FFFFFF"/>
        </w:rPr>
        <w:t xml:space="preserve">Available at: </w:t>
      </w:r>
      <w:hyperlink r:id="rId25" w:history="1">
        <w:r w:rsidRPr="00EE6B67">
          <w:rPr>
            <w:rStyle w:val="Hyperlink"/>
            <w:rFonts w:ascii="Arial" w:hAnsi="Arial" w:cs="Arial"/>
            <w:shd w:val="clear" w:color="auto" w:fill="FFFFFF"/>
          </w:rPr>
          <w:t>https://link.springer.com/article/10.1007/s10551-015-2569-5</w:t>
        </w:r>
      </w:hyperlink>
      <w:r w:rsidRPr="00EE6B67">
        <w:rPr>
          <w:rFonts w:ascii="Arial" w:hAnsi="Arial" w:cs="Arial"/>
          <w:color w:val="222222"/>
          <w:shd w:val="clear" w:color="auto" w:fill="FFFFFF"/>
        </w:rPr>
        <w:t xml:space="preserve"> (Accessed: 26</w:t>
      </w:r>
      <w:r w:rsidRPr="00EE6B67">
        <w:rPr>
          <w:rFonts w:ascii="Arial" w:hAnsi="Arial" w:cs="Arial"/>
          <w:color w:val="222222"/>
          <w:shd w:val="clear" w:color="auto" w:fill="FFFFFF"/>
          <w:vertAlign w:val="superscript"/>
        </w:rPr>
        <w:t>th</w:t>
      </w:r>
      <w:r w:rsidRPr="00EE6B67">
        <w:rPr>
          <w:rFonts w:ascii="Arial" w:hAnsi="Arial" w:cs="Arial"/>
          <w:color w:val="222222"/>
          <w:shd w:val="clear" w:color="auto" w:fill="FFFFFF"/>
        </w:rPr>
        <w:t xml:space="preserve"> August 2024).</w:t>
      </w:r>
    </w:p>
    <w:p w14:paraId="6356A8EE" w14:textId="4F9F0DB8" w:rsidR="00246498" w:rsidRPr="00EE6B67" w:rsidRDefault="00246498" w:rsidP="00246498">
      <w:pPr>
        <w:rPr>
          <w:rFonts w:ascii="Arial" w:hAnsi="Arial" w:cs="Arial"/>
          <w:color w:val="1F1F1F"/>
          <w:shd w:val="clear" w:color="auto" w:fill="FFFFFF"/>
        </w:rPr>
      </w:pPr>
      <w:r w:rsidRPr="00EE6B67">
        <w:rPr>
          <w:rFonts w:ascii="Arial" w:hAnsi="Arial" w:cs="Arial"/>
          <w:color w:val="1F1F1F"/>
          <w:shd w:val="clear" w:color="auto" w:fill="FFFFFF"/>
        </w:rPr>
        <w:t xml:space="preserve">The Council of Europe (2016) </w:t>
      </w:r>
      <w:r w:rsidRPr="00EE6B67">
        <w:rPr>
          <w:rFonts w:ascii="Arial" w:hAnsi="Arial" w:cs="Arial"/>
          <w:i/>
          <w:iCs/>
          <w:color w:val="1F1F1F"/>
          <w:shd w:val="clear" w:color="auto" w:fill="FFFFFF"/>
        </w:rPr>
        <w:t xml:space="preserve">Effective Investigation. </w:t>
      </w:r>
      <w:r w:rsidRPr="00EE6B67">
        <w:rPr>
          <w:rFonts w:ascii="Arial" w:hAnsi="Arial" w:cs="Arial"/>
          <w:color w:val="1F1F1F"/>
          <w:shd w:val="clear" w:color="auto" w:fill="FFFFFF"/>
        </w:rPr>
        <w:t xml:space="preserve">Available at: </w:t>
      </w:r>
      <w:hyperlink r:id="rId26" w:anchor=":~:text=Investigations%20must%20be%20effective%20in,appropriate%2C%20punishment%20of%20those%20responsible" w:history="1">
        <w:r w:rsidRPr="00EE6B67">
          <w:rPr>
            <w:rStyle w:val="Hyperlink"/>
            <w:rFonts w:ascii="Arial" w:hAnsi="Arial" w:cs="Arial"/>
            <w:shd w:val="clear" w:color="auto" w:fill="FFFFFF"/>
          </w:rPr>
          <w:t>https://www.coe.int/en/web/freedom-expression/effective-investigation-stemming-impunity#:~:text=Investigations%20must%20be%20effective%20in,appropriate%2C%20punishment%20of%20those%20responsible</w:t>
        </w:r>
      </w:hyperlink>
      <w:r w:rsidRPr="00EE6B67">
        <w:rPr>
          <w:rFonts w:ascii="Arial" w:hAnsi="Arial" w:cs="Arial"/>
          <w:color w:val="1F1F1F"/>
          <w:shd w:val="clear" w:color="auto" w:fill="FFFFFF"/>
        </w:rPr>
        <w:t>. (Accessed: 26</w:t>
      </w:r>
      <w:r w:rsidRPr="00EE6B67">
        <w:rPr>
          <w:rFonts w:ascii="Arial" w:hAnsi="Arial" w:cs="Arial"/>
          <w:color w:val="1F1F1F"/>
          <w:shd w:val="clear" w:color="auto" w:fill="FFFFFF"/>
          <w:vertAlign w:val="superscript"/>
        </w:rPr>
        <w:t>th</w:t>
      </w:r>
      <w:r w:rsidRPr="00EE6B67">
        <w:rPr>
          <w:rFonts w:ascii="Arial" w:hAnsi="Arial" w:cs="Arial"/>
          <w:color w:val="1F1F1F"/>
          <w:shd w:val="clear" w:color="auto" w:fill="FFFFFF"/>
        </w:rPr>
        <w:t xml:space="preserve"> August 2024).</w:t>
      </w:r>
    </w:p>
    <w:p w14:paraId="674755D8" w14:textId="77777777" w:rsidR="00246498" w:rsidRPr="00EE6B67" w:rsidRDefault="00246498" w:rsidP="00246498">
      <w:pPr>
        <w:rPr>
          <w:rFonts w:ascii="Arial" w:hAnsi="Arial" w:cs="Arial"/>
          <w:color w:val="212B32"/>
          <w:shd w:val="clear" w:color="auto" w:fill="FEFEFE"/>
        </w:rPr>
      </w:pPr>
      <w:r w:rsidRPr="00EE6B67">
        <w:rPr>
          <w:rFonts w:ascii="Arial" w:hAnsi="Arial" w:cs="Arial"/>
          <w:color w:val="212B32"/>
          <w:shd w:val="clear" w:color="auto" w:fill="FEFEFE"/>
        </w:rPr>
        <w:t>West Somerset Healthcare (2024)</w:t>
      </w:r>
      <w:r w:rsidRPr="00EE6B67">
        <w:rPr>
          <w:rFonts w:ascii="Arial" w:hAnsi="Arial" w:cs="Arial"/>
          <w:i/>
          <w:iCs/>
          <w:color w:val="212B32"/>
          <w:shd w:val="clear" w:color="auto" w:fill="FEFEFE"/>
        </w:rPr>
        <w:t xml:space="preserve"> Protecting Vulnerable People</w:t>
      </w:r>
      <w:r w:rsidRPr="00EE6B67">
        <w:rPr>
          <w:rFonts w:ascii="Arial" w:hAnsi="Arial" w:cs="Arial"/>
          <w:color w:val="212B32"/>
          <w:shd w:val="clear" w:color="auto" w:fill="FEFEFE"/>
        </w:rPr>
        <w:t xml:space="preserve">. Available at: </w:t>
      </w:r>
      <w:hyperlink r:id="rId27" w:history="1">
        <w:r w:rsidRPr="00EE6B67">
          <w:rPr>
            <w:rStyle w:val="Hyperlink"/>
            <w:rFonts w:ascii="Arial" w:hAnsi="Arial" w:cs="Arial"/>
            <w:shd w:val="clear" w:color="auto" w:fill="FEFEFE"/>
          </w:rPr>
          <w:t>https://www.westsomersethealthcare.co.uk/protecting-vulnerable-people</w:t>
        </w:r>
      </w:hyperlink>
      <w:r w:rsidRPr="00EE6B67">
        <w:rPr>
          <w:rFonts w:ascii="Arial" w:hAnsi="Arial" w:cs="Arial"/>
          <w:color w:val="212B32"/>
          <w:shd w:val="clear" w:color="auto" w:fill="FEFEFE"/>
        </w:rPr>
        <w:t xml:space="preserve"> (Accessed 31</w:t>
      </w:r>
      <w:r w:rsidRPr="00EE6B67">
        <w:rPr>
          <w:rFonts w:ascii="Arial" w:hAnsi="Arial" w:cs="Arial"/>
          <w:color w:val="212B32"/>
          <w:shd w:val="clear" w:color="auto" w:fill="FEFEFE"/>
          <w:vertAlign w:val="superscript"/>
        </w:rPr>
        <w:t>st</w:t>
      </w:r>
      <w:r w:rsidRPr="00EE6B67">
        <w:rPr>
          <w:rFonts w:ascii="Arial" w:hAnsi="Arial" w:cs="Arial"/>
          <w:color w:val="212B32"/>
          <w:shd w:val="clear" w:color="auto" w:fill="FEFEFE"/>
        </w:rPr>
        <w:t xml:space="preserve"> August 2024).</w:t>
      </w:r>
    </w:p>
    <w:p w14:paraId="68CEEE23" w14:textId="2912DD80" w:rsidR="005E367E" w:rsidRPr="00EE6B67" w:rsidRDefault="00FD3F44" w:rsidP="00FD3F44">
      <w:pPr>
        <w:rPr>
          <w:rFonts w:ascii="Arial" w:hAnsi="Arial" w:cs="Arial"/>
          <w:color w:val="0563C1" w:themeColor="hyperlink"/>
          <w:u w:val="single"/>
        </w:rPr>
      </w:pPr>
      <w:r w:rsidRPr="00EE6B67">
        <w:rPr>
          <w:rFonts w:ascii="Arial" w:hAnsi="Arial" w:cs="Arial"/>
        </w:rPr>
        <w:t xml:space="preserve">Youth Justice Statistics: 2022 to 2023. January 2024. GOV.UK </w:t>
      </w:r>
      <w:hyperlink r:id="rId28" w:history="1">
        <w:r w:rsidRPr="00EE6B67">
          <w:rPr>
            <w:rStyle w:val="Hyperlink"/>
            <w:rFonts w:ascii="Arial" w:hAnsi="Arial" w:cs="Arial"/>
          </w:rPr>
          <w:t>https://www.gov.uk/government/statistics/youth-justice-statistics-2022-to-2023/youth-justice-statistics-2022-to-2023-accessible-version</w:t>
        </w:r>
      </w:hyperlink>
    </w:p>
    <w:p w14:paraId="24582259" w14:textId="77777777" w:rsidR="00FD3F44" w:rsidRPr="00246498" w:rsidRDefault="00FD3F44" w:rsidP="00246498">
      <w:pPr>
        <w:rPr>
          <w:rFonts w:cstheme="minorHAnsi"/>
          <w:color w:val="212B32"/>
          <w:shd w:val="clear" w:color="auto" w:fill="FEFEFE"/>
        </w:rPr>
      </w:pPr>
    </w:p>
    <w:p w14:paraId="52026C3B" w14:textId="77777777" w:rsidR="00246498" w:rsidRPr="00246498" w:rsidRDefault="00246498">
      <w:pPr>
        <w:rPr>
          <w:b/>
          <w:bCs/>
        </w:rPr>
      </w:pPr>
    </w:p>
    <w:sectPr w:rsidR="00246498" w:rsidRPr="002464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34986"/>
    <w:multiLevelType w:val="hybridMultilevel"/>
    <w:tmpl w:val="59FC72E2"/>
    <w:lvl w:ilvl="0" w:tplc="F58A73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24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498"/>
    <w:rsid w:val="00246498"/>
    <w:rsid w:val="005E367E"/>
    <w:rsid w:val="00B423C8"/>
    <w:rsid w:val="00CC1869"/>
    <w:rsid w:val="00EE6B67"/>
    <w:rsid w:val="00FD3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C24B5"/>
  <w15:chartTrackingRefBased/>
  <w15:docId w15:val="{9FA631C5-3D06-4B01-981F-ACF883153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6498"/>
    <w:rPr>
      <w:color w:val="0563C1" w:themeColor="hyperlink"/>
      <w:u w:val="single"/>
    </w:rPr>
  </w:style>
  <w:style w:type="paragraph" w:customStyle="1" w:styleId="Default">
    <w:name w:val="Default"/>
    <w:rsid w:val="00246498"/>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246498"/>
    <w:pPr>
      <w:ind w:left="720"/>
      <w:contextualSpacing/>
    </w:pPr>
  </w:style>
  <w:style w:type="character" w:styleId="UnresolvedMention">
    <w:name w:val="Unresolved Mention"/>
    <w:basedOn w:val="DefaultParagraphFont"/>
    <w:uiPriority w:val="99"/>
    <w:semiHidden/>
    <w:unhideWhenUsed/>
    <w:rsid w:val="00CC18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ss.lse.ac.uk/site/books/e/10.31389/lsepress.well/" TargetMode="External"/><Relationship Id="rId13" Type="http://schemas.openxmlformats.org/officeDocument/2006/relationships/hyperlink" Target="https://www.eif.org.uk/why-it-matters/what-is-early-intervention" TargetMode="External"/><Relationship Id="rId18" Type="http://schemas.openxmlformats.org/officeDocument/2006/relationships/hyperlink" Target="https://assets.publishing.service.gov.uk/media/5a808e9eed915d74e33fb1b1/6_162_HO_SOC_PI_Guidance_Mar2015_v10_FINAL_270215_WEB__2_.pdf" TargetMode="External"/><Relationship Id="rId26" Type="http://schemas.openxmlformats.org/officeDocument/2006/relationships/hyperlink" Target="https://www.coe.int/en/web/freedom-expression/effective-investigation-stemming-impunity" TargetMode="External"/><Relationship Id="rId3" Type="http://schemas.openxmlformats.org/officeDocument/2006/relationships/settings" Target="settings.xml"/><Relationship Id="rId21" Type="http://schemas.openxmlformats.org/officeDocument/2006/relationships/hyperlink" Target="https://www.mentalhealth.org.uk/explore-mental-health/blogs/what-well-being-how-can-we-measure-it-and-how-can-we-support-people-improve-it" TargetMode="External"/><Relationship Id="rId7" Type="http://schemas.openxmlformats.org/officeDocument/2006/relationships/hyperlink" Target="https://iaap-journals.onlinelibrary.wiley.com/doi/full/10.1111/apps.12181" TargetMode="External"/><Relationship Id="rId12" Type="http://schemas.openxmlformats.org/officeDocument/2006/relationships/hyperlink" Target="https://assets.college.police.uk/s3fs-public/2021-11/Recognising-responding-vulnerability-related-risks-REA.pdf" TargetMode="External"/><Relationship Id="rId17" Type="http://schemas.openxmlformats.org/officeDocument/2006/relationships/hyperlink" Target="https://journals-sagepub-com.ezproxy.uwtsd.ac.uk/doi/full/10.1177/1057567718814891" TargetMode="External"/><Relationship Id="rId25" Type="http://schemas.openxmlformats.org/officeDocument/2006/relationships/hyperlink" Target="https://link.springer.com/article/10.1007/s10551-015-2569-5" TargetMode="External"/><Relationship Id="rId2" Type="http://schemas.openxmlformats.org/officeDocument/2006/relationships/styles" Target="styles.xml"/><Relationship Id="rId16" Type="http://schemas.openxmlformats.org/officeDocument/2006/relationships/hyperlink" Target="https://ebookcentral.proquest.com/lib/trinity/reader.action?docID=6173698" TargetMode="External"/><Relationship Id="rId20" Type="http://schemas.openxmlformats.org/officeDocument/2006/relationships/hyperlink" Target="https://e-space.mmu.ac.uk/629734/1/Lowe%20et%20al%202016%20Predictors%20of%20engagement.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ssets.publishing.service.gov.uk/media/5a803ec740f0b62305b8a07e/what-works-in-managing-young-people-who-offend.pdf" TargetMode="External"/><Relationship Id="rId11" Type="http://schemas.openxmlformats.org/officeDocument/2006/relationships/hyperlink" Target="https://www.college.police.uk/app/investigation/investigation-introduction" TargetMode="External"/><Relationship Id="rId24" Type="http://schemas.openxmlformats.org/officeDocument/2006/relationships/hyperlink" Target="https://www.intechopen.com/chapters/84902" TargetMode="External"/><Relationship Id="rId5" Type="http://schemas.openxmlformats.org/officeDocument/2006/relationships/hyperlink" Target="https://journals-sagepub-com.ezproxy.uwtsd.ac.uk/doi/full/10.1177/1057567718814891" TargetMode="External"/><Relationship Id="rId15" Type="http://schemas.openxmlformats.org/officeDocument/2006/relationships/hyperlink" Target="https://www.gov.uk/government/collections/serious-and-organised-crime-strategy" TargetMode="External"/><Relationship Id="rId23" Type="http://schemas.openxmlformats.org/officeDocument/2006/relationships/hyperlink" Target="https://www.polfed.org/media/13796/pfew_policy_-_volume_crime_-_march_2017_v2.pdf" TargetMode="External"/><Relationship Id="rId28" Type="http://schemas.openxmlformats.org/officeDocument/2006/relationships/hyperlink" Target="https://www.gov.uk/government/statistics/youth-justice-statistics-2022-to-2023/youth-justice-statistics-2022-to-2023-accessible-version" TargetMode="External"/><Relationship Id="rId10" Type="http://schemas.openxmlformats.org/officeDocument/2006/relationships/hyperlink" Target="https://www.proquest.com/docview/2737363912?accountid=130472&amp;parentSessionId=hCPSj%2BI64fMJ71%2FLl2EYj2tKnGi4alqcZW339AHIz%2B0%3D&amp;pq-origsite=primo&amp;sourcetype=Scholarly%20Journals" TargetMode="External"/><Relationship Id="rId19" Type="http://schemas.openxmlformats.org/officeDocument/2006/relationships/hyperlink" Target="https://hmicfrs.justiceinspectorates.gov.uk/glossary/public-protection-unit/" TargetMode="External"/><Relationship Id="rId4" Type="http://schemas.openxmlformats.org/officeDocument/2006/relationships/webSettings" Target="webSettings.xml"/><Relationship Id="rId9" Type="http://schemas.openxmlformats.org/officeDocument/2006/relationships/hyperlink" Target="https://www.nationalcrimeagency.gov.uk/nsa-2024" TargetMode="External"/><Relationship Id="rId14" Type="http://schemas.openxmlformats.org/officeDocument/2006/relationships/hyperlink" Target="https://www-jstor-org.ezproxy.uwtsd.ac.uk/stable/j.ctvq4c0j8.22" TargetMode="External"/><Relationship Id="rId22" Type="http://schemas.openxmlformats.org/officeDocument/2006/relationships/hyperlink" Target="https://www.mind.org.uk/information-support/tips-for-everyday-living/wellbeing/" TargetMode="External"/><Relationship Id="rId27" Type="http://schemas.openxmlformats.org/officeDocument/2006/relationships/hyperlink" Target="https://www.westsomersethealthcare.co.uk/protecting-vulnerable-peopl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9</Pages>
  <Words>4789</Words>
  <Characters>27299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Jasmin</dc:creator>
  <cp:keywords/>
  <dc:description/>
  <cp:lastModifiedBy>Williams, Jasmin</cp:lastModifiedBy>
  <cp:revision>4</cp:revision>
  <dcterms:created xsi:type="dcterms:W3CDTF">2024-09-09T15:33:00Z</dcterms:created>
  <dcterms:modified xsi:type="dcterms:W3CDTF">2024-09-09T16:04:00Z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2024-09-09T15:46:16Z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1f6c100c-e923-4c82-be2c-6f19c793862b</vt:lpwstr>
  </property>
  <property fmtid="{D5CDD505-2E9C-101B-9397-08002B2CF9AE}" pid="8" name="MSIP_Label_f2acd28b-79a3-4a0f-b0ff-4b75658b1549_ContentBits">
    <vt:lpwstr>0</vt:lpwstr>
  </property>
</Properties>
</file>