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FDC15" w14:textId="77777777" w:rsidR="00973CDA" w:rsidRDefault="00973CDA" w:rsidP="00973CDA">
      <w:pPr>
        <w:pStyle w:val="Heading1"/>
        <w:ind w:left="720"/>
      </w:pPr>
      <w:r>
        <w:t>Research Methods (1500)</w:t>
      </w:r>
    </w:p>
    <w:p w14:paraId="5FF49E63" w14:textId="7785CC41" w:rsidR="00A52E6F" w:rsidRPr="00A52E6F" w:rsidRDefault="00A52E6F" w:rsidP="00A52E6F">
      <w:r>
        <w:t>(This is just the start…….)</w:t>
      </w:r>
    </w:p>
    <w:p w14:paraId="3A3AEADF" w14:textId="77777777" w:rsidR="00973CDA" w:rsidRDefault="00973CDA" w:rsidP="00973CDA">
      <w:pPr>
        <w:jc w:val="both"/>
        <w:rPr>
          <w:rFonts w:ascii="Arial" w:hAnsi="Arial" w:cs="Arial"/>
        </w:rPr>
      </w:pPr>
      <w:r>
        <w:rPr>
          <w:rFonts w:ascii="Arial" w:hAnsi="Arial" w:cs="Arial"/>
        </w:rPr>
        <w:t xml:space="preserve">The methodological framework for this proposal has been carefully developed to critically evaluate the current protections available to victims of online abuse, with particular emphasis on women and young people. </w:t>
      </w:r>
    </w:p>
    <w:p w14:paraId="01512D4E" w14:textId="77777777" w:rsidR="00973CDA" w:rsidRPr="00C7145D" w:rsidRDefault="00973CDA" w:rsidP="00973CDA">
      <w:pPr>
        <w:jc w:val="both"/>
        <w:rPr>
          <w:rFonts w:ascii="Arial" w:hAnsi="Arial" w:cs="Arial"/>
        </w:rPr>
      </w:pPr>
      <w:r w:rsidRPr="00C7145D">
        <w:rPr>
          <w:rFonts w:ascii="Arial" w:hAnsi="Arial" w:cs="Arial"/>
          <w:color w:val="000000"/>
        </w:rPr>
        <w:t>This section outlines the research design and methodology that will be employed in th</w:t>
      </w:r>
      <w:r>
        <w:rPr>
          <w:rFonts w:ascii="Arial" w:hAnsi="Arial" w:cs="Arial"/>
          <w:color w:val="000000"/>
        </w:rPr>
        <w:t>is</w:t>
      </w:r>
      <w:r w:rsidRPr="00C7145D">
        <w:rPr>
          <w:rFonts w:ascii="Arial" w:hAnsi="Arial" w:cs="Arial"/>
          <w:color w:val="000000"/>
        </w:rPr>
        <w:t xml:space="preserve"> study. The researcher’s role will be discussed, with particular attention to how it may influence the research process. The final part of the chapter will present the study’s research questions, sampling strategy, data collection methods, and the procedures implemented to establish the </w:t>
      </w:r>
      <w:r>
        <w:rPr>
          <w:rFonts w:ascii="Arial" w:hAnsi="Arial" w:cs="Arial"/>
          <w:color w:val="000000"/>
        </w:rPr>
        <w:t>reliability</w:t>
      </w:r>
      <w:r w:rsidRPr="00C7145D">
        <w:rPr>
          <w:rFonts w:ascii="Arial" w:hAnsi="Arial" w:cs="Arial"/>
          <w:color w:val="000000"/>
        </w:rPr>
        <w:t xml:space="preserve"> of the research.</w:t>
      </w:r>
    </w:p>
    <w:p w14:paraId="2243B6F8" w14:textId="77777777" w:rsidR="00973CDA" w:rsidRDefault="00973CDA" w:rsidP="00973CDA">
      <w:pPr>
        <w:jc w:val="both"/>
        <w:rPr>
          <w:rFonts w:ascii="Arial" w:hAnsi="Arial" w:cs="Arial"/>
        </w:rPr>
      </w:pPr>
      <w:r>
        <w:rPr>
          <w:rFonts w:ascii="Arial" w:hAnsi="Arial" w:cs="Arial"/>
        </w:rPr>
        <w:t xml:space="preserve">As Creswell (2007) highlights, research methodology encompasses a systematic and scientific approach to collecting, analysing, and interpreting both quantitative and qualitive data, enabling researchers to effectively address their research questions or test hypotheses. </w:t>
      </w:r>
    </w:p>
    <w:p w14:paraId="1ACF1353" w14:textId="77777777" w:rsidR="00973CDA" w:rsidRPr="00E756EC" w:rsidRDefault="00973CDA" w:rsidP="00973CDA">
      <w:pPr>
        <w:jc w:val="both"/>
        <w:rPr>
          <w:rFonts w:ascii="Arial" w:hAnsi="Arial" w:cs="Arial"/>
          <w:b/>
          <w:bCs/>
        </w:rPr>
      </w:pPr>
      <w:r w:rsidRPr="00E756EC">
        <w:rPr>
          <w:rFonts w:ascii="Arial" w:hAnsi="Arial" w:cs="Arial"/>
          <w:b/>
          <w:bCs/>
        </w:rPr>
        <w:t>Research Method</w:t>
      </w:r>
    </w:p>
    <w:p w14:paraId="15252438" w14:textId="77777777" w:rsidR="00973CDA" w:rsidRDefault="00973CDA" w:rsidP="00973CDA">
      <w:pPr>
        <w:jc w:val="both"/>
        <w:rPr>
          <w:rFonts w:ascii="Arial" w:hAnsi="Arial" w:cs="Arial"/>
        </w:rPr>
      </w:pPr>
      <w:r>
        <w:rPr>
          <w:rFonts w:ascii="Arial" w:hAnsi="Arial" w:cs="Arial"/>
        </w:rPr>
        <w:t>This enquiry will utilise a mixed-methods approach, sometimes referred to as a ‘</w:t>
      </w:r>
      <w:proofErr w:type="gramStart"/>
      <w:r>
        <w:rPr>
          <w:rFonts w:ascii="Arial" w:hAnsi="Arial" w:cs="Arial"/>
        </w:rPr>
        <w:t>methodological</w:t>
      </w:r>
      <w:proofErr w:type="gramEnd"/>
      <w:r>
        <w:rPr>
          <w:rFonts w:ascii="Arial" w:hAnsi="Arial" w:cs="Arial"/>
        </w:rPr>
        <w:t xml:space="preserve"> pluralism’ (Leavy, 2020), which facilitates the integration of both qualitative and quantitative research techniques. By adopting this approach, the researcher seeks to capitalise on the strengths of both methodologies, thereby offering a more comprehensive and nuanced understating of the research question.  </w:t>
      </w:r>
    </w:p>
    <w:p w14:paraId="4CEB37FF" w14:textId="77777777" w:rsidR="00973CDA" w:rsidRDefault="00973CDA" w:rsidP="00973CDA">
      <w:pPr>
        <w:jc w:val="both"/>
        <w:rPr>
          <w:rFonts w:ascii="Arial" w:hAnsi="Arial" w:cs="Arial"/>
        </w:rPr>
      </w:pPr>
      <w:r>
        <w:rPr>
          <w:rFonts w:ascii="Arial" w:hAnsi="Arial" w:cs="Arial"/>
        </w:rPr>
        <w:t>Quantitative data refers to information that can be measured and represented numerically, enabling statistical analysis (</w:t>
      </w:r>
      <w:proofErr w:type="spellStart"/>
      <w:r>
        <w:rPr>
          <w:rFonts w:ascii="Arial" w:hAnsi="Arial" w:cs="Arial"/>
        </w:rPr>
        <w:t>O’Dwyer</w:t>
      </w:r>
      <w:proofErr w:type="spellEnd"/>
      <w:r>
        <w:rPr>
          <w:rFonts w:ascii="Arial" w:hAnsi="Arial" w:cs="Arial"/>
        </w:rPr>
        <w:t xml:space="preserve"> and </w:t>
      </w:r>
      <w:proofErr w:type="spellStart"/>
      <w:r>
        <w:rPr>
          <w:rFonts w:ascii="Arial" w:hAnsi="Arial" w:cs="Arial"/>
        </w:rPr>
        <w:t>Bernauer</w:t>
      </w:r>
      <w:proofErr w:type="spellEnd"/>
      <w:r>
        <w:rPr>
          <w:rFonts w:ascii="Arial" w:hAnsi="Arial" w:cs="Arial"/>
        </w:rPr>
        <w:t xml:space="preserve">, 2016). This type of data plays a crucial role for systematic research, as it supports the detailed description, explanation, and prediction of various phenomena. In their study, ‘Quantitative Research for the Qualitative Researcher’, </w:t>
      </w:r>
      <w:proofErr w:type="spellStart"/>
      <w:r>
        <w:rPr>
          <w:rFonts w:ascii="Arial" w:hAnsi="Arial" w:cs="Arial"/>
        </w:rPr>
        <w:t>O’Dwyer</w:t>
      </w:r>
      <w:proofErr w:type="spellEnd"/>
      <w:r>
        <w:rPr>
          <w:rFonts w:ascii="Arial" w:hAnsi="Arial" w:cs="Arial"/>
        </w:rPr>
        <w:t xml:space="preserve"> and </w:t>
      </w:r>
      <w:proofErr w:type="spellStart"/>
      <w:r>
        <w:rPr>
          <w:rFonts w:ascii="Arial" w:hAnsi="Arial" w:cs="Arial"/>
        </w:rPr>
        <w:t>Bernauer</w:t>
      </w:r>
      <w:proofErr w:type="spellEnd"/>
      <w:r>
        <w:rPr>
          <w:rFonts w:ascii="Arial" w:hAnsi="Arial" w:cs="Arial"/>
        </w:rPr>
        <w:t xml:space="preserve"> (2016) assert that quantitative data underpins the integration of </w:t>
      </w:r>
      <w:r>
        <w:rPr>
          <w:rFonts w:ascii="Arial" w:hAnsi="Arial" w:cs="Arial"/>
        </w:rPr>
        <w:lastRenderedPageBreak/>
        <w:t xml:space="preserve">qualitative and quantitative methodologies, providing researchers with instruments to deepen their comprehension of intricate subjects.                                                          </w:t>
      </w:r>
    </w:p>
    <w:p w14:paraId="76D003F1" w14:textId="77777777" w:rsidR="00973CDA" w:rsidRDefault="00973CDA" w:rsidP="00973CDA">
      <w:pPr>
        <w:jc w:val="both"/>
        <w:rPr>
          <w:rFonts w:ascii="Arial" w:hAnsi="Arial" w:cs="Arial"/>
        </w:rPr>
      </w:pPr>
      <w:r>
        <w:rPr>
          <w:rFonts w:ascii="Arial" w:hAnsi="Arial" w:cs="Arial"/>
        </w:rPr>
        <w:t xml:space="preserve">Conversely, qualitative data is described as information that captures the qualities or characteristics of research, often in non-numerical forms such as focus groups, in-depth interviews, or observations, to name but a few (Flick, 2014). Flick emphasises that qualitative data focuses on meaning, context, and the subjective experiences of individuals or groups. </w:t>
      </w:r>
    </w:p>
    <w:p w14:paraId="25343607" w14:textId="77777777" w:rsidR="00973CDA" w:rsidRDefault="00973CDA" w:rsidP="00973CDA">
      <w:pPr>
        <w:jc w:val="both"/>
        <w:rPr>
          <w:rFonts w:ascii="Arial" w:hAnsi="Arial" w:cs="Arial"/>
          <w:b/>
          <w:bCs/>
        </w:rPr>
      </w:pPr>
      <w:r w:rsidRPr="001E3093">
        <w:rPr>
          <w:rFonts w:ascii="Arial" w:hAnsi="Arial" w:cs="Arial"/>
          <w:b/>
          <w:bCs/>
        </w:rPr>
        <w:t>Research Philosophy</w:t>
      </w:r>
    </w:p>
    <w:p w14:paraId="5F097F96" w14:textId="77777777" w:rsidR="00973CDA" w:rsidRDefault="00973CDA" w:rsidP="00973CDA">
      <w:pPr>
        <w:jc w:val="both"/>
        <w:rPr>
          <w:rFonts w:ascii="Arial" w:hAnsi="Arial" w:cs="Arial"/>
          <w:color w:val="000000"/>
        </w:rPr>
      </w:pPr>
      <w:r>
        <w:rPr>
          <w:rFonts w:ascii="Arial" w:hAnsi="Arial" w:cs="Arial"/>
        </w:rPr>
        <w:t xml:space="preserve">The study employs an interpretivist research philosophy, as noted by Nelson et al (2014), which facilitates the integration of human interest into the research.  Interpretivism posits that reality is socially produced and may differ across individuals (Ryan, 2018). This study acknowledges that each participant’s experience with online abuse and their engagement with protective support systems are influenced by a distinct combination of factors, such as personal background, available resources, and the digital context in which the abuse takes place (Zhu et al., 2021). This philosophical approach will direct the study in understanding the lived realities of the participants rather pursuing a single, objective truth, whilst underlining the significance of comprehending these experiences from the perspectives of those involved. </w:t>
      </w:r>
      <w:r>
        <w:rPr>
          <w:rFonts w:ascii="Arial" w:hAnsi="Arial" w:cs="Arial"/>
          <w:color w:val="000000"/>
        </w:rPr>
        <w:t xml:space="preserve">The interpretivist paradigm compliments the use of qualitative data, such as responses from open-ended questionnaire questions; allowing the research to gain insights into the effectiveness of current protective measures. Simultaneously, the study integrates aspects of positivism for the quantitative aspect, such as statistical patterns revealed through a survey, offering an objective basis for the analysis. </w:t>
      </w:r>
    </w:p>
    <w:p w14:paraId="0A707D8E" w14:textId="77777777" w:rsidR="00973CDA" w:rsidRPr="009216D8" w:rsidRDefault="00973CDA" w:rsidP="00973CDA">
      <w:pPr>
        <w:jc w:val="both"/>
        <w:rPr>
          <w:rFonts w:ascii="Arial" w:hAnsi="Arial" w:cs="Arial"/>
          <w:color w:val="000000"/>
        </w:rPr>
      </w:pPr>
    </w:p>
    <w:p w14:paraId="188D5ED2" w14:textId="77777777" w:rsidR="00973CDA" w:rsidRDefault="00973CDA" w:rsidP="00973CDA">
      <w:pPr>
        <w:jc w:val="both"/>
        <w:rPr>
          <w:rFonts w:ascii="Arial" w:hAnsi="Arial" w:cs="Arial"/>
        </w:rPr>
      </w:pPr>
    </w:p>
    <w:p w14:paraId="58948451" w14:textId="77777777" w:rsidR="00A52E6F" w:rsidRDefault="00A52E6F" w:rsidP="00973CDA">
      <w:pPr>
        <w:jc w:val="both"/>
        <w:rPr>
          <w:rFonts w:ascii="Arial" w:hAnsi="Arial" w:cs="Arial"/>
        </w:rPr>
      </w:pPr>
    </w:p>
    <w:p w14:paraId="7C53D2F5" w14:textId="77777777" w:rsidR="00A52E6F" w:rsidRDefault="00A52E6F" w:rsidP="00A52E6F">
      <w:pPr>
        <w:rPr>
          <w:rFonts w:ascii="Arial" w:hAnsi="Arial" w:cs="Arial"/>
        </w:rPr>
      </w:pPr>
    </w:p>
    <w:p w14:paraId="4EA4CA00" w14:textId="1FC5A4E6" w:rsidR="00A52E6F" w:rsidRDefault="00A52E6F" w:rsidP="00A52E6F">
      <w:pPr>
        <w:rPr>
          <w:rFonts w:ascii="Arial" w:hAnsi="Arial" w:cs="Arial"/>
          <w:color w:val="222222"/>
          <w:u w:val="single"/>
          <w:shd w:val="clear" w:color="auto" w:fill="FFFFFF"/>
        </w:rPr>
      </w:pPr>
      <w:r w:rsidRPr="00E02C3E">
        <w:rPr>
          <w:rFonts w:ascii="Arial" w:hAnsi="Arial" w:cs="Arial"/>
          <w:color w:val="222222"/>
          <w:u w:val="single"/>
          <w:shd w:val="clear" w:color="auto" w:fill="FFFFFF"/>
        </w:rPr>
        <w:lastRenderedPageBreak/>
        <w:t>Reference List</w:t>
      </w:r>
    </w:p>
    <w:p w14:paraId="51DADECB" w14:textId="451451D8" w:rsidR="00A52E6F" w:rsidRPr="00A52E6F" w:rsidRDefault="00A52E6F" w:rsidP="00A52E6F">
      <w:pPr>
        <w:pStyle w:val="NormalWeb"/>
        <w:numPr>
          <w:ilvl w:val="0"/>
          <w:numId w:val="1"/>
        </w:numPr>
        <w:spacing w:before="0" w:beforeAutospacing="0" w:after="240" w:afterAutospacing="0" w:line="360" w:lineRule="atLeast"/>
        <w:jc w:val="both"/>
        <w:rPr>
          <w:rFonts w:ascii="Arial" w:hAnsi="Arial" w:cs="Arial"/>
          <w:sz w:val="22"/>
          <w:szCs w:val="22"/>
        </w:rPr>
      </w:pPr>
      <w:proofErr w:type="spellStart"/>
      <w:r w:rsidRPr="00A52E6F">
        <w:rPr>
          <w:rFonts w:ascii="Arial" w:hAnsi="Arial" w:cs="Arial"/>
          <w:sz w:val="22"/>
          <w:szCs w:val="22"/>
        </w:rPr>
        <w:t>Alharahsheh</w:t>
      </w:r>
      <w:proofErr w:type="spellEnd"/>
      <w:r w:rsidRPr="00A52E6F">
        <w:rPr>
          <w:rFonts w:ascii="Arial" w:hAnsi="Arial" w:cs="Arial"/>
          <w:sz w:val="22"/>
          <w:szCs w:val="22"/>
        </w:rPr>
        <w:t>, H. and Pius, A. (2020). A Review of Key paradigms: Positivism Vs Interpretivism.</w:t>
      </w:r>
      <w:r w:rsidRPr="00A52E6F">
        <w:rPr>
          <w:rStyle w:val="apple-converted-space"/>
          <w:rFonts w:ascii="Arial" w:hAnsi="Arial" w:cs="Arial"/>
          <w:sz w:val="22"/>
          <w:szCs w:val="22"/>
        </w:rPr>
        <w:t> </w:t>
      </w:r>
      <w:r w:rsidRPr="00A52E6F">
        <w:rPr>
          <w:rFonts w:ascii="Arial" w:hAnsi="Arial" w:cs="Arial"/>
          <w:sz w:val="22"/>
          <w:szCs w:val="22"/>
        </w:rPr>
        <w:t xml:space="preserve">Global Academic Journal of Humanities and Social Sciences, 2(3), pp.39–43. </w:t>
      </w:r>
      <w:proofErr w:type="spellStart"/>
      <w:proofErr w:type="gramStart"/>
      <w:r w:rsidRPr="00A52E6F">
        <w:rPr>
          <w:rFonts w:ascii="Arial" w:hAnsi="Arial" w:cs="Arial"/>
          <w:sz w:val="22"/>
          <w:szCs w:val="22"/>
        </w:rPr>
        <w:t>doi:https</w:t>
      </w:r>
      <w:proofErr w:type="spellEnd"/>
      <w:r w:rsidRPr="00A52E6F">
        <w:rPr>
          <w:rFonts w:ascii="Arial" w:hAnsi="Arial" w:cs="Arial"/>
          <w:sz w:val="22"/>
          <w:szCs w:val="22"/>
        </w:rPr>
        <w:t>://doi.org/10.36348/gajhss.2020.v02i03.001</w:t>
      </w:r>
      <w:proofErr w:type="gramEnd"/>
      <w:r>
        <w:rPr>
          <w:rFonts w:ascii="Arial" w:hAnsi="Arial" w:cs="Arial"/>
          <w:sz w:val="22"/>
          <w:szCs w:val="22"/>
        </w:rPr>
        <w:t xml:space="preserve">. </w:t>
      </w:r>
      <w:r w:rsidRPr="00A52E6F">
        <w:rPr>
          <w:rFonts w:ascii="Arial" w:hAnsi="Arial" w:cs="Arial"/>
          <w:sz w:val="22"/>
          <w:szCs w:val="22"/>
        </w:rPr>
        <w:t>(Accessed 2</w:t>
      </w:r>
      <w:r w:rsidRPr="00A52E6F">
        <w:rPr>
          <w:rFonts w:ascii="Arial" w:hAnsi="Arial" w:cs="Arial"/>
          <w:sz w:val="22"/>
          <w:szCs w:val="22"/>
          <w:vertAlign w:val="superscript"/>
        </w:rPr>
        <w:t>nd</w:t>
      </w:r>
      <w:r w:rsidRPr="00A52E6F">
        <w:rPr>
          <w:rFonts w:ascii="Arial" w:hAnsi="Arial" w:cs="Arial"/>
          <w:sz w:val="22"/>
          <w:szCs w:val="22"/>
        </w:rPr>
        <w:t xml:space="preserve"> February, 2025). </w:t>
      </w:r>
    </w:p>
    <w:p w14:paraId="49C86E49" w14:textId="77777777" w:rsidR="00A52E6F" w:rsidRPr="00A52E6F" w:rsidRDefault="00A52E6F" w:rsidP="00A52E6F">
      <w:pPr>
        <w:pStyle w:val="NormalWeb"/>
        <w:numPr>
          <w:ilvl w:val="0"/>
          <w:numId w:val="1"/>
        </w:numPr>
        <w:spacing w:before="0" w:beforeAutospacing="0" w:after="240" w:afterAutospacing="0" w:line="360" w:lineRule="atLeast"/>
        <w:jc w:val="both"/>
        <w:rPr>
          <w:rFonts w:ascii="Arial" w:hAnsi="Arial" w:cs="Arial"/>
          <w:sz w:val="22"/>
          <w:szCs w:val="22"/>
          <w:shd w:val="clear" w:color="auto" w:fill="FFFFFF"/>
        </w:rPr>
      </w:pPr>
      <w:r w:rsidRPr="00A52E6F">
        <w:rPr>
          <w:rFonts w:ascii="Arial" w:hAnsi="Arial" w:cs="Arial"/>
          <w:sz w:val="22"/>
          <w:szCs w:val="22"/>
          <w:shd w:val="clear" w:color="auto" w:fill="FFFFFF"/>
        </w:rPr>
        <w:t>Flick, U. (2014).</w:t>
      </w:r>
      <w:r w:rsidRPr="00A52E6F">
        <w:rPr>
          <w:rStyle w:val="apple-converted-space"/>
          <w:rFonts w:ascii="Arial" w:hAnsi="Arial" w:cs="Arial"/>
          <w:sz w:val="22"/>
          <w:szCs w:val="22"/>
          <w:shd w:val="clear" w:color="auto" w:fill="FFFFFF"/>
        </w:rPr>
        <w:t> </w:t>
      </w:r>
      <w:r w:rsidRPr="00A52E6F">
        <w:rPr>
          <w:rFonts w:ascii="Arial" w:hAnsi="Arial" w:cs="Arial"/>
          <w:i/>
          <w:iCs/>
          <w:sz w:val="22"/>
          <w:szCs w:val="22"/>
        </w:rPr>
        <w:t>The SAGE handbook of qualitative data analysis</w:t>
      </w:r>
      <w:r w:rsidRPr="00A52E6F">
        <w:rPr>
          <w:rStyle w:val="apple-converted-space"/>
          <w:rFonts w:ascii="Arial" w:hAnsi="Arial" w:cs="Arial"/>
          <w:sz w:val="22"/>
          <w:szCs w:val="22"/>
          <w:shd w:val="clear" w:color="auto" w:fill="FFFFFF"/>
        </w:rPr>
        <w:t> </w:t>
      </w:r>
      <w:r w:rsidRPr="00A52E6F">
        <w:rPr>
          <w:rFonts w:ascii="Arial" w:hAnsi="Arial" w:cs="Arial"/>
          <w:sz w:val="22"/>
          <w:szCs w:val="22"/>
          <w:shd w:val="clear" w:color="auto" w:fill="FFFFFF"/>
        </w:rPr>
        <w:t>(U. Flick, Ed.). SAGE.</w:t>
      </w:r>
    </w:p>
    <w:p w14:paraId="1B1DDDDF" w14:textId="77777777" w:rsidR="00A52E6F" w:rsidRPr="00A52E6F" w:rsidRDefault="00A52E6F" w:rsidP="00A52E6F">
      <w:pPr>
        <w:pStyle w:val="NormalWeb"/>
        <w:numPr>
          <w:ilvl w:val="0"/>
          <w:numId w:val="1"/>
        </w:numPr>
        <w:spacing w:before="0" w:beforeAutospacing="0" w:after="240" w:afterAutospacing="0" w:line="360" w:lineRule="atLeast"/>
        <w:jc w:val="both"/>
        <w:rPr>
          <w:rFonts w:ascii="Arial" w:hAnsi="Arial" w:cs="Arial"/>
          <w:sz w:val="22"/>
          <w:szCs w:val="22"/>
          <w:shd w:val="clear" w:color="auto" w:fill="FFFFFF"/>
        </w:rPr>
      </w:pPr>
      <w:r w:rsidRPr="00A52E6F">
        <w:rPr>
          <w:rFonts w:ascii="Arial" w:hAnsi="Arial" w:cs="Arial"/>
          <w:sz w:val="22"/>
          <w:szCs w:val="22"/>
        </w:rPr>
        <w:t xml:space="preserve">Nelson, L., Groom, R., &amp; Potrac, P. (Eds.). (2014). Research Methods in Sports Coaching (1st ed.). Routledge. </w:t>
      </w:r>
      <w:hyperlink r:id="rId5" w:history="1">
        <w:r w:rsidRPr="00A52E6F">
          <w:rPr>
            <w:rStyle w:val="Hyperlink"/>
            <w:rFonts w:ascii="Arial" w:hAnsi="Arial" w:cs="Arial"/>
            <w:color w:val="auto"/>
            <w:sz w:val="22"/>
            <w:szCs w:val="22"/>
          </w:rPr>
          <w:t>https://doi.org/10.4324/9780203797549</w:t>
        </w:r>
      </w:hyperlink>
      <w:r w:rsidRPr="00A52E6F">
        <w:rPr>
          <w:rFonts w:ascii="Arial" w:hAnsi="Arial" w:cs="Arial"/>
          <w:sz w:val="22"/>
          <w:szCs w:val="22"/>
        </w:rPr>
        <w:t>. (Accessed 2</w:t>
      </w:r>
      <w:r w:rsidRPr="00A52E6F">
        <w:rPr>
          <w:rFonts w:ascii="Arial" w:hAnsi="Arial" w:cs="Arial"/>
          <w:sz w:val="22"/>
          <w:szCs w:val="22"/>
          <w:vertAlign w:val="superscript"/>
        </w:rPr>
        <w:t>nd</w:t>
      </w:r>
      <w:r w:rsidRPr="00A52E6F">
        <w:rPr>
          <w:rFonts w:ascii="Arial" w:hAnsi="Arial" w:cs="Arial"/>
          <w:sz w:val="22"/>
          <w:szCs w:val="22"/>
        </w:rPr>
        <w:t xml:space="preserve"> </w:t>
      </w:r>
      <w:proofErr w:type="gramStart"/>
      <w:r w:rsidRPr="00A52E6F">
        <w:rPr>
          <w:rFonts w:ascii="Arial" w:hAnsi="Arial" w:cs="Arial"/>
          <w:sz w:val="22"/>
          <w:szCs w:val="22"/>
        </w:rPr>
        <w:t>February,</w:t>
      </w:r>
      <w:proofErr w:type="gramEnd"/>
      <w:r w:rsidRPr="00A52E6F">
        <w:rPr>
          <w:rFonts w:ascii="Arial" w:hAnsi="Arial" w:cs="Arial"/>
          <w:sz w:val="22"/>
          <w:szCs w:val="22"/>
        </w:rPr>
        <w:t xml:space="preserve"> 2025).</w:t>
      </w:r>
    </w:p>
    <w:p w14:paraId="1EA55B06" w14:textId="77777777" w:rsidR="00A52E6F" w:rsidRPr="00A52E6F" w:rsidRDefault="00A52E6F" w:rsidP="00A52E6F">
      <w:pPr>
        <w:pStyle w:val="NormalWeb"/>
        <w:numPr>
          <w:ilvl w:val="0"/>
          <w:numId w:val="1"/>
        </w:numPr>
        <w:spacing w:before="0" w:beforeAutospacing="0" w:after="240" w:afterAutospacing="0" w:line="360" w:lineRule="atLeast"/>
        <w:jc w:val="both"/>
        <w:rPr>
          <w:rFonts w:ascii="Arial" w:hAnsi="Arial" w:cs="Arial"/>
          <w:sz w:val="22"/>
          <w:szCs w:val="22"/>
          <w:shd w:val="clear" w:color="auto" w:fill="FFFFFF"/>
        </w:rPr>
      </w:pPr>
      <w:r w:rsidRPr="00A52E6F">
        <w:rPr>
          <w:rFonts w:ascii="Arial" w:hAnsi="Arial" w:cs="Arial"/>
          <w:sz w:val="22"/>
          <w:szCs w:val="22"/>
          <w:shd w:val="clear" w:color="auto" w:fill="FFFFFF"/>
        </w:rPr>
        <w:t>Leavy, P. (Ed.). (2020).</w:t>
      </w:r>
      <w:r w:rsidRPr="00A52E6F">
        <w:rPr>
          <w:rStyle w:val="apple-converted-space"/>
          <w:rFonts w:ascii="Arial" w:hAnsi="Arial" w:cs="Arial"/>
          <w:sz w:val="22"/>
          <w:szCs w:val="22"/>
          <w:shd w:val="clear" w:color="auto" w:fill="FFFFFF"/>
        </w:rPr>
        <w:t> </w:t>
      </w:r>
      <w:r w:rsidRPr="00A52E6F">
        <w:rPr>
          <w:rFonts w:ascii="Arial" w:hAnsi="Arial" w:cs="Arial"/>
          <w:i/>
          <w:iCs/>
          <w:sz w:val="22"/>
          <w:szCs w:val="22"/>
        </w:rPr>
        <w:t>The Oxford handbook of qualitative research</w:t>
      </w:r>
      <w:r w:rsidRPr="00A52E6F">
        <w:rPr>
          <w:rStyle w:val="apple-converted-space"/>
          <w:rFonts w:ascii="Arial" w:hAnsi="Arial" w:cs="Arial"/>
          <w:sz w:val="22"/>
          <w:szCs w:val="22"/>
          <w:shd w:val="clear" w:color="auto" w:fill="FFFFFF"/>
        </w:rPr>
        <w:t> </w:t>
      </w:r>
      <w:r w:rsidRPr="00A52E6F">
        <w:rPr>
          <w:rFonts w:ascii="Arial" w:hAnsi="Arial" w:cs="Arial"/>
          <w:sz w:val="22"/>
          <w:szCs w:val="22"/>
          <w:shd w:val="clear" w:color="auto" w:fill="FFFFFF"/>
        </w:rPr>
        <w:t>(Second edition.). Oxford University Press.</w:t>
      </w:r>
    </w:p>
    <w:p w14:paraId="0360D0E0" w14:textId="77777777" w:rsidR="00A52E6F" w:rsidRPr="00A52E6F" w:rsidRDefault="00A52E6F" w:rsidP="00A52E6F">
      <w:pPr>
        <w:pStyle w:val="NormalWeb"/>
        <w:numPr>
          <w:ilvl w:val="0"/>
          <w:numId w:val="1"/>
        </w:numPr>
        <w:spacing w:before="0" w:beforeAutospacing="0" w:after="240" w:afterAutospacing="0" w:line="360" w:lineRule="atLeast"/>
        <w:jc w:val="both"/>
        <w:rPr>
          <w:rFonts w:ascii="Arial" w:hAnsi="Arial" w:cs="Arial"/>
          <w:sz w:val="22"/>
          <w:szCs w:val="22"/>
          <w:shd w:val="clear" w:color="auto" w:fill="FFFFFF"/>
        </w:rPr>
      </w:pPr>
      <w:proofErr w:type="spellStart"/>
      <w:r w:rsidRPr="00A52E6F">
        <w:rPr>
          <w:rFonts w:ascii="Arial" w:hAnsi="Arial" w:cs="Arial"/>
          <w:sz w:val="22"/>
          <w:szCs w:val="22"/>
        </w:rPr>
        <w:t>O’dwyer</w:t>
      </w:r>
      <w:proofErr w:type="spellEnd"/>
      <w:r w:rsidRPr="00A52E6F">
        <w:rPr>
          <w:rFonts w:ascii="Arial" w:hAnsi="Arial" w:cs="Arial"/>
          <w:sz w:val="22"/>
          <w:szCs w:val="22"/>
        </w:rPr>
        <w:t xml:space="preserve">, L.M. and </w:t>
      </w:r>
      <w:proofErr w:type="spellStart"/>
      <w:r w:rsidRPr="00A52E6F">
        <w:rPr>
          <w:rFonts w:ascii="Arial" w:hAnsi="Arial" w:cs="Arial"/>
          <w:sz w:val="22"/>
          <w:szCs w:val="22"/>
        </w:rPr>
        <w:t>Bernauer</w:t>
      </w:r>
      <w:proofErr w:type="spellEnd"/>
      <w:r w:rsidRPr="00A52E6F">
        <w:rPr>
          <w:rFonts w:ascii="Arial" w:hAnsi="Arial" w:cs="Arial"/>
          <w:sz w:val="22"/>
          <w:szCs w:val="22"/>
        </w:rPr>
        <w:t>, J.A. (2014).</w:t>
      </w:r>
      <w:r w:rsidRPr="00A52E6F">
        <w:rPr>
          <w:rStyle w:val="apple-converted-space"/>
          <w:rFonts w:ascii="Arial" w:hAnsi="Arial" w:cs="Arial"/>
          <w:sz w:val="22"/>
          <w:szCs w:val="22"/>
        </w:rPr>
        <w:t> </w:t>
      </w:r>
      <w:r w:rsidRPr="00A52E6F">
        <w:rPr>
          <w:rFonts w:ascii="Arial" w:hAnsi="Arial" w:cs="Arial"/>
          <w:sz w:val="22"/>
          <w:szCs w:val="22"/>
        </w:rPr>
        <w:t xml:space="preserve">Quantitative research for the qualitative researcher. Los Angeles: Sage. Available at: </w:t>
      </w:r>
      <w:hyperlink r:id="rId6" w:history="1">
        <w:r w:rsidRPr="00A52E6F">
          <w:rPr>
            <w:rStyle w:val="Hyperlink"/>
            <w:rFonts w:ascii="Arial" w:hAnsi="Arial" w:cs="Arial"/>
            <w:color w:val="auto"/>
            <w:sz w:val="22"/>
            <w:szCs w:val="22"/>
          </w:rPr>
          <w:t>https://sk-sagepub-com.ezproxy.uwtsd.ac.uk/book/mono/quantitative-research-for-the-qualitative-researcher/toc</w:t>
        </w:r>
      </w:hyperlink>
      <w:r w:rsidRPr="00A52E6F">
        <w:rPr>
          <w:rFonts w:ascii="Arial" w:hAnsi="Arial" w:cs="Arial"/>
          <w:sz w:val="22"/>
          <w:szCs w:val="22"/>
        </w:rPr>
        <w:t xml:space="preserve"> [Accessed 2 Feb. 2025].</w:t>
      </w:r>
    </w:p>
    <w:p w14:paraId="57FF80CF" w14:textId="77777777" w:rsidR="00A52E6F" w:rsidRPr="00A52E6F" w:rsidRDefault="00A52E6F" w:rsidP="00A52E6F">
      <w:pPr>
        <w:pStyle w:val="NormalWeb"/>
        <w:numPr>
          <w:ilvl w:val="0"/>
          <w:numId w:val="1"/>
        </w:numPr>
        <w:spacing w:before="0" w:beforeAutospacing="0" w:after="240" w:afterAutospacing="0" w:line="360" w:lineRule="atLeast"/>
        <w:jc w:val="both"/>
        <w:rPr>
          <w:rFonts w:ascii="Arial" w:hAnsi="Arial" w:cs="Arial"/>
          <w:sz w:val="22"/>
          <w:szCs w:val="22"/>
          <w:shd w:val="clear" w:color="auto" w:fill="FFFFFF"/>
        </w:rPr>
      </w:pPr>
      <w:r w:rsidRPr="00A52E6F">
        <w:rPr>
          <w:rFonts w:ascii="Arial" w:hAnsi="Arial" w:cs="Arial"/>
          <w:sz w:val="22"/>
          <w:szCs w:val="22"/>
          <w:shd w:val="clear" w:color="auto" w:fill="FFFFFF"/>
        </w:rPr>
        <w:t>Ryan, G. (2018). Introduction to positivism, interpretivism and critical theory.</w:t>
      </w:r>
      <w:r w:rsidRPr="00A52E6F">
        <w:rPr>
          <w:rStyle w:val="apple-converted-space"/>
          <w:rFonts w:ascii="Arial" w:hAnsi="Arial" w:cs="Arial"/>
          <w:sz w:val="22"/>
          <w:szCs w:val="22"/>
          <w:shd w:val="clear" w:color="auto" w:fill="FFFFFF"/>
        </w:rPr>
        <w:t> </w:t>
      </w:r>
      <w:r w:rsidRPr="00A52E6F">
        <w:rPr>
          <w:rFonts w:ascii="Arial" w:hAnsi="Arial" w:cs="Arial"/>
          <w:i/>
          <w:iCs/>
          <w:sz w:val="22"/>
          <w:szCs w:val="22"/>
        </w:rPr>
        <w:t>Nurse Researcher</w:t>
      </w:r>
      <w:r w:rsidRPr="00A52E6F">
        <w:rPr>
          <w:rFonts w:ascii="Arial" w:hAnsi="Arial" w:cs="Arial"/>
          <w:sz w:val="22"/>
          <w:szCs w:val="22"/>
          <w:shd w:val="clear" w:color="auto" w:fill="FFFFFF"/>
        </w:rPr>
        <w:t>,</w:t>
      </w:r>
      <w:r w:rsidRPr="00A52E6F">
        <w:rPr>
          <w:rStyle w:val="apple-converted-space"/>
          <w:rFonts w:ascii="Arial" w:hAnsi="Arial" w:cs="Arial"/>
          <w:sz w:val="22"/>
          <w:szCs w:val="22"/>
          <w:shd w:val="clear" w:color="auto" w:fill="FFFFFF"/>
        </w:rPr>
        <w:t> </w:t>
      </w:r>
      <w:r w:rsidRPr="00A52E6F">
        <w:rPr>
          <w:rFonts w:ascii="Arial" w:hAnsi="Arial" w:cs="Arial"/>
          <w:i/>
          <w:iCs/>
          <w:sz w:val="22"/>
          <w:szCs w:val="22"/>
        </w:rPr>
        <w:t>25</w:t>
      </w:r>
      <w:r w:rsidRPr="00A52E6F">
        <w:rPr>
          <w:rFonts w:ascii="Arial" w:hAnsi="Arial" w:cs="Arial"/>
          <w:sz w:val="22"/>
          <w:szCs w:val="22"/>
          <w:shd w:val="clear" w:color="auto" w:fill="FFFFFF"/>
        </w:rPr>
        <w:t xml:space="preserve">(4), 14–20. </w:t>
      </w:r>
      <w:hyperlink r:id="rId7" w:history="1">
        <w:r w:rsidRPr="00A52E6F">
          <w:rPr>
            <w:rStyle w:val="Hyperlink"/>
            <w:rFonts w:ascii="Arial" w:hAnsi="Arial" w:cs="Arial"/>
            <w:color w:val="auto"/>
            <w:sz w:val="22"/>
            <w:szCs w:val="22"/>
            <w:shd w:val="clear" w:color="auto" w:fill="FFFFFF"/>
          </w:rPr>
          <w:t>https://doi.org/10.7748/nr.2018.e1466</w:t>
        </w:r>
      </w:hyperlink>
      <w:r w:rsidRPr="00A52E6F">
        <w:rPr>
          <w:rFonts w:ascii="Arial" w:hAnsi="Arial" w:cs="Arial"/>
          <w:sz w:val="22"/>
          <w:szCs w:val="22"/>
          <w:shd w:val="clear" w:color="auto" w:fill="FFFFFF"/>
        </w:rPr>
        <w:t xml:space="preserve"> (Accessed: 2</w:t>
      </w:r>
      <w:r w:rsidRPr="00A52E6F">
        <w:rPr>
          <w:rFonts w:ascii="Arial" w:hAnsi="Arial" w:cs="Arial"/>
          <w:sz w:val="22"/>
          <w:szCs w:val="22"/>
          <w:shd w:val="clear" w:color="auto" w:fill="FFFFFF"/>
          <w:vertAlign w:val="superscript"/>
        </w:rPr>
        <w:t>nd</w:t>
      </w:r>
      <w:r w:rsidRPr="00A52E6F">
        <w:rPr>
          <w:rFonts w:ascii="Arial" w:hAnsi="Arial" w:cs="Arial"/>
          <w:sz w:val="22"/>
          <w:szCs w:val="22"/>
          <w:shd w:val="clear" w:color="auto" w:fill="FFFFFF"/>
        </w:rPr>
        <w:t xml:space="preserve"> </w:t>
      </w:r>
      <w:proofErr w:type="gramStart"/>
      <w:r w:rsidRPr="00A52E6F">
        <w:rPr>
          <w:rFonts w:ascii="Arial" w:hAnsi="Arial" w:cs="Arial"/>
          <w:sz w:val="22"/>
          <w:szCs w:val="22"/>
          <w:shd w:val="clear" w:color="auto" w:fill="FFFFFF"/>
        </w:rPr>
        <w:t>February,</w:t>
      </w:r>
      <w:proofErr w:type="gramEnd"/>
      <w:r w:rsidRPr="00A52E6F">
        <w:rPr>
          <w:rFonts w:ascii="Arial" w:hAnsi="Arial" w:cs="Arial"/>
          <w:sz w:val="22"/>
          <w:szCs w:val="22"/>
          <w:shd w:val="clear" w:color="auto" w:fill="FFFFFF"/>
        </w:rPr>
        <w:t xml:space="preserve"> 2025). </w:t>
      </w:r>
    </w:p>
    <w:p w14:paraId="01D8C8A4" w14:textId="397EFEBE" w:rsidR="00A52E6F" w:rsidRPr="00A52E6F" w:rsidRDefault="00A52E6F" w:rsidP="00A52E6F">
      <w:pPr>
        <w:pStyle w:val="NormalWeb"/>
        <w:numPr>
          <w:ilvl w:val="0"/>
          <w:numId w:val="1"/>
        </w:numPr>
        <w:spacing w:before="0" w:beforeAutospacing="0" w:after="240" w:afterAutospacing="0" w:line="360" w:lineRule="atLeast"/>
        <w:jc w:val="both"/>
        <w:rPr>
          <w:rFonts w:ascii="Arial" w:hAnsi="Arial" w:cs="Arial"/>
          <w:sz w:val="22"/>
          <w:szCs w:val="22"/>
          <w:shd w:val="clear" w:color="auto" w:fill="FFFFFF"/>
        </w:rPr>
      </w:pPr>
      <w:r w:rsidRPr="00A52E6F">
        <w:rPr>
          <w:rFonts w:ascii="Arial" w:hAnsi="Arial" w:cs="Arial"/>
          <w:sz w:val="22"/>
          <w:szCs w:val="22"/>
        </w:rPr>
        <w:t>Zhu, C., Huang, S., Evans, R. and Zhang, W. (2021). Cyberbullying Among Adolescents and Children: A Comprehensive Review of the Global Situation, Risk Factors, and Preventive Measures.</w:t>
      </w:r>
      <w:r w:rsidRPr="00A52E6F">
        <w:rPr>
          <w:rStyle w:val="apple-converted-space"/>
          <w:rFonts w:ascii="Arial" w:hAnsi="Arial" w:cs="Arial"/>
          <w:sz w:val="22"/>
          <w:szCs w:val="22"/>
        </w:rPr>
        <w:t> </w:t>
      </w:r>
      <w:r w:rsidRPr="00A52E6F">
        <w:rPr>
          <w:rFonts w:ascii="Arial" w:hAnsi="Arial" w:cs="Arial"/>
          <w:i/>
          <w:iCs/>
          <w:sz w:val="22"/>
          <w:szCs w:val="22"/>
        </w:rPr>
        <w:t>Frontiers in Public Health</w:t>
      </w:r>
      <w:r w:rsidRPr="00A52E6F">
        <w:rPr>
          <w:rFonts w:ascii="Arial" w:hAnsi="Arial" w:cs="Arial"/>
          <w:sz w:val="22"/>
          <w:szCs w:val="22"/>
        </w:rPr>
        <w:t xml:space="preserve">, 9(1). </w:t>
      </w:r>
      <w:proofErr w:type="spellStart"/>
      <w:proofErr w:type="gramStart"/>
      <w:r w:rsidRPr="00A52E6F">
        <w:rPr>
          <w:rFonts w:ascii="Arial" w:hAnsi="Arial" w:cs="Arial"/>
          <w:sz w:val="22"/>
          <w:szCs w:val="22"/>
        </w:rPr>
        <w:t>doi:https</w:t>
      </w:r>
      <w:proofErr w:type="spellEnd"/>
      <w:r w:rsidRPr="00A52E6F">
        <w:rPr>
          <w:rFonts w:ascii="Arial" w:hAnsi="Arial" w:cs="Arial"/>
          <w:sz w:val="22"/>
          <w:szCs w:val="22"/>
        </w:rPr>
        <w:t>://doi.org/10.3389/fpubh.2021.634909</w:t>
      </w:r>
      <w:proofErr w:type="gramEnd"/>
      <w:r w:rsidRPr="00A52E6F">
        <w:rPr>
          <w:rFonts w:ascii="Arial" w:hAnsi="Arial" w:cs="Arial"/>
          <w:sz w:val="22"/>
          <w:szCs w:val="22"/>
        </w:rPr>
        <w:t xml:space="preserve">. </w:t>
      </w:r>
      <w:r w:rsidRPr="00A52E6F">
        <w:rPr>
          <w:rFonts w:ascii="Arial" w:hAnsi="Arial" w:cs="Arial"/>
          <w:sz w:val="22"/>
          <w:szCs w:val="22"/>
          <w:shd w:val="clear" w:color="auto" w:fill="FFFFFF"/>
        </w:rPr>
        <w:t>(Accessed: 2</w:t>
      </w:r>
      <w:r w:rsidRPr="00A52E6F">
        <w:rPr>
          <w:rFonts w:ascii="Arial" w:hAnsi="Arial" w:cs="Arial"/>
          <w:sz w:val="22"/>
          <w:szCs w:val="22"/>
          <w:shd w:val="clear" w:color="auto" w:fill="FFFFFF"/>
          <w:vertAlign w:val="superscript"/>
        </w:rPr>
        <w:t>nd</w:t>
      </w:r>
      <w:r w:rsidRPr="00A52E6F">
        <w:rPr>
          <w:rFonts w:ascii="Arial" w:hAnsi="Arial" w:cs="Arial"/>
          <w:sz w:val="22"/>
          <w:szCs w:val="22"/>
          <w:shd w:val="clear" w:color="auto" w:fill="FFFFFF"/>
        </w:rPr>
        <w:t xml:space="preserve"> </w:t>
      </w:r>
      <w:proofErr w:type="gramStart"/>
      <w:r w:rsidRPr="00A52E6F">
        <w:rPr>
          <w:rFonts w:ascii="Arial" w:hAnsi="Arial" w:cs="Arial"/>
          <w:sz w:val="22"/>
          <w:szCs w:val="22"/>
          <w:shd w:val="clear" w:color="auto" w:fill="FFFFFF"/>
        </w:rPr>
        <w:t>February,</w:t>
      </w:r>
      <w:proofErr w:type="gramEnd"/>
      <w:r w:rsidRPr="00A52E6F">
        <w:rPr>
          <w:rFonts w:ascii="Arial" w:hAnsi="Arial" w:cs="Arial"/>
          <w:sz w:val="22"/>
          <w:szCs w:val="22"/>
          <w:shd w:val="clear" w:color="auto" w:fill="FFFFFF"/>
        </w:rPr>
        <w:t xml:space="preserve"> 2025). </w:t>
      </w:r>
    </w:p>
    <w:p w14:paraId="7495ED1A" w14:textId="77777777" w:rsidR="00A52E6F" w:rsidRPr="00A52E6F" w:rsidRDefault="00A52E6F" w:rsidP="00A52E6F">
      <w:pPr>
        <w:pStyle w:val="NormalWeb"/>
        <w:spacing w:before="0" w:beforeAutospacing="0" w:after="240" w:afterAutospacing="0" w:line="360" w:lineRule="atLeast"/>
        <w:jc w:val="both"/>
        <w:rPr>
          <w:rFonts w:ascii="Arial" w:hAnsi="Arial" w:cs="Arial"/>
          <w:sz w:val="22"/>
          <w:szCs w:val="22"/>
        </w:rPr>
      </w:pPr>
    </w:p>
    <w:p w14:paraId="36B60120" w14:textId="77777777" w:rsidR="00A52E6F" w:rsidRPr="00A52E6F" w:rsidRDefault="00A52E6F" w:rsidP="00A52E6F">
      <w:pPr>
        <w:pStyle w:val="NormalWeb"/>
        <w:spacing w:before="0" w:beforeAutospacing="0" w:after="240" w:afterAutospacing="0" w:line="360" w:lineRule="atLeast"/>
        <w:jc w:val="both"/>
        <w:rPr>
          <w:rFonts w:ascii="Arial" w:hAnsi="Arial" w:cs="Arial"/>
          <w:sz w:val="22"/>
          <w:szCs w:val="22"/>
        </w:rPr>
      </w:pPr>
    </w:p>
    <w:p w14:paraId="60E40F6F" w14:textId="77777777" w:rsidR="00A52E6F" w:rsidRPr="00A52E6F" w:rsidRDefault="00A52E6F" w:rsidP="00973CDA">
      <w:pPr>
        <w:jc w:val="both"/>
        <w:rPr>
          <w:rFonts w:ascii="Arial" w:hAnsi="Arial" w:cs="Arial"/>
        </w:rPr>
      </w:pPr>
    </w:p>
    <w:p w14:paraId="771AD4C6" w14:textId="77777777" w:rsidR="00946194" w:rsidRPr="00A52E6F" w:rsidRDefault="00946194">
      <w:pPr>
        <w:rPr>
          <w:rFonts w:ascii="Arial" w:hAnsi="Arial" w:cs="Arial"/>
        </w:rPr>
      </w:pPr>
    </w:p>
    <w:sectPr w:rsidR="00946194" w:rsidRPr="00A52E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AE10DF"/>
    <w:multiLevelType w:val="hybridMultilevel"/>
    <w:tmpl w:val="8D847414"/>
    <w:lvl w:ilvl="0" w:tplc="03A2DF64">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5419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CDA"/>
    <w:rsid w:val="00946194"/>
    <w:rsid w:val="00973CDA"/>
    <w:rsid w:val="00A52E6F"/>
    <w:rsid w:val="00B33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C2CDAF"/>
  <w15:chartTrackingRefBased/>
  <w15:docId w15:val="{73074405-2862-324C-A836-B968F0FE3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CDA"/>
    <w:pPr>
      <w:spacing w:after="160" w:line="480" w:lineRule="auto"/>
    </w:pPr>
    <w:rPr>
      <w:kern w:val="0"/>
      <w:sz w:val="22"/>
      <w:szCs w:val="22"/>
      <w14:ligatures w14:val="none"/>
    </w:rPr>
  </w:style>
  <w:style w:type="paragraph" w:styleId="Heading1">
    <w:name w:val="heading 1"/>
    <w:basedOn w:val="Normal"/>
    <w:next w:val="Normal"/>
    <w:link w:val="Heading1Char"/>
    <w:uiPriority w:val="9"/>
    <w:qFormat/>
    <w:rsid w:val="00973CDA"/>
    <w:pPr>
      <w:keepNext/>
      <w:keepLines/>
      <w:spacing w:before="240" w:after="0"/>
      <w:outlineLvl w:val="0"/>
    </w:pPr>
    <w:rPr>
      <w:rFonts w:ascii="Arial" w:eastAsiaTheme="majorEastAsia" w:hAnsi="Arial"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DA"/>
    <w:rPr>
      <w:rFonts w:ascii="Arial" w:eastAsiaTheme="majorEastAsia" w:hAnsi="Arial" w:cstheme="majorBidi"/>
      <w:color w:val="2F5496" w:themeColor="accent1" w:themeShade="BF"/>
      <w:kern w:val="0"/>
      <w:sz w:val="32"/>
      <w:szCs w:val="32"/>
      <w14:ligatures w14:val="none"/>
    </w:rPr>
  </w:style>
  <w:style w:type="character" w:styleId="Hyperlink">
    <w:name w:val="Hyperlink"/>
    <w:basedOn w:val="DefaultParagraphFont"/>
    <w:uiPriority w:val="99"/>
    <w:unhideWhenUsed/>
    <w:rsid w:val="00A52E6F"/>
    <w:rPr>
      <w:color w:val="0563C1" w:themeColor="hyperlink"/>
      <w:u w:val="single"/>
    </w:rPr>
  </w:style>
  <w:style w:type="character" w:customStyle="1" w:styleId="apple-converted-space">
    <w:name w:val="apple-converted-space"/>
    <w:basedOn w:val="DefaultParagraphFont"/>
    <w:rsid w:val="00A52E6F"/>
  </w:style>
  <w:style w:type="paragraph" w:styleId="NormalWeb">
    <w:name w:val="Normal (Web)"/>
    <w:basedOn w:val="Normal"/>
    <w:uiPriority w:val="99"/>
    <w:unhideWhenUsed/>
    <w:rsid w:val="00A52E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7748/nr.2018.e14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k-sagepub-com.ezproxy.uwtsd.ac.uk/book/mono/quantitative-research-for-the-qualitative-researcher/toc" TargetMode="External"/><Relationship Id="rId5" Type="http://schemas.openxmlformats.org/officeDocument/2006/relationships/hyperlink" Target="https://doi.org/10.4324/978020379754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722</Words>
  <Characters>4565</Characters>
  <Application>Microsoft Office Word</Application>
  <DocSecurity>0</DocSecurity>
  <Lines>152</Lines>
  <Paragraphs>52</Paragraphs>
  <ScaleCrop>false</ScaleCrop>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2</cp:revision>
  <dcterms:created xsi:type="dcterms:W3CDTF">2025-02-02T19:30:00Z</dcterms:created>
  <dcterms:modified xsi:type="dcterms:W3CDTF">2025-02-02T19:38:00Z</dcterms:modified>
</cp:coreProperties>
</file>