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3BBDEA" w14:textId="3B1CA5C6" w:rsidR="0043318B" w:rsidRPr="0043318B" w:rsidRDefault="0043318B" w:rsidP="0043318B">
      <w:pPr>
        <w:jc w:val="center"/>
        <w:rPr>
          <w:rFonts w:asciiTheme="majorHAnsi" w:hAnsiTheme="majorHAnsi"/>
          <w:sz w:val="28"/>
          <w:szCs w:val="28"/>
          <w:u w:val="single"/>
        </w:rPr>
      </w:pPr>
      <w:r w:rsidRPr="0043318B">
        <w:rPr>
          <w:rFonts w:asciiTheme="majorHAnsi" w:hAnsiTheme="majorHAnsi"/>
          <w:sz w:val="28"/>
          <w:szCs w:val="28"/>
          <w:u w:val="single"/>
        </w:rPr>
        <w:t>Trac</w:t>
      </w:r>
      <w:r w:rsidRPr="0043318B">
        <w:rPr>
          <w:rFonts w:asciiTheme="majorHAnsi" w:hAnsiTheme="majorHAnsi"/>
          <w:sz w:val="28"/>
          <w:szCs w:val="28"/>
          <w:u w:val="single"/>
        </w:rPr>
        <w:t>ing</w:t>
      </w:r>
      <w:r w:rsidRPr="0043318B">
        <w:rPr>
          <w:rFonts w:asciiTheme="majorHAnsi" w:hAnsiTheme="majorHAnsi"/>
          <w:sz w:val="28"/>
          <w:szCs w:val="28"/>
          <w:u w:val="single"/>
        </w:rPr>
        <w:t xml:space="preserve"> the origins and development of the cult of </w:t>
      </w:r>
      <w:r w:rsidRPr="0043318B">
        <w:rPr>
          <w:rFonts w:asciiTheme="majorHAnsi" w:hAnsiTheme="majorHAnsi"/>
          <w:sz w:val="28"/>
          <w:szCs w:val="28"/>
          <w:u w:val="single"/>
        </w:rPr>
        <w:t>Saint David</w:t>
      </w:r>
    </w:p>
    <w:p w14:paraId="023871C1" w14:textId="5C570E99" w:rsidR="0043318B" w:rsidRPr="0043318B" w:rsidRDefault="0043318B" w:rsidP="00D2749C"/>
    <w:p w14:paraId="041DFA2C" w14:textId="12D7E4EB" w:rsidR="00D2749C" w:rsidRPr="00D2749C" w:rsidRDefault="009819CF" w:rsidP="00D2749C">
      <w:r>
        <w:rPr>
          <w:noProof/>
        </w:rPr>
        <w:drawing>
          <wp:anchor distT="0" distB="0" distL="114300" distR="114300" simplePos="0" relativeHeight="251657216" behindDoc="1" locked="0" layoutInCell="1" allowOverlap="1" wp14:anchorId="4C567F17" wp14:editId="21677FC8">
            <wp:simplePos x="0" y="0"/>
            <wp:positionH relativeFrom="margin">
              <wp:posOffset>3609658</wp:posOffset>
            </wp:positionH>
            <wp:positionV relativeFrom="paragraph">
              <wp:posOffset>2223</wp:posOffset>
            </wp:positionV>
            <wp:extent cx="1902460" cy="3162300"/>
            <wp:effectExtent l="0" t="0" r="2540" b="0"/>
            <wp:wrapTight wrapText="bothSides">
              <wp:wrapPolygon edited="0">
                <wp:start x="0" y="0"/>
                <wp:lineTo x="0" y="21470"/>
                <wp:lineTo x="21413" y="21470"/>
                <wp:lineTo x="21413" y="0"/>
                <wp:lineTo x="0" y="0"/>
              </wp:wrapPolygon>
            </wp:wrapTight>
            <wp:docPr id="20751357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135723" name="Picture 207513572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02460" cy="3162300"/>
                    </a:xfrm>
                    <a:prstGeom prst="rect">
                      <a:avLst/>
                    </a:prstGeom>
                  </pic:spPr>
                </pic:pic>
              </a:graphicData>
            </a:graphic>
            <wp14:sizeRelH relativeFrom="page">
              <wp14:pctWidth>0</wp14:pctWidth>
            </wp14:sizeRelH>
            <wp14:sizeRelV relativeFrom="page">
              <wp14:pctHeight>0</wp14:pctHeight>
            </wp14:sizeRelV>
          </wp:anchor>
        </w:drawing>
      </w:r>
      <w:r w:rsidR="00D2749C" w:rsidRPr="00D2749C">
        <w:t>Saint David of Wales, the nation’s patron saint, occupies a central position in Welsh religious and cultural history. Revered for his piety, asceticism, and missionary work, David’s legacy extends far beyond his historical role as a bishop in 6th-century Wales. Over centuries, the cult of Saint David evolved into a powerful symbol of Welsh identity, blending religious devotion with cultural and political significance. His veneration unified Christian communities in Celtic regions and later served as a tool for asserting Welsh independence during periods of ecclesiastical and political tension.</w:t>
      </w:r>
      <w:r w:rsidR="00D2749C" w:rsidRPr="0043318B">
        <w:rPr>
          <w:rStyle w:val="FootnoteReference"/>
        </w:rPr>
        <w:footnoteReference w:id="1"/>
      </w:r>
    </w:p>
    <w:p w14:paraId="31300B9C" w14:textId="1A5B7437" w:rsidR="00D2749C" w:rsidRPr="00D2749C" w:rsidRDefault="00D2749C" w:rsidP="00D2749C">
      <w:r w:rsidRPr="00D2749C">
        <w:t xml:space="preserve">The concept of a saint’s “cult” encompasses both religious veneration and its broader cultural, political, and economic implications. For Saint David, this includes the enduring popularity of his feast day (March 1), the prominence of pilgrimage traditions </w:t>
      </w:r>
      <w:proofErr w:type="spellStart"/>
      <w:r w:rsidRPr="0043318B">
        <w:t>centered</w:t>
      </w:r>
      <w:proofErr w:type="spellEnd"/>
      <w:r w:rsidRPr="00D2749C">
        <w:t xml:space="preserve"> on St Davids Cathedral, and his role as a unifying figure during the Norman and English conquests. These elements were heavily influenced by hagiographical narratives like </w:t>
      </w:r>
      <w:proofErr w:type="spellStart"/>
      <w:r w:rsidRPr="00D2749C">
        <w:t>Rhygyfarch’s</w:t>
      </w:r>
      <w:proofErr w:type="spellEnd"/>
      <w:r w:rsidRPr="00D2749C">
        <w:t xml:space="preserve"> </w:t>
      </w:r>
      <w:proofErr w:type="spellStart"/>
      <w:r w:rsidRPr="00D2749C">
        <w:rPr>
          <w:i/>
          <w:iCs/>
        </w:rPr>
        <w:t>Buchedd</w:t>
      </w:r>
      <w:proofErr w:type="spellEnd"/>
      <w:r w:rsidRPr="00D2749C">
        <w:rPr>
          <w:i/>
          <w:iCs/>
        </w:rPr>
        <w:t xml:space="preserve"> Dewi</w:t>
      </w:r>
      <w:r w:rsidRPr="00D2749C">
        <w:t xml:space="preserve"> (Life of Saint David), written in the 11th century, which framed David’s sanctity through accounts of miracles, prophecies, and missionary achievements.</w:t>
      </w:r>
      <w:r w:rsidRPr="0043318B">
        <w:rPr>
          <w:rStyle w:val="FootnoteReference"/>
        </w:rPr>
        <w:footnoteReference w:id="2"/>
      </w:r>
      <w:r w:rsidRPr="00D2749C">
        <w:t xml:space="preserve"> Such texts not only reinforced his religious importance but also helped construct a narrative of Welsh cultural and spiritual autonomy.</w:t>
      </w:r>
      <w:r w:rsidRPr="0043318B">
        <w:t xml:space="preserve"> </w:t>
      </w:r>
      <w:r w:rsidRPr="00D2749C">
        <w:t>Modern scholarship highlights the dual nature of Saint David’s cult as both a religious phenomenon and a socio-political construct. Historians like John Davies emphasize its role in fostering a distinct Welsh identity,</w:t>
      </w:r>
      <w:r w:rsidR="00E44409" w:rsidRPr="0043318B">
        <w:rPr>
          <w:rStyle w:val="FootnoteReference"/>
        </w:rPr>
        <w:footnoteReference w:id="3"/>
      </w:r>
      <w:r w:rsidRPr="00D2749C">
        <w:t xml:space="preserve"> while Robert Bartlett situates it within the broader tradition of medieval saintly cults as instruments of cultural cohesion. Archaeologist Nancy Edwards adds another dimension, exploring the material legacy of sites associated with David, such as Glyn Rhosyn (later St Davids Cathedral), which became a major </w:t>
      </w:r>
      <w:proofErr w:type="spellStart"/>
      <w:r w:rsidRPr="00D2749C">
        <w:t>center</w:t>
      </w:r>
      <w:proofErr w:type="spellEnd"/>
      <w:r w:rsidRPr="00D2749C">
        <w:t xml:space="preserve"> of pilgrimage.</w:t>
      </w:r>
      <w:r w:rsidR="00E44409" w:rsidRPr="0043318B">
        <w:rPr>
          <w:rStyle w:val="FootnoteReference"/>
        </w:rPr>
        <w:footnoteReference w:id="4"/>
      </w:r>
      <w:r w:rsidRPr="00D2749C">
        <w:t xml:space="preserve"> These perspectives underscore the adaptability of David’s cult, which evolved in response to historical and cultural shifts.</w:t>
      </w:r>
      <w:r w:rsidRPr="0043318B">
        <w:rPr>
          <w:rStyle w:val="FootnoteReference"/>
        </w:rPr>
        <w:footnoteReference w:id="5"/>
      </w:r>
    </w:p>
    <w:p w14:paraId="3C89E410" w14:textId="3FD1D972" w:rsidR="0043318B" w:rsidRDefault="00D2749C" w:rsidP="003B2FF0">
      <w:r w:rsidRPr="00D2749C">
        <w:t xml:space="preserve">This essay will trace the chronological development of Saint David’s cult, beginning with his life and deeds in the 6th century as recorded in the </w:t>
      </w:r>
      <w:proofErr w:type="spellStart"/>
      <w:r w:rsidRPr="00D2749C">
        <w:rPr>
          <w:i/>
          <w:iCs/>
        </w:rPr>
        <w:t>Buchedd</w:t>
      </w:r>
      <w:proofErr w:type="spellEnd"/>
      <w:r w:rsidRPr="00D2749C">
        <w:rPr>
          <w:i/>
          <w:iCs/>
        </w:rPr>
        <w:t xml:space="preserve"> Dewi</w:t>
      </w:r>
      <w:r w:rsidRPr="00D2749C">
        <w:t xml:space="preserve"> and other sources.</w:t>
      </w:r>
      <w:r w:rsidRPr="0043318B">
        <w:rPr>
          <w:rStyle w:val="FootnoteReference"/>
        </w:rPr>
        <w:footnoteReference w:id="6"/>
      </w:r>
      <w:r w:rsidRPr="00D2749C">
        <w:t xml:space="preserve"> It will examine the formation of his cult in the early medieval period, its expansion during the high Middle Ages through pilgrimage and sacred sites, and its politicization in both medieval and modern contexts. Through an analysis of literary texts, archaeological evidence, and historical narratives, this essay will argue that the cult of Saint David exemplifies the intersection of </w:t>
      </w:r>
      <w:r w:rsidRPr="00D2749C">
        <w:lastRenderedPageBreak/>
        <w:t>religious tradition, national identity, and cultural continuity, shaping both medieval and contemporary Wales.</w:t>
      </w:r>
    </w:p>
    <w:p w14:paraId="54B6B6D0" w14:textId="77777777" w:rsidR="00617908" w:rsidRPr="00617908" w:rsidRDefault="00617908" w:rsidP="003B2FF0"/>
    <w:p w14:paraId="0CDB06A3" w14:textId="33541A83" w:rsidR="003B2FF0" w:rsidRPr="003B2FF0" w:rsidRDefault="003B2FF0" w:rsidP="003B2FF0">
      <w:pPr>
        <w:rPr>
          <w:b/>
          <w:bCs/>
        </w:rPr>
      </w:pPr>
      <w:r w:rsidRPr="003B2FF0">
        <w:rPr>
          <w:b/>
          <w:bCs/>
        </w:rPr>
        <w:t>Birth and Early Life</w:t>
      </w:r>
    </w:p>
    <w:p w14:paraId="499A4420" w14:textId="0E4CBCC5" w:rsidR="003B2FF0" w:rsidRPr="003B2FF0" w:rsidRDefault="003B2FF0" w:rsidP="003B2FF0">
      <w:r w:rsidRPr="003B2FF0">
        <w:t xml:space="preserve">The </w:t>
      </w:r>
      <w:proofErr w:type="spellStart"/>
      <w:r w:rsidRPr="003B2FF0">
        <w:rPr>
          <w:i/>
          <w:iCs/>
        </w:rPr>
        <w:t>Buchedd</w:t>
      </w:r>
      <w:proofErr w:type="spellEnd"/>
      <w:r w:rsidRPr="003B2FF0">
        <w:rPr>
          <w:i/>
          <w:iCs/>
        </w:rPr>
        <w:t xml:space="preserve"> Dewi</w:t>
      </w:r>
      <w:r w:rsidRPr="003B2FF0">
        <w:t xml:space="preserve">, written by </w:t>
      </w:r>
      <w:proofErr w:type="spellStart"/>
      <w:r w:rsidRPr="003B2FF0">
        <w:t>Rhygyfarch</w:t>
      </w:r>
      <w:proofErr w:type="spellEnd"/>
      <w:r w:rsidRPr="003B2FF0">
        <w:t xml:space="preserve"> in the 11th century, portrays David’s birth as a miraculous event, elevating him to Christlike status.</w:t>
      </w:r>
      <w:r w:rsidR="00F328C9" w:rsidRPr="0043318B">
        <w:rPr>
          <w:rStyle w:val="FootnoteReference"/>
        </w:rPr>
        <w:footnoteReference w:id="7"/>
      </w:r>
      <w:r w:rsidRPr="003B2FF0">
        <w:t xml:space="preserve"> Born to Non, a noblewoman turned nun, and Sanctus, a prince of Ceredigion, David’s conception was marked by violence but sanctified by divine purpose. His birth at St Non’s Chapel in Pembrokeshire was accompanied by extraordinary signs, including a healing spring that appeared nearby. This narrative aligns with hagiographical traditions that emphasize miraculous births, such as those of Christ, the Virgin Mary, and Saint Patrick.</w:t>
      </w:r>
      <w:r w:rsidR="00F328C9" w:rsidRPr="0043318B">
        <w:rPr>
          <w:rStyle w:val="FootnoteReference"/>
        </w:rPr>
        <w:footnoteReference w:id="8"/>
      </w:r>
      <w:r w:rsidRPr="003B2FF0">
        <w:t xml:space="preserve"> These parallels establish David as a chosen figure in Christian salvation history, reinforcing his sanctity and divine </w:t>
      </w:r>
      <w:proofErr w:type="spellStart"/>
      <w:r w:rsidRPr="003B2FF0">
        <w:t>favor</w:t>
      </w:r>
      <w:proofErr w:type="spellEnd"/>
      <w:r w:rsidRPr="003B2FF0">
        <w:t>.</w:t>
      </w:r>
    </w:p>
    <w:p w14:paraId="3E346035" w14:textId="4907C4C5" w:rsidR="003B2FF0" w:rsidRPr="003B2FF0" w:rsidRDefault="003B2FF0" w:rsidP="003B2FF0">
      <w:r w:rsidRPr="003B2FF0">
        <w:t xml:space="preserve">David’s connection to Saint Patrick further elevates his status within the Celtic Christian tradition. According to the </w:t>
      </w:r>
      <w:proofErr w:type="spellStart"/>
      <w:r w:rsidRPr="003B2FF0">
        <w:rPr>
          <w:i/>
          <w:iCs/>
        </w:rPr>
        <w:t>Buchedd</w:t>
      </w:r>
      <w:proofErr w:type="spellEnd"/>
      <w:r w:rsidRPr="003B2FF0">
        <w:rPr>
          <w:i/>
          <w:iCs/>
        </w:rPr>
        <w:t xml:space="preserve"> Dewi</w:t>
      </w:r>
      <w:r w:rsidRPr="003B2FF0">
        <w:t>, Patrick received a prophecy 30 years before David’s birth, foretelling his spiritual greatness. Inspired by this vision, Patrick sought to establish a prayer site at Glyn Rhosyn (later St Davids Cathedral) before continuing his mission to Ireland.</w:t>
      </w:r>
      <w:r w:rsidR="00F328C9" w:rsidRPr="0043318B">
        <w:rPr>
          <w:rStyle w:val="FootnoteReference"/>
        </w:rPr>
        <w:footnoteReference w:id="9"/>
      </w:r>
      <w:r w:rsidRPr="003B2FF0">
        <w:t xml:space="preserve"> This link positions David as Patrick’s spiritual successor and situates him within a shared Celtic Christian heritage, emphasizing the interconnectedness of religious traditions across Wales and Ireland.</w:t>
      </w:r>
    </w:p>
    <w:p w14:paraId="7A5BB042" w14:textId="77777777" w:rsidR="003B2FF0" w:rsidRPr="003B2FF0" w:rsidRDefault="003B2FF0" w:rsidP="003B2FF0">
      <w:pPr>
        <w:rPr>
          <w:b/>
          <w:bCs/>
        </w:rPr>
      </w:pPr>
      <w:r w:rsidRPr="003B2FF0">
        <w:rPr>
          <w:b/>
          <w:bCs/>
        </w:rPr>
        <w:t>Monasticism and Social Impact</w:t>
      </w:r>
    </w:p>
    <w:p w14:paraId="2A85E078" w14:textId="42CBCA51" w:rsidR="003B2FF0" w:rsidRPr="003B2FF0" w:rsidRDefault="003B2FF0" w:rsidP="003B2FF0">
      <w:r w:rsidRPr="003B2FF0">
        <w:t xml:space="preserve">David’s adult life is characterized by his dedication to monastic reform and missionary work. He is credited with founding numerous monasteries, the most prominent being Glyn Rhosyn. These communities adhered to strict ascetic practices, as described in the </w:t>
      </w:r>
      <w:proofErr w:type="spellStart"/>
      <w:r w:rsidRPr="003B2FF0">
        <w:rPr>
          <w:i/>
          <w:iCs/>
        </w:rPr>
        <w:t>Buchedd</w:t>
      </w:r>
      <w:proofErr w:type="spellEnd"/>
      <w:r w:rsidRPr="003B2FF0">
        <w:rPr>
          <w:i/>
          <w:iCs/>
        </w:rPr>
        <w:t xml:space="preserve"> Dewi</w:t>
      </w:r>
      <w:r w:rsidRPr="003B2FF0">
        <w:t xml:space="preserve">: monks abstained from meat and alcohol, performed manual </w:t>
      </w:r>
      <w:r w:rsidR="00F328C9" w:rsidRPr="0043318B">
        <w:t>labour</w:t>
      </w:r>
      <w:r w:rsidRPr="003B2FF0">
        <w:t>, and lived in communal poverty. Such rules reflect broader trends in Celtic monasticism, which sought to emulate apostolic poverty and cultivate spiritual discipline.</w:t>
      </w:r>
      <w:r w:rsidR="00F328C9" w:rsidRPr="0043318B">
        <w:rPr>
          <w:rStyle w:val="FootnoteReference"/>
        </w:rPr>
        <w:footnoteReference w:id="10"/>
      </w:r>
    </w:p>
    <w:p w14:paraId="6D01253F" w14:textId="08E7E09D" w:rsidR="003B2FF0" w:rsidRPr="003B2FF0" w:rsidRDefault="003B2FF0" w:rsidP="003B2FF0">
      <w:r w:rsidRPr="003B2FF0">
        <w:t xml:space="preserve">Monasteries in early medieval Wales were not solely spiritual institutions; they also served as </w:t>
      </w:r>
      <w:proofErr w:type="spellStart"/>
      <w:r w:rsidRPr="003B2FF0">
        <w:t>centers</w:t>
      </w:r>
      <w:proofErr w:type="spellEnd"/>
      <w:r w:rsidRPr="003B2FF0">
        <w:t xml:space="preserve"> of education, agriculture, and social stability. Wendy Davies emphasizes their role in preserving literacy through manuscript production and fostering local economies via agricultural innovation.</w:t>
      </w:r>
      <w:r w:rsidR="00F328C9" w:rsidRPr="0043318B">
        <w:rPr>
          <w:rStyle w:val="FootnoteReference"/>
        </w:rPr>
        <w:footnoteReference w:id="11"/>
      </w:r>
      <w:r w:rsidRPr="003B2FF0">
        <w:t xml:space="preserve"> David’s monastic reforms thus extended beyond spiritual renewal, addressing the social and political fragmentation of post-Roman Britain. His reputed missionary journeys, including travels to Brittany and western England, align with the Celtic tradition of </w:t>
      </w:r>
      <w:proofErr w:type="spellStart"/>
      <w:r w:rsidRPr="003B2FF0">
        <w:t>peregrinatio</w:t>
      </w:r>
      <w:proofErr w:type="spellEnd"/>
      <w:r w:rsidRPr="003B2FF0">
        <w:t>, or voluntary exile for the sake of spreading Christianity.</w:t>
      </w:r>
      <w:r w:rsidR="00F328C9" w:rsidRPr="0043318B">
        <w:rPr>
          <w:rStyle w:val="FootnoteReference"/>
        </w:rPr>
        <w:footnoteReference w:id="12"/>
      </w:r>
    </w:p>
    <w:p w14:paraId="5FFED0EE" w14:textId="77777777" w:rsidR="003B2FF0" w:rsidRPr="003B2FF0" w:rsidRDefault="003B2FF0" w:rsidP="003B2FF0">
      <w:pPr>
        <w:rPr>
          <w:b/>
          <w:bCs/>
        </w:rPr>
      </w:pPr>
      <w:r w:rsidRPr="003B2FF0">
        <w:rPr>
          <w:b/>
          <w:bCs/>
        </w:rPr>
        <w:t>Miracles and Symbolism</w:t>
      </w:r>
    </w:p>
    <w:p w14:paraId="4DA21BCB" w14:textId="2AA328AC" w:rsidR="003B2FF0" w:rsidRPr="003B2FF0" w:rsidRDefault="003B2FF0" w:rsidP="003B2FF0">
      <w:r w:rsidRPr="003B2FF0">
        <w:t xml:space="preserve">Miracles attributed to David in the </w:t>
      </w:r>
      <w:proofErr w:type="spellStart"/>
      <w:r w:rsidRPr="003B2FF0">
        <w:rPr>
          <w:i/>
          <w:iCs/>
        </w:rPr>
        <w:t>Buchedd</w:t>
      </w:r>
      <w:proofErr w:type="spellEnd"/>
      <w:r w:rsidRPr="003B2FF0">
        <w:rPr>
          <w:i/>
          <w:iCs/>
        </w:rPr>
        <w:t xml:space="preserve"> Dewi</w:t>
      </w:r>
      <w:r w:rsidRPr="003B2FF0">
        <w:t xml:space="preserve"> serve to validate his sanctity and leadership. The Synod of </w:t>
      </w:r>
      <w:proofErr w:type="spellStart"/>
      <w:r w:rsidRPr="003B2FF0">
        <w:t>Brefi</w:t>
      </w:r>
      <w:proofErr w:type="spellEnd"/>
      <w:r w:rsidRPr="003B2FF0">
        <w:t xml:space="preserve">, where David’s </w:t>
      </w:r>
      <w:proofErr w:type="spellStart"/>
      <w:r w:rsidRPr="003B2FF0">
        <w:t>defense</w:t>
      </w:r>
      <w:proofErr w:type="spellEnd"/>
      <w:r w:rsidRPr="003B2FF0">
        <w:t xml:space="preserve"> of orthodox Christianity reportedly caused the ground </w:t>
      </w:r>
      <w:r w:rsidRPr="003B2FF0">
        <w:lastRenderedPageBreak/>
        <w:t>beneath him to rise into a hill, is particularly significant. This event symbolizes divine endorsement of David’s authority and doctrinal purity, while the synod itself marks a pivotal moment in the consolidation of Welsh Christianity.</w:t>
      </w:r>
      <w:r w:rsidR="00F328C9" w:rsidRPr="0043318B">
        <w:rPr>
          <w:rStyle w:val="FootnoteReference"/>
        </w:rPr>
        <w:footnoteReference w:id="13"/>
      </w:r>
      <w:r w:rsidRPr="003B2FF0">
        <w:t xml:space="preserve"> David’s election as bishop following this miracle underscores his acceptance as a unifying figure within the early Church.</w:t>
      </w:r>
    </w:p>
    <w:p w14:paraId="5F1112B6" w14:textId="341828C9" w:rsidR="003B2FF0" w:rsidRPr="003B2FF0" w:rsidRDefault="003B2FF0" w:rsidP="003B2FF0">
      <w:r w:rsidRPr="003B2FF0">
        <w:t>Other miracles, including healing the blind, taming wild animals, and resurrecting the dead, further reinforce David’s role as a mediator between the divine and earthly realms. These narratives reflect common themes in Christian hagiography, illustrating the saint’s connection to divine power and his capacity to perform acts of compassion and spiritual significance.</w:t>
      </w:r>
      <w:r w:rsidR="00F328C9" w:rsidRPr="0043318B">
        <w:rPr>
          <w:rStyle w:val="FootnoteReference"/>
        </w:rPr>
        <w:footnoteReference w:id="14"/>
      </w:r>
      <w:r w:rsidRPr="003B2FF0">
        <w:t xml:space="preserve"> The natural elements in these miracles, such as his interaction with animals, resonate with Celtic Christian values that emphasize harmony with creation.</w:t>
      </w:r>
    </w:p>
    <w:p w14:paraId="2D07B366" w14:textId="77777777" w:rsidR="003B2FF0" w:rsidRPr="003B2FF0" w:rsidRDefault="003B2FF0" w:rsidP="003B2FF0">
      <w:pPr>
        <w:rPr>
          <w:b/>
          <w:bCs/>
        </w:rPr>
      </w:pPr>
      <w:r w:rsidRPr="003B2FF0">
        <w:rPr>
          <w:b/>
          <w:bCs/>
        </w:rPr>
        <w:t xml:space="preserve">Critical Perspectives on the </w:t>
      </w:r>
      <w:proofErr w:type="spellStart"/>
      <w:r w:rsidRPr="003B2FF0">
        <w:rPr>
          <w:b/>
          <w:bCs/>
          <w:i/>
          <w:iCs/>
        </w:rPr>
        <w:t>Buchedd</w:t>
      </w:r>
      <w:proofErr w:type="spellEnd"/>
      <w:r w:rsidRPr="003B2FF0">
        <w:rPr>
          <w:b/>
          <w:bCs/>
          <w:i/>
          <w:iCs/>
        </w:rPr>
        <w:t xml:space="preserve"> Dewi</w:t>
      </w:r>
    </w:p>
    <w:p w14:paraId="1B7A1D62" w14:textId="19CEE3E1" w:rsidR="003B2FF0" w:rsidRPr="003B2FF0" w:rsidRDefault="003B2FF0" w:rsidP="003B2FF0">
      <w:r w:rsidRPr="003B2FF0">
        <w:t xml:space="preserve">The </w:t>
      </w:r>
      <w:proofErr w:type="spellStart"/>
      <w:r w:rsidRPr="003B2FF0">
        <w:rPr>
          <w:i/>
          <w:iCs/>
        </w:rPr>
        <w:t>Buchedd</w:t>
      </w:r>
      <w:proofErr w:type="spellEnd"/>
      <w:r w:rsidRPr="003B2FF0">
        <w:rPr>
          <w:i/>
          <w:iCs/>
        </w:rPr>
        <w:t xml:space="preserve"> Dewi</w:t>
      </w:r>
      <w:r w:rsidRPr="003B2FF0">
        <w:t xml:space="preserve"> is both a theological and political document, written during a time when the Welsh Church sought to assert its independence from Canterbury. Nancy Edwards argues that </w:t>
      </w:r>
      <w:proofErr w:type="spellStart"/>
      <w:r w:rsidRPr="003B2FF0">
        <w:t>Rhygyfarch’s</w:t>
      </w:r>
      <w:proofErr w:type="spellEnd"/>
      <w:r w:rsidRPr="003B2FF0">
        <w:t xml:space="preserve"> portrayal of David as a preeminent spiritual leader was intended to bolster the Welsh Church’s claims of autonomy by presenting David as a figure of unassailable authority.</w:t>
      </w:r>
      <w:r w:rsidR="00F328C9" w:rsidRPr="0043318B">
        <w:rPr>
          <w:rStyle w:val="FootnoteReference"/>
        </w:rPr>
        <w:footnoteReference w:id="15"/>
      </w:r>
      <w:r w:rsidRPr="003B2FF0">
        <w:t xml:space="preserve"> Wendy Davies similarly highlights how the hagiography reinforced Welsh identity by elevating a local saint as a symbol of ecclesiastical and cultural unity.</w:t>
      </w:r>
      <w:r w:rsidR="00F328C9" w:rsidRPr="0043318B">
        <w:rPr>
          <w:rStyle w:val="FootnoteReference"/>
        </w:rPr>
        <w:footnoteReference w:id="16"/>
      </w:r>
    </w:p>
    <w:p w14:paraId="36C5FD76" w14:textId="51F627F3" w:rsidR="003B2FF0" w:rsidRPr="003B2FF0" w:rsidRDefault="003B2FF0" w:rsidP="003B2FF0">
      <w:r w:rsidRPr="003B2FF0">
        <w:t xml:space="preserve">Comparisons with other hagiographical texts, such as the </w:t>
      </w:r>
      <w:r w:rsidRPr="003B2FF0">
        <w:rPr>
          <w:i/>
          <w:iCs/>
        </w:rPr>
        <w:t>Vita Columbae</w:t>
      </w:r>
      <w:r w:rsidRPr="003B2FF0">
        <w:t xml:space="preserve"> of Saint Columba, reveal shared motifs, including miraculous births, monastic discipline, and missionary journeys. However, the </w:t>
      </w:r>
      <w:proofErr w:type="spellStart"/>
      <w:r w:rsidRPr="003B2FF0">
        <w:rPr>
          <w:i/>
          <w:iCs/>
        </w:rPr>
        <w:t>Buchedd</w:t>
      </w:r>
      <w:proofErr w:type="spellEnd"/>
      <w:r w:rsidRPr="003B2FF0">
        <w:rPr>
          <w:i/>
          <w:iCs/>
        </w:rPr>
        <w:t xml:space="preserve"> Dewi</w:t>
      </w:r>
      <w:r w:rsidRPr="003B2FF0">
        <w:t xml:space="preserve"> places unique emphasis on David’s role as a unifying figure, reflecting the fragmented political landscape of 11th-century Wales.</w:t>
      </w:r>
      <w:r w:rsidR="00F328C9" w:rsidRPr="0043318B">
        <w:rPr>
          <w:rStyle w:val="FootnoteReference"/>
        </w:rPr>
        <w:footnoteReference w:id="17"/>
      </w:r>
    </w:p>
    <w:p w14:paraId="64996EEF" w14:textId="77777777" w:rsidR="003B2FF0" w:rsidRPr="003B2FF0" w:rsidRDefault="003B2FF0" w:rsidP="003B2FF0">
      <w:pPr>
        <w:rPr>
          <w:b/>
          <w:bCs/>
        </w:rPr>
      </w:pPr>
      <w:r w:rsidRPr="003B2FF0">
        <w:rPr>
          <w:b/>
          <w:bCs/>
        </w:rPr>
        <w:t>Material Evidence</w:t>
      </w:r>
    </w:p>
    <w:p w14:paraId="0A1F2709" w14:textId="173F77C0" w:rsidR="003B2FF0" w:rsidRPr="003B2FF0" w:rsidRDefault="003B2FF0" w:rsidP="003B2FF0">
      <w:r w:rsidRPr="003B2FF0">
        <w:t>Archaeological findings provide tangible support for elements of David’s narrative, while also illustrating the blending of Christian and pre-Christian traditions. Excavations at St Davids Cathedral have uncovered evidence of early monastic structures, suggesting that Glyn Rhosyn was a significant religious site during David’s lifetime</w:t>
      </w:r>
      <w:r w:rsidR="005D0AF2" w:rsidRPr="0043318B">
        <w:t>.</w:t>
      </w:r>
      <w:r w:rsidRPr="003B2FF0">
        <w:t xml:space="preserve"> Similarly, St Non’s Chapel, associated with David’s birth, features a well that local tradition holds as the healing spring described in the </w:t>
      </w:r>
      <w:proofErr w:type="spellStart"/>
      <w:r w:rsidRPr="003B2FF0">
        <w:rPr>
          <w:i/>
          <w:iCs/>
        </w:rPr>
        <w:t>Buchedd</w:t>
      </w:r>
      <w:proofErr w:type="spellEnd"/>
      <w:r w:rsidRPr="003B2FF0">
        <w:rPr>
          <w:i/>
          <w:iCs/>
        </w:rPr>
        <w:t xml:space="preserve"> Dewi</w:t>
      </w:r>
      <w:r w:rsidRPr="003B2FF0">
        <w:t>. These findings corroborate certain aspects of the hagiography while highlighting the incorporation of older sacred sites into Christian narratives.</w:t>
      </w:r>
    </w:p>
    <w:p w14:paraId="39F819DB" w14:textId="6028243C" w:rsidR="00B369FB" w:rsidRPr="0043318B" w:rsidRDefault="003B2FF0" w:rsidP="003B2FF0">
      <w:r w:rsidRPr="003B2FF0">
        <w:t xml:space="preserve">Saint David’s life, as depicted in the </w:t>
      </w:r>
      <w:proofErr w:type="spellStart"/>
      <w:r w:rsidRPr="003B2FF0">
        <w:rPr>
          <w:i/>
          <w:iCs/>
        </w:rPr>
        <w:t>Buchedd</w:t>
      </w:r>
      <w:proofErr w:type="spellEnd"/>
      <w:r w:rsidRPr="003B2FF0">
        <w:rPr>
          <w:i/>
          <w:iCs/>
        </w:rPr>
        <w:t xml:space="preserve"> Dewi</w:t>
      </w:r>
      <w:r w:rsidRPr="003B2FF0">
        <w:t xml:space="preserve">, reflects the theological aspirations of medieval Christianity and the socio-political needs of the Welsh Church. His Christlike birth, connection to Saint Patrick, and miraculous deeds elevate him as a figure of spiritual and cultural significance. At the same time, his emphasis on monastic reform and missionary work underscores his role in addressing the challenges of early medieval Welsh society. These </w:t>
      </w:r>
      <w:r w:rsidRPr="003B2FF0">
        <w:lastRenderedPageBreak/>
        <w:t>narratives, shaped by both historical realities and theological constructs, laid the foundation for David’s enduring veneration as a symbol of Welsh identity and religious heritage.</w:t>
      </w:r>
    </w:p>
    <w:p w14:paraId="367C1C6C" w14:textId="4E6B9372" w:rsidR="00B369FB" w:rsidRPr="00B369FB" w:rsidRDefault="00B369FB" w:rsidP="00B369FB">
      <w:r w:rsidRPr="00B369FB">
        <w:t xml:space="preserve">The early veneration of Saint David was pivotal in establishing his cult as a cornerstone of Welsh Christianity. Although historical references to David are sparse before the 11th century, his legacy was preserved through oral traditions, early ecclesiastical chronicles, and, ultimately, the </w:t>
      </w:r>
      <w:proofErr w:type="spellStart"/>
      <w:r w:rsidRPr="00B369FB">
        <w:rPr>
          <w:i/>
          <w:iCs/>
        </w:rPr>
        <w:t>Buchedd</w:t>
      </w:r>
      <w:proofErr w:type="spellEnd"/>
      <w:r w:rsidRPr="00B369FB">
        <w:rPr>
          <w:i/>
          <w:iCs/>
        </w:rPr>
        <w:t xml:space="preserve"> Dewi</w:t>
      </w:r>
      <w:r w:rsidRPr="00B369FB">
        <w:t>. This period saw David’s transformation from a regional holy man into a unifying spiritual figure, reflecting both religious devotion and the socio-political aspirations of medieval Wales.</w:t>
      </w:r>
    </w:p>
    <w:p w14:paraId="0F5DB398" w14:textId="761DC98F" w:rsidR="00B369FB" w:rsidRPr="00B369FB" w:rsidRDefault="00B369FB" w:rsidP="00B369FB">
      <w:pPr>
        <w:rPr>
          <w:b/>
          <w:bCs/>
        </w:rPr>
      </w:pPr>
      <w:r w:rsidRPr="00B369FB">
        <w:rPr>
          <w:b/>
          <w:bCs/>
        </w:rPr>
        <w:t>Early Mentions and Oral Traditions</w:t>
      </w:r>
    </w:p>
    <w:p w14:paraId="18BF9A93" w14:textId="4A47CD0E" w:rsidR="00B369FB" w:rsidRPr="00B369FB" w:rsidRDefault="00B369FB" w:rsidP="00B369FB">
      <w:r w:rsidRPr="00B369FB">
        <w:t xml:space="preserve">The earliest written reference to Saint David appears in the </w:t>
      </w:r>
      <w:r w:rsidRPr="00B369FB">
        <w:rPr>
          <w:i/>
          <w:iCs/>
        </w:rPr>
        <w:t>Annales Cambriae</w:t>
      </w:r>
      <w:r w:rsidRPr="00B369FB">
        <w:t xml:space="preserve"> (</w:t>
      </w:r>
      <w:r w:rsidRPr="00B369FB">
        <w:rPr>
          <w:i/>
          <w:iCs/>
        </w:rPr>
        <w:t>Annals of Wales</w:t>
      </w:r>
      <w:r w:rsidRPr="00B369FB">
        <w:t>), a chronicle compiled in the 10th century. The annals briefly record David’s death in the year 601, providing one of the few historical anchors for his existence.</w:t>
      </w:r>
      <w:r w:rsidRPr="0043318B">
        <w:rPr>
          <w:rStyle w:val="FootnoteReference"/>
        </w:rPr>
        <w:footnoteReference w:id="18"/>
      </w:r>
      <w:r w:rsidRPr="00B369FB">
        <w:t xml:space="preserve"> However, this entry offers little detail about his life or deeds, suggesting that much of David’s early reputation was preserved through oral tradition.</w:t>
      </w:r>
    </w:p>
    <w:p w14:paraId="0999B067" w14:textId="3E25FA6D" w:rsidR="00B369FB" w:rsidRPr="00B369FB" w:rsidRDefault="00B369FB" w:rsidP="00B369FB">
      <w:r w:rsidRPr="00B369FB">
        <w:t xml:space="preserve">Oral traditions about David flourished in early medieval Wales, particularly in the Pembrokeshire region, where he was celebrated as a protector of communities and a worker of miracles. These stories formed the foundation for the hagiographical narratives later formalized in the </w:t>
      </w:r>
      <w:proofErr w:type="spellStart"/>
      <w:r w:rsidRPr="00B369FB">
        <w:rPr>
          <w:i/>
          <w:iCs/>
        </w:rPr>
        <w:t>Buchedd</w:t>
      </w:r>
      <w:proofErr w:type="spellEnd"/>
      <w:r w:rsidRPr="00B369FB">
        <w:rPr>
          <w:i/>
          <w:iCs/>
        </w:rPr>
        <w:t xml:space="preserve"> Dewi</w:t>
      </w:r>
      <w:r w:rsidRPr="00B369FB">
        <w:t>.</w:t>
      </w:r>
      <w:r w:rsidRPr="0043318B">
        <w:rPr>
          <w:rStyle w:val="FootnoteReference"/>
        </w:rPr>
        <w:footnoteReference w:id="19"/>
      </w:r>
      <w:r w:rsidRPr="00B369FB">
        <w:t xml:space="preserve"> This reliance on oral culture aligns with broader patterns in Celtic Christianity, where saints were venerated through local customs and storytelling long before their lives were committed to writing. These narratives emphasized David’s sanctity and divine </w:t>
      </w:r>
      <w:proofErr w:type="spellStart"/>
      <w:r w:rsidRPr="00B369FB">
        <w:t>favor</w:t>
      </w:r>
      <w:proofErr w:type="spellEnd"/>
      <w:r w:rsidRPr="00B369FB">
        <w:t>, creating a shared cultural memory that resonated across Wales.</w:t>
      </w:r>
    </w:p>
    <w:p w14:paraId="73EBD764" w14:textId="77777777" w:rsidR="00B369FB" w:rsidRPr="00B369FB" w:rsidRDefault="00B369FB" w:rsidP="00B369FB">
      <w:pPr>
        <w:rPr>
          <w:b/>
          <w:bCs/>
        </w:rPr>
      </w:pPr>
      <w:r w:rsidRPr="00B369FB">
        <w:rPr>
          <w:b/>
          <w:bCs/>
        </w:rPr>
        <w:t xml:space="preserve">The </w:t>
      </w:r>
      <w:proofErr w:type="spellStart"/>
      <w:r w:rsidRPr="00B369FB">
        <w:rPr>
          <w:b/>
          <w:bCs/>
          <w:i/>
          <w:iCs/>
        </w:rPr>
        <w:t>Buchedd</w:t>
      </w:r>
      <w:proofErr w:type="spellEnd"/>
      <w:r w:rsidRPr="00B369FB">
        <w:rPr>
          <w:b/>
          <w:bCs/>
          <w:i/>
          <w:iCs/>
        </w:rPr>
        <w:t xml:space="preserve"> Dewi</w:t>
      </w:r>
      <w:r w:rsidRPr="00B369FB">
        <w:rPr>
          <w:b/>
          <w:bCs/>
        </w:rPr>
        <w:t xml:space="preserve"> and the Construction of Sanctity</w:t>
      </w:r>
    </w:p>
    <w:p w14:paraId="39B31D87" w14:textId="13EC56E5" w:rsidR="00B369FB" w:rsidRPr="00B369FB" w:rsidRDefault="00B369FB" w:rsidP="00B369FB">
      <w:r w:rsidRPr="00B369FB">
        <w:t xml:space="preserve">The </w:t>
      </w:r>
      <w:proofErr w:type="spellStart"/>
      <w:r w:rsidRPr="00B369FB">
        <w:rPr>
          <w:i/>
          <w:iCs/>
        </w:rPr>
        <w:t>Buchedd</w:t>
      </w:r>
      <w:proofErr w:type="spellEnd"/>
      <w:r w:rsidRPr="00B369FB">
        <w:rPr>
          <w:i/>
          <w:iCs/>
        </w:rPr>
        <w:t xml:space="preserve"> Dewi</w:t>
      </w:r>
      <w:r w:rsidRPr="00B369FB">
        <w:t xml:space="preserve">, written by </w:t>
      </w:r>
      <w:proofErr w:type="spellStart"/>
      <w:r w:rsidRPr="00B369FB">
        <w:t>Rhygyfarch</w:t>
      </w:r>
      <w:proofErr w:type="spellEnd"/>
      <w:r w:rsidRPr="00B369FB">
        <w:t xml:space="preserve"> in the 11th century, marked a turning point in the formalization of Saint David’s cult. </w:t>
      </w:r>
      <w:proofErr w:type="spellStart"/>
      <w:r w:rsidRPr="00B369FB">
        <w:t>Rhygyfarch’s</w:t>
      </w:r>
      <w:proofErr w:type="spellEnd"/>
      <w:r w:rsidRPr="00B369FB">
        <w:t xml:space="preserve"> work sought to assert the independence of the Welsh Church from Canterbury by presenting David as a preeminent spiritual leader, a miracle-worker, and a model of Christian virtue. This portrayal elevated David above other regional saints and positioned him as a figure of national importance.</w:t>
      </w:r>
      <w:r w:rsidRPr="0043318B">
        <w:rPr>
          <w:rStyle w:val="FootnoteReference"/>
        </w:rPr>
        <w:footnoteReference w:id="20"/>
      </w:r>
    </w:p>
    <w:p w14:paraId="278083CF" w14:textId="266174CC" w:rsidR="00B369FB" w:rsidRPr="00B369FB" w:rsidRDefault="00B369FB" w:rsidP="00B369FB">
      <w:r w:rsidRPr="00B369FB">
        <w:t xml:space="preserve">The </w:t>
      </w:r>
      <w:proofErr w:type="spellStart"/>
      <w:r w:rsidRPr="00B369FB">
        <w:rPr>
          <w:i/>
          <w:iCs/>
        </w:rPr>
        <w:t>Buchedd</w:t>
      </w:r>
      <w:proofErr w:type="spellEnd"/>
      <w:r w:rsidRPr="00B369FB">
        <w:rPr>
          <w:i/>
          <w:iCs/>
        </w:rPr>
        <w:t xml:space="preserve"> Dewi</w:t>
      </w:r>
      <w:r w:rsidRPr="00B369FB">
        <w:t xml:space="preserve"> emphasizes three key themes in constructing David’s sanctity:</w:t>
      </w:r>
    </w:p>
    <w:p w14:paraId="084D65C8" w14:textId="7834347F" w:rsidR="00B369FB" w:rsidRPr="00B369FB" w:rsidRDefault="00B369FB" w:rsidP="00B369FB">
      <w:pPr>
        <w:numPr>
          <w:ilvl w:val="0"/>
          <w:numId w:val="4"/>
        </w:numPr>
      </w:pPr>
      <w:r w:rsidRPr="00B369FB">
        <w:t xml:space="preserve">Divine Favor: Miraculous events, such as David’s Christlike birth and his leadership at the Synod of </w:t>
      </w:r>
      <w:proofErr w:type="spellStart"/>
      <w:r w:rsidRPr="00B369FB">
        <w:t>Brefi</w:t>
      </w:r>
      <w:proofErr w:type="spellEnd"/>
      <w:r w:rsidRPr="00B369FB">
        <w:t>, underscore his predestined holiness.</w:t>
      </w:r>
    </w:p>
    <w:p w14:paraId="1C466B5F" w14:textId="0CD8EC4A" w:rsidR="00B369FB" w:rsidRPr="00B369FB" w:rsidRDefault="00B369FB" w:rsidP="00B369FB">
      <w:pPr>
        <w:numPr>
          <w:ilvl w:val="0"/>
          <w:numId w:val="4"/>
        </w:numPr>
      </w:pPr>
      <w:r w:rsidRPr="00B369FB">
        <w:t xml:space="preserve">Ecclesiastical Authority: </w:t>
      </w:r>
      <w:proofErr w:type="spellStart"/>
      <w:r w:rsidRPr="00B369FB">
        <w:t>Rhygyfarch</w:t>
      </w:r>
      <w:proofErr w:type="spellEnd"/>
      <w:r w:rsidRPr="00B369FB">
        <w:t xml:space="preserve"> portrays David as a unifying figure within the Welsh Church, emphasizing his role as a defender of orthodoxy.</w:t>
      </w:r>
    </w:p>
    <w:p w14:paraId="5491DA73" w14:textId="13E5BEAC" w:rsidR="00B369FB" w:rsidRPr="00B369FB" w:rsidRDefault="00B369FB" w:rsidP="00B369FB">
      <w:pPr>
        <w:numPr>
          <w:ilvl w:val="0"/>
          <w:numId w:val="4"/>
        </w:numPr>
      </w:pPr>
      <w:r w:rsidRPr="00B369FB">
        <w:t>Moral Exemplar: David’s ascetic lifestyle reflects broader Christian ideals of humility, poverty, and devotion.</w:t>
      </w:r>
    </w:p>
    <w:p w14:paraId="7A765DCB" w14:textId="595929A9" w:rsidR="00B369FB" w:rsidRPr="00B369FB" w:rsidRDefault="00B369FB" w:rsidP="00B369FB">
      <w:r w:rsidRPr="00B369FB">
        <w:t xml:space="preserve">These themes, while consistent with other hagiographies like the </w:t>
      </w:r>
      <w:r w:rsidRPr="00B369FB">
        <w:rPr>
          <w:i/>
          <w:iCs/>
        </w:rPr>
        <w:t>Vita Columbae</w:t>
      </w:r>
      <w:r w:rsidRPr="00B369FB">
        <w:t xml:space="preserve"> and </w:t>
      </w:r>
      <w:r w:rsidRPr="00B369FB">
        <w:rPr>
          <w:i/>
          <w:iCs/>
        </w:rPr>
        <w:t xml:space="preserve">Vita Sancti </w:t>
      </w:r>
      <w:proofErr w:type="spellStart"/>
      <w:r w:rsidRPr="00B369FB">
        <w:rPr>
          <w:i/>
          <w:iCs/>
        </w:rPr>
        <w:t>Patricii</w:t>
      </w:r>
      <w:proofErr w:type="spellEnd"/>
      <w:r w:rsidRPr="00B369FB">
        <w:t xml:space="preserve">, are uniquely tailored to reinforce Welsh ecclesiastical autonomy. The </w:t>
      </w:r>
      <w:proofErr w:type="spellStart"/>
      <w:r w:rsidRPr="00B369FB">
        <w:rPr>
          <w:i/>
          <w:iCs/>
        </w:rPr>
        <w:t>Buchedd</w:t>
      </w:r>
      <w:proofErr w:type="spellEnd"/>
      <w:r w:rsidRPr="00B369FB">
        <w:rPr>
          <w:i/>
          <w:iCs/>
        </w:rPr>
        <w:t xml:space="preserve"> Dewi</w:t>
      </w:r>
      <w:r w:rsidRPr="00B369FB">
        <w:t xml:space="preserve"> </w:t>
      </w:r>
      <w:r w:rsidRPr="00B369FB">
        <w:lastRenderedPageBreak/>
        <w:t>was as much a political statement as a religious one, designed to bolster Welsh identity amid Norman incursions and the growing influence of Canterbury.</w:t>
      </w:r>
      <w:r w:rsidRPr="0043318B">
        <w:rPr>
          <w:rStyle w:val="FootnoteReference"/>
        </w:rPr>
        <w:footnoteReference w:id="21"/>
      </w:r>
    </w:p>
    <w:p w14:paraId="29F923CB" w14:textId="352B736F" w:rsidR="00B369FB" w:rsidRPr="00B369FB" w:rsidRDefault="00B369FB" w:rsidP="00B369FB"/>
    <w:p w14:paraId="55DEDDB7" w14:textId="53511AE6" w:rsidR="00B369FB" w:rsidRPr="00B369FB" w:rsidRDefault="00B369FB" w:rsidP="00B369FB">
      <w:pPr>
        <w:rPr>
          <w:b/>
          <w:bCs/>
        </w:rPr>
      </w:pPr>
      <w:r w:rsidRPr="00B369FB">
        <w:rPr>
          <w:b/>
          <w:bCs/>
        </w:rPr>
        <w:t>Pilgrimage and the Spread of the Cult</w:t>
      </w:r>
    </w:p>
    <w:p w14:paraId="61EC8D72" w14:textId="699432A4" w:rsidR="00B369FB" w:rsidRPr="00B369FB" w:rsidRDefault="00B369FB" w:rsidP="00B369FB">
      <w:r w:rsidRPr="00B369FB">
        <w:t xml:space="preserve">By the 12th century, Saint David’s cult had become a focal point of Welsh Christianity. Glyn Rhosyn (later St Davids Cathedral) emerged as a major pilgrimage site, drawing visitors from across Wales and beyond. Pope Callixtus II’s declaration that two pilgrimages to St Davids </w:t>
      </w:r>
      <w:proofErr w:type="spellStart"/>
      <w:r w:rsidRPr="00B369FB">
        <w:t>equaled</w:t>
      </w:r>
      <w:proofErr w:type="spellEnd"/>
      <w:r w:rsidRPr="00B369FB">
        <w:t xml:space="preserve"> one to Rome elevated its status within the broader Christian world.</w:t>
      </w:r>
      <w:r w:rsidRPr="0043318B">
        <w:rPr>
          <w:rStyle w:val="FootnoteReference"/>
        </w:rPr>
        <w:footnoteReference w:id="22"/>
      </w:r>
      <w:r w:rsidRPr="00B369FB">
        <w:t xml:space="preserve"> This recognition not only enhanced the spiritual significance of David’s cult but also its socio-economic impact, as pilgrimage traditions fostered connections between Welsh communities and supported local economies.</w:t>
      </w:r>
    </w:p>
    <w:p w14:paraId="21AE46FE" w14:textId="4CA02A23" w:rsidR="00B369FB" w:rsidRPr="0043318B" w:rsidRDefault="00BB214D" w:rsidP="00B369FB">
      <w:r>
        <w:rPr>
          <w:noProof/>
        </w:rPr>
        <w:drawing>
          <wp:anchor distT="0" distB="0" distL="114300" distR="114300" simplePos="0" relativeHeight="251659264" behindDoc="0" locked="0" layoutInCell="1" allowOverlap="1" wp14:anchorId="0C8B3604" wp14:editId="377D5037">
            <wp:simplePos x="0" y="0"/>
            <wp:positionH relativeFrom="margin">
              <wp:align>right</wp:align>
            </wp:positionH>
            <wp:positionV relativeFrom="paragraph">
              <wp:posOffset>6033</wp:posOffset>
            </wp:positionV>
            <wp:extent cx="2619375" cy="2140585"/>
            <wp:effectExtent l="0" t="0" r="9525" b="0"/>
            <wp:wrapTight wrapText="bothSides">
              <wp:wrapPolygon edited="0">
                <wp:start x="0" y="0"/>
                <wp:lineTo x="0" y="21337"/>
                <wp:lineTo x="21521" y="21337"/>
                <wp:lineTo x="21521" y="0"/>
                <wp:lineTo x="0" y="0"/>
              </wp:wrapPolygon>
            </wp:wrapTight>
            <wp:docPr id="1556080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08046" name="Picture 4"/>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619375" cy="2140585"/>
                    </a:xfrm>
                    <a:prstGeom prst="rect">
                      <a:avLst/>
                    </a:prstGeom>
                  </pic:spPr>
                </pic:pic>
              </a:graphicData>
            </a:graphic>
          </wp:anchor>
        </w:drawing>
      </w:r>
      <w:r w:rsidR="00B369FB" w:rsidRPr="00B369FB">
        <w:t>Pilgrimage practices often incorporated earlier local traditions. For example, St Non’s Well, a sacred site associated with David’s birth, became a popular destination for those seeking healing. These practices reflect the blending of Christian and pre-Christian elements, a hallmark of early medieval Celtic Christianity that allowed saints like David to resonate with diverse communities. Through these traditions, David’s role as a unifying figure expanded beyond Wales, reinforcing his status as a significant figure in the broader Christian world.</w:t>
      </w:r>
    </w:p>
    <w:p w14:paraId="35E64322" w14:textId="77777777" w:rsidR="00B369FB" w:rsidRPr="00B369FB" w:rsidRDefault="00B369FB" w:rsidP="00B369FB">
      <w:pPr>
        <w:rPr>
          <w:b/>
          <w:bCs/>
        </w:rPr>
      </w:pPr>
      <w:r w:rsidRPr="00B369FB">
        <w:rPr>
          <w:b/>
          <w:bCs/>
        </w:rPr>
        <w:t>Political Implications of the Cult</w:t>
      </w:r>
    </w:p>
    <w:p w14:paraId="5DAA466B" w14:textId="7FB77131" w:rsidR="00B369FB" w:rsidRPr="00B369FB" w:rsidRDefault="00B369FB" w:rsidP="00B369FB">
      <w:r w:rsidRPr="00B369FB">
        <w:t xml:space="preserve">The veneration of Saint David was deeply intertwined with the political landscape of medieval Wales. During the 12th century, as Norman incursions threatened Welsh autonomy, David’s cult became a symbol of resistance and national pride. </w:t>
      </w:r>
      <w:proofErr w:type="spellStart"/>
      <w:r w:rsidRPr="00B369FB">
        <w:t>Rhygyfarch’s</w:t>
      </w:r>
      <w:proofErr w:type="spellEnd"/>
      <w:r w:rsidRPr="00B369FB">
        <w:t xml:space="preserve"> portrayal of David as a spiritual leader who unified the Welsh Church resonated with communities seeking to assert their distinct identity.</w:t>
      </w:r>
      <w:r w:rsidRPr="0043318B">
        <w:rPr>
          <w:rStyle w:val="FootnoteReference"/>
        </w:rPr>
        <w:footnoteReference w:id="23"/>
      </w:r>
    </w:p>
    <w:p w14:paraId="685C5341" w14:textId="23561AAC" w:rsidR="00B369FB" w:rsidRPr="00B369FB" w:rsidRDefault="00B369FB" w:rsidP="00B369FB">
      <w:r w:rsidRPr="00B369FB">
        <w:t>Comparisons with other Celtic saints, such as Patrick in Ireland and Columba in Scotland, highlight the unique role of David’s cult in Welsh politics. While Patrick’s legacy became closely aligned with Rome, and Columba’s focused on Gaelic missions, David’s cult retained a localized focus that emphasized the independence of Welsh Christianity.</w:t>
      </w:r>
      <w:r w:rsidRPr="0043318B">
        <w:rPr>
          <w:rStyle w:val="FootnoteReference"/>
        </w:rPr>
        <w:footnoteReference w:id="24"/>
      </w:r>
      <w:r w:rsidRPr="00B369FB">
        <w:t xml:space="preserve"> This localization reinforced his significance as a unifying figure, providing a spiritual anchor for communities navigating political and cultural upheaval.</w:t>
      </w:r>
    </w:p>
    <w:p w14:paraId="590A5A0E" w14:textId="77777777" w:rsidR="00B369FB" w:rsidRPr="00B369FB" w:rsidRDefault="00B369FB" w:rsidP="00B369FB">
      <w:pPr>
        <w:rPr>
          <w:b/>
          <w:bCs/>
        </w:rPr>
      </w:pPr>
      <w:r w:rsidRPr="00B369FB">
        <w:rPr>
          <w:b/>
          <w:bCs/>
        </w:rPr>
        <w:t>Material Evidence and Archaeological Perspectives</w:t>
      </w:r>
    </w:p>
    <w:p w14:paraId="7D2DA60C" w14:textId="03E03813" w:rsidR="00B369FB" w:rsidRPr="00B369FB" w:rsidRDefault="00B369FB" w:rsidP="00B369FB">
      <w:r w:rsidRPr="00B369FB">
        <w:t xml:space="preserve">Archaeological findings provide valuable insights into the development of Saint David’s cult. Excavations at St Davids Cathedral have revealed early monastic structures, supporting its role </w:t>
      </w:r>
      <w:r w:rsidRPr="00B369FB">
        <w:lastRenderedPageBreak/>
        <w:t xml:space="preserve">as a </w:t>
      </w:r>
      <w:proofErr w:type="spellStart"/>
      <w:r w:rsidRPr="00B369FB">
        <w:t>center</w:t>
      </w:r>
      <w:proofErr w:type="spellEnd"/>
      <w:r w:rsidRPr="00B369FB">
        <w:t xml:space="preserve"> of pilgrimage and ecclesiastical authority.</w:t>
      </w:r>
      <w:r w:rsidRPr="0043318B">
        <w:rPr>
          <w:rStyle w:val="FootnoteReference"/>
        </w:rPr>
        <w:footnoteReference w:id="25"/>
      </w:r>
      <w:r w:rsidRPr="00B369FB">
        <w:t xml:space="preserve"> Inscriptions and artifacts associated with pilgrimage practices, such as votive offerings, illustrate the widespread devotion to David and the economic impact of his cult.</w:t>
      </w:r>
    </w:p>
    <w:p w14:paraId="03C3A568" w14:textId="77777777" w:rsidR="0043318B" w:rsidRDefault="00B369FB" w:rsidP="00B369FB">
      <w:r w:rsidRPr="00B369FB">
        <w:t xml:space="preserve">St Non’s Chapel, linked to David’s birth, contains a well identified in local tradition as the healing spring described in the </w:t>
      </w:r>
      <w:proofErr w:type="spellStart"/>
      <w:r w:rsidRPr="00B369FB">
        <w:rPr>
          <w:i/>
          <w:iCs/>
        </w:rPr>
        <w:t>Buchedd</w:t>
      </w:r>
      <w:proofErr w:type="spellEnd"/>
      <w:r w:rsidRPr="00B369FB">
        <w:rPr>
          <w:i/>
          <w:iCs/>
        </w:rPr>
        <w:t xml:space="preserve"> Dewi</w:t>
      </w:r>
      <w:r w:rsidRPr="00B369FB">
        <w:t>. Such sites reflect the enduring interplay between written hagiography and local practices, blending Christian and pre-Christian elements. These tangible connections to David’s life and veneration underscore the longevity and adaptability of his cult.</w:t>
      </w:r>
    </w:p>
    <w:p w14:paraId="1C791D77" w14:textId="251A79E9" w:rsidR="00C10040" w:rsidRPr="0043318B" w:rsidRDefault="00B369FB" w:rsidP="00B369FB">
      <w:r w:rsidRPr="00B369FB">
        <w:t xml:space="preserve">The early veneration of Saint David reflects a complex interplay of oral tradition, religious devotion, and political necessity. From his initial recognition in the </w:t>
      </w:r>
      <w:r w:rsidRPr="00B369FB">
        <w:rPr>
          <w:i/>
          <w:iCs/>
        </w:rPr>
        <w:t>Annales Cambriae</w:t>
      </w:r>
      <w:r w:rsidRPr="00B369FB">
        <w:t xml:space="preserve"> to the formalization of his sanctity in the </w:t>
      </w:r>
      <w:proofErr w:type="spellStart"/>
      <w:r w:rsidRPr="00B369FB">
        <w:rPr>
          <w:i/>
          <w:iCs/>
        </w:rPr>
        <w:t>Buchedd</w:t>
      </w:r>
      <w:proofErr w:type="spellEnd"/>
      <w:r w:rsidRPr="00B369FB">
        <w:rPr>
          <w:i/>
          <w:iCs/>
        </w:rPr>
        <w:t xml:space="preserve"> Dewi</w:t>
      </w:r>
      <w:r w:rsidRPr="00B369FB">
        <w:t>, David’s legacy evolved to meet the spiritual and socio-political needs of medieval Welsh communities. His role as a unifying figure, both spiritually and politically, underscores the broader significance of saintly cults in shaping regional identity and ecclesiastical autonomy. Through pilgrimage, local traditions, and archaeological evidence, Saint David’s cult remains a testament to the enduring power of hagiography in medieval Christianity.</w:t>
      </w:r>
    </w:p>
    <w:p w14:paraId="02B62A2E" w14:textId="77777777" w:rsidR="00C10040" w:rsidRPr="00C10040" w:rsidRDefault="00C10040" w:rsidP="00C10040">
      <w:r w:rsidRPr="00C10040">
        <w:t>The high medieval period marked the consolidation of Saint David’s cult as a central pillar of Welsh Christianity. Characterized by the prominence of pilgrimage traditions and the integration of his veneration into broader Christian practices, this period elevated Saint David’s influence across cultural and geographic boundaries. St Davids Cathedral became a major spiritual hub, and the spread of his cult beyond Wales reflected its enduring appeal and adaptability.</w:t>
      </w:r>
    </w:p>
    <w:p w14:paraId="4EEAA82E" w14:textId="77777777" w:rsidR="00C10040" w:rsidRPr="00C10040" w:rsidRDefault="00C10040" w:rsidP="00C10040">
      <w:pPr>
        <w:rPr>
          <w:b/>
          <w:bCs/>
        </w:rPr>
      </w:pPr>
      <w:r w:rsidRPr="00C10040">
        <w:rPr>
          <w:b/>
          <w:bCs/>
        </w:rPr>
        <w:t>St Davids Cathedral and Pilgrimage</w:t>
      </w:r>
    </w:p>
    <w:p w14:paraId="1B42C0A2" w14:textId="4F837744" w:rsidR="00C10040" w:rsidRPr="00C10040" w:rsidRDefault="00C10040" w:rsidP="00C10040">
      <w:r w:rsidRPr="00C10040">
        <w:t>St Davids Cathedral, built on the site of David’s original monastery at Glyn Rhosyn, became the focal point of his veneration. In the 12th century, Pope Callixtus II formally acknowledged its importance by declaring that two pilgrimages to St Davids were equivalent to one to Rome.</w:t>
      </w:r>
      <w:r w:rsidRPr="0043318B">
        <w:rPr>
          <w:rStyle w:val="FootnoteReference"/>
        </w:rPr>
        <w:footnoteReference w:id="26"/>
      </w:r>
      <w:r w:rsidRPr="00C10040">
        <w:t xml:space="preserve"> This papal declaration elevated St Davids to international prominence, cementing its status as one of the most significant pilgrimage destinations in medieval Britain.</w:t>
      </w:r>
    </w:p>
    <w:p w14:paraId="6AE4CB1C" w14:textId="5977BA7C" w:rsidR="00C10040" w:rsidRPr="00C10040" w:rsidRDefault="00C10040" w:rsidP="00C10040">
      <w:r w:rsidRPr="00C10040">
        <w:t xml:space="preserve">Relics believed to be associated with David, including bones and personal items, were displayed to pilgrims, serving as tangible connections to his sanctity. These sacred objects not only validated the saint’s divine </w:t>
      </w:r>
      <w:proofErr w:type="spellStart"/>
      <w:r w:rsidRPr="00C10040">
        <w:t>favor</w:t>
      </w:r>
      <w:proofErr w:type="spellEnd"/>
      <w:r w:rsidRPr="00C10040">
        <w:t xml:space="preserve"> but also drew visitors seeking miracles, healing, and indulgences. The resulting influx of pilgrims contributed to the economic and cultural vitality of the region.</w:t>
      </w:r>
      <w:r w:rsidRPr="0043318B">
        <w:rPr>
          <w:rStyle w:val="FootnoteReference"/>
        </w:rPr>
        <w:footnoteReference w:id="27"/>
      </w:r>
      <w:r w:rsidRPr="00C10040">
        <w:t xml:space="preserve"> Pilgrimage to St Davids also fostered communal identity, providing a shared spiritual experience that united people across social strata.</w:t>
      </w:r>
    </w:p>
    <w:p w14:paraId="55C5A849" w14:textId="7F75F0D3" w:rsidR="00C10040" w:rsidRPr="0043318B" w:rsidRDefault="00C10040" w:rsidP="00C10040">
      <w:r w:rsidRPr="00C10040">
        <w:t>Archaeological evidence supports written accounts of the cathedral’s role in facilitating pilgrimage. Excavations have uncovered medieval pathways leading to the site, as well as chapels and hostels designed to support the influx of visitors. These findings highlight the extensive infrastructure developed around pilgrimage, underscoring its central role in medieval Welsh religious life.</w:t>
      </w:r>
      <w:r w:rsidRPr="0043318B">
        <w:rPr>
          <w:rStyle w:val="FootnoteReference"/>
        </w:rPr>
        <w:footnoteReference w:id="28"/>
      </w:r>
    </w:p>
    <w:p w14:paraId="043E6C68" w14:textId="2941A0E1" w:rsidR="00C10040" w:rsidRPr="00C10040" w:rsidRDefault="00C10040" w:rsidP="00C10040">
      <w:pPr>
        <w:rPr>
          <w:b/>
          <w:bCs/>
        </w:rPr>
      </w:pPr>
      <w:r w:rsidRPr="00C10040">
        <w:rPr>
          <w:b/>
          <w:bCs/>
        </w:rPr>
        <w:lastRenderedPageBreak/>
        <w:t>Sacred Wells and Regional Practices</w:t>
      </w:r>
    </w:p>
    <w:p w14:paraId="709B4BC8" w14:textId="2A12356F" w:rsidR="00C10040" w:rsidRPr="00C10040" w:rsidRDefault="00C10040" w:rsidP="00C10040">
      <w:r w:rsidRPr="00C10040">
        <w:t xml:space="preserve">Beyond St Davids Cathedral, other sacred sites associated with Saint David played a crucial role in his cult. St Non’s Well, near David’s birthplace, emerged as a prominent destination for those seeking physical and spiritual healing. Local traditions attributed miraculous properties to the well’s waters, linking them to David’s divine </w:t>
      </w:r>
      <w:proofErr w:type="spellStart"/>
      <w:r w:rsidRPr="00C10040">
        <w:t>favor</w:t>
      </w:r>
      <w:proofErr w:type="spellEnd"/>
      <w:r w:rsidRPr="00C10040">
        <w:t xml:space="preserve"> and reinforcing the sacredness of the site.</w:t>
      </w:r>
      <w:r w:rsidRPr="0043318B">
        <w:rPr>
          <w:rStyle w:val="FootnoteReference"/>
        </w:rPr>
        <w:footnoteReference w:id="29"/>
      </w:r>
      <w:r w:rsidR="00706E12" w:rsidRPr="0043318B">
        <w:t xml:space="preserve"> </w:t>
      </w:r>
      <w:r w:rsidRPr="00C10040">
        <w:t>Holy wells like St Non’s reflect the syncretic nature of Celtic Christianity, where Christian saints were often associated with pre-Christian sites of water veneration. As Henig notes, these wells were reinterpreted through a Christian lens, emphasizing saints’ intercessory power while preserving localized expressions of faith. The integration of these practices into David’s cult highlights the adaptability of Welsh Christianity, blending universal Christian values with regional traditions.</w:t>
      </w:r>
      <w:r w:rsidRPr="0043318B">
        <w:rPr>
          <w:rStyle w:val="FootnoteReference"/>
        </w:rPr>
        <w:footnoteReference w:id="30"/>
      </w:r>
    </w:p>
    <w:p w14:paraId="10B736E3" w14:textId="77777777" w:rsidR="00C10040" w:rsidRPr="00C10040" w:rsidRDefault="00C10040" w:rsidP="00C10040">
      <w:pPr>
        <w:rPr>
          <w:b/>
          <w:bCs/>
        </w:rPr>
      </w:pPr>
      <w:r w:rsidRPr="00C10040">
        <w:rPr>
          <w:b/>
          <w:bCs/>
        </w:rPr>
        <w:t>The Spread of the Cult</w:t>
      </w:r>
    </w:p>
    <w:p w14:paraId="5965F40B" w14:textId="13A07812" w:rsidR="00C10040" w:rsidRPr="00C10040" w:rsidRDefault="00C10040" w:rsidP="00C10040">
      <w:r w:rsidRPr="00C10040">
        <w:t>While Saint David’s cult was firmly rooted in Wales, its influence extended beyond regional borders to England, Ireland, and Brittany. The dedication of churches to Saint David in these areas attests to his broader appeal, facilitated by migratory patterns, ecclesiastical networks, and shared cultural traditions.</w:t>
      </w:r>
      <w:r w:rsidR="00706E12" w:rsidRPr="0043318B">
        <w:rPr>
          <w:rStyle w:val="FootnoteReference"/>
        </w:rPr>
        <w:footnoteReference w:id="31"/>
      </w:r>
      <w:r w:rsidR="00706E12" w:rsidRPr="0043318B">
        <w:t xml:space="preserve"> </w:t>
      </w:r>
      <w:r w:rsidRPr="00C10040">
        <w:t>David’s veneration paralleled that of other prominent Celtic saints, such as Patrick in Ireland and Columba in Scotland. However, David’s cult retained a distinctively localized character, reflecting the independence of Welsh Christianity. Unlike Patrick’s alignment with Rome or Columba’s association with Gaelic missions, David’s cult emphasized Welsh distinctiveness, helping to preserve cultural identity during periods of political and ecclesiastical pressure.</w:t>
      </w:r>
      <w:r w:rsidR="00706E12" w:rsidRPr="0043318B">
        <w:rPr>
          <w:rStyle w:val="FootnoteReference"/>
        </w:rPr>
        <w:footnoteReference w:id="32"/>
      </w:r>
    </w:p>
    <w:p w14:paraId="37501DEB" w14:textId="77777777" w:rsidR="00C10040" w:rsidRPr="00C10040" w:rsidRDefault="00C10040" w:rsidP="00C10040">
      <w:pPr>
        <w:rPr>
          <w:b/>
          <w:bCs/>
        </w:rPr>
      </w:pPr>
      <w:r w:rsidRPr="00C10040">
        <w:rPr>
          <w:b/>
          <w:bCs/>
        </w:rPr>
        <w:t>Miracles and Pilgrimage Narratives</w:t>
      </w:r>
    </w:p>
    <w:p w14:paraId="51250089" w14:textId="3B9F2BD3" w:rsidR="00C10040" w:rsidRPr="00C10040" w:rsidRDefault="00C10040" w:rsidP="00C10040">
      <w:r w:rsidRPr="00C10040">
        <w:t>Miracles attributed to Saint David played a central role in attracting pilgrims to his sacred sites. Stories of healings, visions, and other divine interventions circulated widely, reinforcing his sanctity and intercessory power. One popular account describes a blind pilgrim who regained his sight after praying at St Davids Cathedral, a narrative that became emblematic of David’s miraculous abilities.</w:t>
      </w:r>
      <w:r w:rsidR="00706E12" w:rsidRPr="0043318B">
        <w:rPr>
          <w:rStyle w:val="FootnoteReference"/>
        </w:rPr>
        <w:footnoteReference w:id="33"/>
      </w:r>
      <w:r w:rsidR="00706E12" w:rsidRPr="0043318B">
        <w:t xml:space="preserve"> </w:t>
      </w:r>
      <w:r w:rsidRPr="00C10040">
        <w:t>Such stories were integral to the devotional culture surrounding Saint David. They not only validated the saint’s spiritual authority but also inspired pilgrims to undertake arduous journeys in the hope of divine intervention. Jennifer Ward argues that these narratives were crucial in cultivating a shared sense of faith and hope among medieval pilgrims, providing a framework for collective religious experience.</w:t>
      </w:r>
    </w:p>
    <w:p w14:paraId="714A3441" w14:textId="371A3962" w:rsidR="00C10040" w:rsidRPr="00C10040" w:rsidRDefault="00C10040" w:rsidP="00C10040">
      <w:pPr>
        <w:rPr>
          <w:b/>
          <w:bCs/>
        </w:rPr>
      </w:pPr>
      <w:r w:rsidRPr="00C10040">
        <w:rPr>
          <w:b/>
          <w:bCs/>
        </w:rPr>
        <w:t>Political and Cultural Dimensions</w:t>
      </w:r>
    </w:p>
    <w:p w14:paraId="2BF2A74C" w14:textId="283EE08A" w:rsidR="00B21663" w:rsidRPr="0043318B" w:rsidRDefault="00C10040" w:rsidP="00C10040">
      <w:r w:rsidRPr="00C10040">
        <w:t>The pilgrimage tradition surrounding Saint David carried profound political significance, particularly during periods of Norman and English domination. The veneration of David became a means of asserting Welsh identity, with pilgrimage to St Davids Cathedral symbolizing both spiritual devotion and cultural resilience.</w:t>
      </w:r>
      <w:r w:rsidR="00706E12" w:rsidRPr="0043318B">
        <w:rPr>
          <w:rStyle w:val="FootnoteReference"/>
        </w:rPr>
        <w:footnoteReference w:id="34"/>
      </w:r>
      <w:r w:rsidRPr="00C10040">
        <w:t xml:space="preserve"> The cathedral itself, with its imposing architecture, served as a statement of ecclesiastical and regional pride, reinforcing the distinctiveness of the </w:t>
      </w:r>
      <w:r w:rsidRPr="00C10040">
        <w:lastRenderedPageBreak/>
        <w:t>Welsh Church.</w:t>
      </w:r>
      <w:r w:rsidR="00706E12" w:rsidRPr="0043318B">
        <w:t xml:space="preserve"> </w:t>
      </w:r>
      <w:r w:rsidRPr="00C10040">
        <w:t xml:space="preserve">The embellishment of the cathedral during the medieval period reflects efforts to establish it as a </w:t>
      </w:r>
      <w:proofErr w:type="spellStart"/>
      <w:r w:rsidRPr="00C10040">
        <w:t>center</w:t>
      </w:r>
      <w:proofErr w:type="spellEnd"/>
      <w:r w:rsidRPr="00C10040">
        <w:t xml:space="preserve"> of both spiritual authority and national identity. Papal recognition of St Davids further bolstered the status of the Welsh Church, countering the dominance of Canterbury and affirming the autonomy of Welsh Christianity.</w:t>
      </w:r>
      <w:r w:rsidR="00706E12" w:rsidRPr="0043318B">
        <w:rPr>
          <w:rStyle w:val="FootnoteReference"/>
        </w:rPr>
        <w:footnoteReference w:id="35"/>
      </w:r>
      <w:r w:rsidRPr="00C10040">
        <w:t>The high medieval period solidified Saint David’s cult as a spiritual and cultural phenomenon. St</w:t>
      </w:r>
      <w:r w:rsidR="00706E12" w:rsidRPr="0043318B">
        <w:t xml:space="preserve"> </w:t>
      </w:r>
      <w:r w:rsidRPr="00C10040">
        <w:t>Davids Cathedral and other sacred sites became focal points of pilgrimage, while the broader spread of the cult reflected its enduring appeal across regions. The integration of miracles, local traditions, and political symbolism into the veneration of Saint David exemplifies the interplay between faith, culture, and politics. Through its ability to adapt to changing historical contexts, the cult of Saint David helped shape medieval Welsh identity and religious life.</w:t>
      </w:r>
    </w:p>
    <w:p w14:paraId="1E951D0E" w14:textId="77777777" w:rsidR="00B21663" w:rsidRPr="00B21663" w:rsidRDefault="00B21663" w:rsidP="00B21663">
      <w:r w:rsidRPr="00B21663">
        <w:t>The veneration of Saint David underwent significant transformations from the post-medieval period to the present day. While the Reformation brought about a decline in pilgrimage and saintly cults, David’s legacy endured through oral traditions and cultural adaptation. By the 18th and 19th centuries, the rise of Welsh nationalism and Romanticism revived his status as a symbol of identity and pride. Today, Saint David’s Day (March 1) remains a cornerstone of Welsh cultural life, reflecting his dual role as a religious figure and national icon.</w:t>
      </w:r>
    </w:p>
    <w:p w14:paraId="5EDCC042" w14:textId="77777777" w:rsidR="00B21663" w:rsidRPr="00B21663" w:rsidRDefault="00B21663" w:rsidP="00B21663">
      <w:pPr>
        <w:rPr>
          <w:b/>
          <w:bCs/>
        </w:rPr>
      </w:pPr>
      <w:r w:rsidRPr="00B21663">
        <w:rPr>
          <w:b/>
          <w:bCs/>
        </w:rPr>
        <w:t>Post-Medieval Decline and Survival</w:t>
      </w:r>
    </w:p>
    <w:p w14:paraId="55C88D40" w14:textId="03CC4020" w:rsidR="00B21663" w:rsidRPr="00B21663" w:rsidRDefault="00B21663" w:rsidP="00B21663">
      <w:r w:rsidRPr="00B21663">
        <w:t xml:space="preserve">The Protestant Reformation of the 16th century led to widespread suppression of saintly cults and traditional pilgrimage practices in Britain. In Wales, this resulted in a significant decline in visits to sites associated with Saint David, such as St Davids Cathedral and St Non’s Well. However, David’s legacy survived through oral traditions, local folklore, and the enduring cultural significance of St Davids Cathedral, which continued to function as a religious and community </w:t>
      </w:r>
      <w:r w:rsidRPr="0043318B">
        <w:t>centre</w:t>
      </w:r>
      <w:r w:rsidRPr="00B21663">
        <w:t>.</w:t>
      </w:r>
      <w:r w:rsidRPr="0043318B">
        <w:rPr>
          <w:rStyle w:val="FootnoteReference"/>
        </w:rPr>
        <w:footnoteReference w:id="36"/>
      </w:r>
    </w:p>
    <w:p w14:paraId="65BAD872" w14:textId="4DC4C9BD" w:rsidR="00B21663" w:rsidRPr="00B21663" w:rsidRDefault="00B21663" w:rsidP="00B21663">
      <w:r w:rsidRPr="00B21663">
        <w:t>David’s transition from a primarily religious icon to a broader cultural symbol during this period highlights his integration into Welsh identity. As Owain Wyn Jones observes, the figure of David became emblematic of Welsh resilience, particularly in regions where traditional religious practices blended with cultural heritage.</w:t>
      </w:r>
      <w:r w:rsidRPr="0043318B">
        <w:rPr>
          <w:rStyle w:val="FootnoteReference"/>
        </w:rPr>
        <w:footnoteReference w:id="37"/>
      </w:r>
      <w:r w:rsidRPr="00B21663">
        <w:t xml:space="preserve"> This adaptation ensured that David’s influence persisted, even as formal veneration waned.</w:t>
      </w:r>
    </w:p>
    <w:p w14:paraId="4C0E8274" w14:textId="77777777" w:rsidR="00B21663" w:rsidRPr="00B21663" w:rsidRDefault="00B21663" w:rsidP="00B21663">
      <w:pPr>
        <w:rPr>
          <w:b/>
          <w:bCs/>
        </w:rPr>
      </w:pPr>
      <w:r w:rsidRPr="00B21663">
        <w:rPr>
          <w:b/>
          <w:bCs/>
        </w:rPr>
        <w:t>Revival and the Rise of Welsh Nationalism</w:t>
      </w:r>
    </w:p>
    <w:p w14:paraId="63AF6B57" w14:textId="0C74F8E5" w:rsidR="00B21663" w:rsidRPr="00B21663" w:rsidRDefault="00B21663" w:rsidP="00B21663">
      <w:r w:rsidRPr="00B21663">
        <w:t>The 18th and 19th centuries saw a revival of interest in Saint David, coinciding with the Romantic movement’s emphasis on national identity and cultural heritage. This period formalized Saint David’s Day on 1</w:t>
      </w:r>
      <w:r w:rsidRPr="0043318B">
        <w:rPr>
          <w:vertAlign w:val="superscript"/>
        </w:rPr>
        <w:t>st</w:t>
      </w:r>
      <w:r w:rsidRPr="0043318B">
        <w:t xml:space="preserve"> of March</w:t>
      </w:r>
      <w:r w:rsidRPr="00B21663">
        <w:t xml:space="preserve"> as a national celebration. Originally rooted in ecclesiastical commemoration, the day evolved into a secular and cultural event, characterized by parades, eisteddfodau (Welsh cultural festivals), and public displays of national pride.</w:t>
      </w:r>
      <w:r w:rsidRPr="0043318B">
        <w:rPr>
          <w:rStyle w:val="FootnoteReference"/>
        </w:rPr>
        <w:footnoteReference w:id="38"/>
      </w:r>
    </w:p>
    <w:p w14:paraId="5BB5C238" w14:textId="31E5AB15" w:rsidR="00B21663" w:rsidRPr="00B21663" w:rsidRDefault="00B21663" w:rsidP="00B21663">
      <w:r w:rsidRPr="00B21663">
        <w:t xml:space="preserve">The Romantic reinterpretation of Saint David transformed him into a historical and cultural hero, embodying Welsh distinctiveness. This revival paralleled broader efforts to preserve and promote Welsh language, literature, and traditions. Institutions like the National Eisteddfod </w:t>
      </w:r>
      <w:r w:rsidRPr="00B21663">
        <w:lastRenderedPageBreak/>
        <w:t>invoked David’s name as a unifying symbol, aligning his legacy with the cultural and linguistic renaissance of the 19th century.</w:t>
      </w:r>
      <w:r w:rsidRPr="0043318B">
        <w:rPr>
          <w:rStyle w:val="FootnoteReference"/>
        </w:rPr>
        <w:footnoteReference w:id="39"/>
      </w:r>
    </w:p>
    <w:p w14:paraId="66E8C179" w14:textId="68690561" w:rsidR="00B21663" w:rsidRPr="00B21663" w:rsidRDefault="00B21663" w:rsidP="00B21663"/>
    <w:p w14:paraId="0A5324B7" w14:textId="77777777" w:rsidR="00B21663" w:rsidRPr="00B21663" w:rsidRDefault="00B21663" w:rsidP="00B21663">
      <w:pPr>
        <w:rPr>
          <w:b/>
          <w:bCs/>
        </w:rPr>
      </w:pPr>
      <w:r w:rsidRPr="00B21663">
        <w:rPr>
          <w:b/>
          <w:bCs/>
        </w:rPr>
        <w:t>Saint David in Contemporary Wales</w:t>
      </w:r>
    </w:p>
    <w:p w14:paraId="32B42738" w14:textId="73CF4D77" w:rsidR="00B21663" w:rsidRPr="00B21663" w:rsidRDefault="00B21663" w:rsidP="00B21663">
      <w:r w:rsidRPr="00B21663">
        <w:t>In modern Wales, Saint David’s Day remains a vibrant cultural celebration. Parades, concerts, and school activities mark the day, with traditional symbols such as the daffodil and leek prominently displayed. These customs reflect the fusion of David’s religious legacy with his role as a national figure of cultural identity.</w:t>
      </w:r>
      <w:r w:rsidRPr="0043318B">
        <w:rPr>
          <w:rStyle w:val="FootnoteReference"/>
        </w:rPr>
        <w:footnoteReference w:id="40"/>
      </w:r>
    </w:p>
    <w:p w14:paraId="445165A9" w14:textId="1D0C9066" w:rsidR="00B21663" w:rsidRPr="00B21663" w:rsidRDefault="00B21663" w:rsidP="00B21663">
      <w:r w:rsidRPr="00B21663">
        <w:t>St Davids Cathedral continues to attract visitors, serving both as a site of religious pilgrimage and a cultural tourist destination. Preservation efforts have ensured the cathedral’s prominence as a living monument to David’s enduring influence. While modern pilgrimages are less frequent than in the medieval period, they remain an important expression of spiritual devotion and cultural heritage.</w:t>
      </w:r>
      <w:r w:rsidRPr="0043318B">
        <w:rPr>
          <w:rStyle w:val="FootnoteReference"/>
        </w:rPr>
        <w:footnoteReference w:id="41"/>
      </w:r>
    </w:p>
    <w:p w14:paraId="3A8B64EA" w14:textId="77777777" w:rsidR="00B21663" w:rsidRPr="00B21663" w:rsidRDefault="00B21663" w:rsidP="00B21663">
      <w:pPr>
        <w:rPr>
          <w:b/>
          <w:bCs/>
        </w:rPr>
      </w:pPr>
      <w:r w:rsidRPr="00B21663">
        <w:rPr>
          <w:b/>
          <w:bCs/>
        </w:rPr>
        <w:t>Saint David in Popular Culture</w:t>
      </w:r>
    </w:p>
    <w:p w14:paraId="0B970937" w14:textId="2AE7C02A" w:rsidR="00B21663" w:rsidRPr="00B21663" w:rsidRDefault="00B21663" w:rsidP="00B21663">
      <w:r w:rsidRPr="00B21663">
        <w:t>Saint David’s legacy extends beyond religious observance, influencing Welsh literature, art, and music. Writers like Dylan Thomas and R.S. Thomas have referenced David in their works, emphasizing his symbolic significance for Welsh identity and spirituality. Visual depictions of David, such as stained-glass windows and public sculptures, further underscore his appeal as a cultural icon.</w:t>
      </w:r>
      <w:r w:rsidR="00A018B3" w:rsidRPr="0043318B">
        <w:t xml:space="preserve"> </w:t>
      </w:r>
      <w:r w:rsidRPr="00B21663">
        <w:t>In recent years, David’s legacy has also been embraced by commercial and tourist industries. St Davids Cathedral and its surrounding region draw significant numbers of visitors annually, highlighting the economic impact of his cultural heritage. Local businesses capitalize on David’s story, offering products and experiences tied to his legacy and Welsh history.</w:t>
      </w:r>
      <w:r w:rsidRPr="0043318B">
        <w:rPr>
          <w:rStyle w:val="FootnoteReference"/>
        </w:rPr>
        <w:footnoteReference w:id="42"/>
      </w:r>
    </w:p>
    <w:p w14:paraId="3C493303" w14:textId="77777777" w:rsidR="00B21663" w:rsidRPr="00B21663" w:rsidRDefault="00B21663" w:rsidP="00B21663">
      <w:pPr>
        <w:rPr>
          <w:b/>
          <w:bCs/>
        </w:rPr>
      </w:pPr>
      <w:r w:rsidRPr="00B21663">
        <w:rPr>
          <w:b/>
          <w:bCs/>
        </w:rPr>
        <w:t>Comparative Legacy</w:t>
      </w:r>
    </w:p>
    <w:p w14:paraId="7CDF4A8E" w14:textId="4582F588" w:rsidR="00B21663" w:rsidRPr="00B21663" w:rsidRDefault="00B21663" w:rsidP="00B21663">
      <w:r w:rsidRPr="00B21663">
        <w:t>The evolution of Saint David’s legacy parallels the trajectories of other prominent Celtic saints, such as Patrick in Ireland and Columba in Scotland. However, David’s modern significance is uniquely tied to his role as a unifying figure for Welsh identity. While Patrick’s legacy became closely associated with Irish Catholicism and Columba’s with monastic missions, David’s veneration remains a focal point for national pride and cultural resilience. This adaptability underscores the flexibility of his cult in meeting the needs of different historical periods.</w:t>
      </w:r>
      <w:r w:rsidRPr="0043318B">
        <w:rPr>
          <w:rStyle w:val="FootnoteReference"/>
        </w:rPr>
        <w:footnoteReference w:id="43"/>
      </w:r>
    </w:p>
    <w:p w14:paraId="1D3C243F" w14:textId="77777777" w:rsidR="00B21663" w:rsidRPr="0043318B" w:rsidRDefault="00B21663" w:rsidP="00B21663">
      <w:r w:rsidRPr="00B21663">
        <w:t xml:space="preserve">The modern legacy of Saint David reflects his enduring adaptability as both a religious figure and a cultural icon. Despite the decline in formal veneration during the Reformation, David’s story persisted through oral traditions and cultural memory. His revival during the Romantic era and the rise of Welsh nationalism repositioned him as a unifying symbol of identity and pride. Today, his significance transcends religious boundaries, manifesting in national celebrations, cultural institutions, and popular culture. This enduring relevance highlights the transformative power of </w:t>
      </w:r>
      <w:r w:rsidRPr="00B21663">
        <w:lastRenderedPageBreak/>
        <w:t>saintly cults, not only in medieval contexts but also in shaping contemporary cultural and national narratives.</w:t>
      </w:r>
    </w:p>
    <w:p w14:paraId="10D090FA" w14:textId="77777777" w:rsidR="005D0AF2" w:rsidRPr="005D0AF2" w:rsidRDefault="005D0AF2" w:rsidP="005D0AF2">
      <w:r w:rsidRPr="005D0AF2">
        <w:t xml:space="preserve">Saint David’s legacy has transcended centuries, evolving from a revered religious leader in 6th-century Wales to a multifaceted symbol of spirituality, culture, and national identity. His life and deeds, as recorded in the </w:t>
      </w:r>
      <w:proofErr w:type="spellStart"/>
      <w:r w:rsidRPr="005D0AF2">
        <w:rPr>
          <w:i/>
          <w:iCs/>
        </w:rPr>
        <w:t>Buchedd</w:t>
      </w:r>
      <w:proofErr w:type="spellEnd"/>
      <w:r w:rsidRPr="005D0AF2">
        <w:rPr>
          <w:i/>
          <w:iCs/>
        </w:rPr>
        <w:t xml:space="preserve"> Dewi</w:t>
      </w:r>
      <w:r w:rsidRPr="005D0AF2">
        <w:t xml:space="preserve">, established him as a unifying figure in Welsh Christianity, blending local traditions of Celtic spirituality with broader patterns of medieval hagiography. From his miraculous birth and monastic reforms to his pivotal role at the Synod of </w:t>
      </w:r>
      <w:proofErr w:type="spellStart"/>
      <w:r w:rsidRPr="005D0AF2">
        <w:t>Brefi</w:t>
      </w:r>
      <w:proofErr w:type="spellEnd"/>
      <w:r w:rsidRPr="005D0AF2">
        <w:t>, David’s narrative reflects both historical realities and theological constructs, shaping his enduring significance.</w:t>
      </w:r>
    </w:p>
    <w:p w14:paraId="2C56846A" w14:textId="77777777" w:rsidR="005D0AF2" w:rsidRPr="005D0AF2" w:rsidRDefault="005D0AF2" w:rsidP="005D0AF2">
      <w:r w:rsidRPr="005D0AF2">
        <w:t xml:space="preserve">The early formation of David’s cult illustrates the interplay of oral traditions, pilgrimage practices, and ecclesiastical politics in his veneration. The </w:t>
      </w:r>
      <w:proofErr w:type="spellStart"/>
      <w:r w:rsidRPr="005D0AF2">
        <w:rPr>
          <w:i/>
          <w:iCs/>
        </w:rPr>
        <w:t>Buchedd</w:t>
      </w:r>
      <w:proofErr w:type="spellEnd"/>
      <w:r w:rsidRPr="005D0AF2">
        <w:rPr>
          <w:i/>
          <w:iCs/>
        </w:rPr>
        <w:t xml:space="preserve"> Dewi</w:t>
      </w:r>
      <w:r w:rsidRPr="005D0AF2">
        <w:t>, written in the 11th century, was instrumental in elevating his status, asserting the independence of the Welsh Church from Canterbury while embedding him as a central figure in the spiritual landscape of Wales. During the high medieval period, pilgrimage to St Davids Cathedral and other sacred sites solidified his cult, with papal recognition further enhancing its international prominence. These developments, rooted in religious devotion, also underscored the socio-political role of David’s cult in uniting the Welsh people and resisting external pressures.</w:t>
      </w:r>
    </w:p>
    <w:p w14:paraId="0E2295D3" w14:textId="77777777" w:rsidR="005D0AF2" w:rsidRPr="005D0AF2" w:rsidRDefault="005D0AF2" w:rsidP="005D0AF2">
      <w:r w:rsidRPr="005D0AF2">
        <w:t>The Reformation marked a turning point for Saint David’s veneration, as traditional practices like pilgrimage declined. Yet his legacy endured through oral traditions, local customs, and the symbolic significance of St Davids Cathedral. The Romantic revival of the 18th and 19th centuries reimagined David as a national hero, aligning his cult with broader efforts to preserve Welsh language, literature, and cultural identity. This period cemented Saint David’s Day as a focal point of Welsh pride, uniting religious and secular communities in celebration of their shared heritage.</w:t>
      </w:r>
    </w:p>
    <w:p w14:paraId="5FDA85C9" w14:textId="77777777" w:rsidR="005D0AF2" w:rsidRPr="005D0AF2" w:rsidRDefault="005D0AF2" w:rsidP="005D0AF2">
      <w:r w:rsidRPr="005D0AF2">
        <w:t>In contemporary Wales, Saint David’s significance extends far beyond his religious origins. As a patron saint, he embodies the resilience and distinctiveness of Welsh identity, offering a source of unity across spiritual and cultural contexts. His legacy is preserved through pilgrimage, literature, and artistic representations, inspiring devotion and pride among the Welsh people. Comparisons with other Celtic saints, such as Patrick in Ireland and Columba in Scotland, highlight David’s unique trajectory. While Patrick’s and Columba’s cults became closely tied to broader ecclesiastical movements, David’s veneration remains deeply rooted in the traditions and identity of Wales.</w:t>
      </w:r>
    </w:p>
    <w:p w14:paraId="5D4B4A75" w14:textId="77777777" w:rsidR="005D0AF2" w:rsidRPr="005D0AF2" w:rsidRDefault="005D0AF2" w:rsidP="005D0AF2">
      <w:r w:rsidRPr="005D0AF2">
        <w:t>Ultimately, the cult of Saint David exemplifies the enduring power of hagiography, pilgrimage, and cultural symbolism to shape both historical and contemporary identities. His life and legacy demonstrate the adaptability of saintly traditions, evolving to meet the spiritual, political, and cultural needs of different eras. As a religious leader, cultural icon, and symbol of national identity, Saint David remains an enduring figure whose significance continues to resonate across generations, affirming the profound connection between faith, heritage, and community.</w:t>
      </w:r>
    </w:p>
    <w:p w14:paraId="7A5C11F6" w14:textId="77777777" w:rsidR="005D0AF2" w:rsidRPr="00B21663" w:rsidRDefault="005D0AF2" w:rsidP="00B21663"/>
    <w:p w14:paraId="152C0B31" w14:textId="77777777" w:rsidR="00B21663" w:rsidRPr="00C10040" w:rsidRDefault="00B21663" w:rsidP="00C10040"/>
    <w:p w14:paraId="5B8BAC44" w14:textId="77777777" w:rsidR="00C10040" w:rsidRPr="00B369FB" w:rsidRDefault="00C10040" w:rsidP="00B369FB"/>
    <w:p w14:paraId="0D4B071A" w14:textId="77777777" w:rsidR="00B369FB" w:rsidRPr="003B2FF0" w:rsidRDefault="00B369FB" w:rsidP="003B2FF0"/>
    <w:p w14:paraId="2F88A970" w14:textId="77777777" w:rsidR="00D2749C" w:rsidRDefault="00D2749C"/>
    <w:p w14:paraId="27450BC3" w14:textId="77777777" w:rsidR="00D2749C" w:rsidRDefault="00D2749C"/>
    <w:p w14:paraId="395C49CF" w14:textId="77777777" w:rsidR="00D2749C" w:rsidRDefault="00D2749C"/>
    <w:p w14:paraId="1EA68E7D" w14:textId="77777777" w:rsidR="00D2749C" w:rsidRDefault="00D2749C"/>
    <w:p w14:paraId="1D12C167" w14:textId="77777777" w:rsidR="00D2749C" w:rsidRDefault="00D2749C"/>
    <w:p w14:paraId="4D8A3BC6" w14:textId="77777777" w:rsidR="00D2749C" w:rsidRDefault="00D2749C"/>
    <w:p w14:paraId="40F2D2E4" w14:textId="77777777" w:rsidR="00D2749C" w:rsidRDefault="00D2749C"/>
    <w:p w14:paraId="647BAAB6" w14:textId="2E6D683F" w:rsidR="00D2749C" w:rsidRDefault="003804AF">
      <w:pPr>
        <w:rPr>
          <w:sz w:val="24"/>
          <w:szCs w:val="24"/>
          <w:u w:val="single"/>
        </w:rPr>
      </w:pPr>
      <w:r>
        <w:rPr>
          <w:sz w:val="24"/>
          <w:szCs w:val="24"/>
          <w:u w:val="single"/>
        </w:rPr>
        <w:t>Bibliography</w:t>
      </w:r>
    </w:p>
    <w:p w14:paraId="136AB58E" w14:textId="77777777" w:rsidR="003804AF" w:rsidRDefault="003804AF">
      <w:pPr>
        <w:rPr>
          <w:sz w:val="24"/>
          <w:szCs w:val="24"/>
          <w:u w:val="single"/>
        </w:rPr>
      </w:pPr>
    </w:p>
    <w:p w14:paraId="01BE51B3" w14:textId="5A64550E" w:rsidR="003804AF" w:rsidRPr="003804AF" w:rsidRDefault="003804AF" w:rsidP="003804AF">
      <w:pPr>
        <w:pStyle w:val="ListParagraph"/>
        <w:numPr>
          <w:ilvl w:val="0"/>
          <w:numId w:val="5"/>
        </w:numPr>
        <w:rPr>
          <w:sz w:val="24"/>
          <w:szCs w:val="24"/>
        </w:rPr>
      </w:pPr>
      <w:r w:rsidRPr="003804AF">
        <w:rPr>
          <w:sz w:val="24"/>
          <w:szCs w:val="24"/>
        </w:rPr>
        <w:t xml:space="preserve">Bartlett, Robert. </w:t>
      </w:r>
      <w:r w:rsidRPr="003804AF">
        <w:rPr>
          <w:i/>
          <w:iCs/>
          <w:sz w:val="24"/>
          <w:szCs w:val="24"/>
        </w:rPr>
        <w:t>Why Can the Dead Do Such Great Things? Saints and Worshippers from the Martyrs to the Reformation.</w:t>
      </w:r>
      <w:r w:rsidRPr="003804AF">
        <w:rPr>
          <w:sz w:val="24"/>
          <w:szCs w:val="24"/>
        </w:rPr>
        <w:t xml:space="preserve"> Princeton University Press, 2013.</w:t>
      </w:r>
    </w:p>
    <w:p w14:paraId="7D50EE2E" w14:textId="561FE109" w:rsidR="003804AF" w:rsidRPr="003804AF" w:rsidRDefault="003804AF" w:rsidP="003804AF">
      <w:pPr>
        <w:pStyle w:val="ListParagraph"/>
        <w:numPr>
          <w:ilvl w:val="0"/>
          <w:numId w:val="5"/>
        </w:numPr>
        <w:rPr>
          <w:sz w:val="24"/>
          <w:szCs w:val="24"/>
        </w:rPr>
      </w:pPr>
      <w:r w:rsidRPr="003804AF">
        <w:rPr>
          <w:sz w:val="24"/>
          <w:szCs w:val="24"/>
        </w:rPr>
        <w:t xml:space="preserve">Blair, John. </w:t>
      </w:r>
      <w:r w:rsidRPr="003804AF">
        <w:rPr>
          <w:i/>
          <w:iCs/>
          <w:sz w:val="24"/>
          <w:szCs w:val="24"/>
        </w:rPr>
        <w:t>The Church in Anglo-Saxon Society.</w:t>
      </w:r>
      <w:r w:rsidRPr="003804AF">
        <w:rPr>
          <w:sz w:val="24"/>
          <w:szCs w:val="24"/>
        </w:rPr>
        <w:t xml:space="preserve"> Oxford University Press, 2005.</w:t>
      </w:r>
    </w:p>
    <w:p w14:paraId="24CE56B9" w14:textId="20090624" w:rsidR="003804AF" w:rsidRPr="003804AF" w:rsidRDefault="003804AF" w:rsidP="003804AF">
      <w:pPr>
        <w:pStyle w:val="ListParagraph"/>
        <w:numPr>
          <w:ilvl w:val="0"/>
          <w:numId w:val="5"/>
        </w:numPr>
        <w:rPr>
          <w:sz w:val="24"/>
          <w:szCs w:val="24"/>
        </w:rPr>
      </w:pPr>
      <w:r w:rsidRPr="003804AF">
        <w:rPr>
          <w:sz w:val="24"/>
          <w:szCs w:val="24"/>
        </w:rPr>
        <w:t xml:space="preserve">Boardman, Steve. </w:t>
      </w:r>
      <w:r w:rsidRPr="003804AF">
        <w:rPr>
          <w:i/>
          <w:iCs/>
          <w:sz w:val="24"/>
          <w:szCs w:val="24"/>
        </w:rPr>
        <w:t>Cult of Saints and the Virgin Mary in Medieval Scotland.</w:t>
      </w:r>
      <w:r w:rsidRPr="003804AF">
        <w:rPr>
          <w:sz w:val="24"/>
          <w:szCs w:val="24"/>
        </w:rPr>
        <w:t xml:space="preserve"> Boydell, 2010.</w:t>
      </w:r>
    </w:p>
    <w:p w14:paraId="1AE1B2ED" w14:textId="72A7E7C2" w:rsidR="003804AF" w:rsidRPr="003804AF" w:rsidRDefault="003804AF" w:rsidP="003804AF">
      <w:pPr>
        <w:pStyle w:val="ListParagraph"/>
        <w:numPr>
          <w:ilvl w:val="0"/>
          <w:numId w:val="5"/>
        </w:numPr>
        <w:rPr>
          <w:sz w:val="24"/>
          <w:szCs w:val="24"/>
        </w:rPr>
      </w:pPr>
      <w:proofErr w:type="spellStart"/>
      <w:r w:rsidRPr="003804AF">
        <w:rPr>
          <w:sz w:val="24"/>
          <w:szCs w:val="24"/>
        </w:rPr>
        <w:t>Buchedd</w:t>
      </w:r>
      <w:proofErr w:type="spellEnd"/>
      <w:r w:rsidRPr="003804AF">
        <w:rPr>
          <w:sz w:val="24"/>
          <w:szCs w:val="24"/>
        </w:rPr>
        <w:t xml:space="preserve"> Dewi (</w:t>
      </w:r>
      <w:r w:rsidRPr="003804AF">
        <w:rPr>
          <w:i/>
          <w:iCs/>
          <w:sz w:val="24"/>
          <w:szCs w:val="24"/>
        </w:rPr>
        <w:t>Life of Saint David</w:t>
      </w:r>
      <w:r w:rsidRPr="003804AF">
        <w:rPr>
          <w:sz w:val="24"/>
          <w:szCs w:val="24"/>
        </w:rPr>
        <w:t>), c. 11th century.</w:t>
      </w:r>
    </w:p>
    <w:p w14:paraId="5F99FF05" w14:textId="6BDF5AB6" w:rsidR="003804AF" w:rsidRPr="003804AF" w:rsidRDefault="003804AF" w:rsidP="003804AF">
      <w:pPr>
        <w:pStyle w:val="ListParagraph"/>
        <w:numPr>
          <w:ilvl w:val="0"/>
          <w:numId w:val="5"/>
        </w:numPr>
        <w:rPr>
          <w:sz w:val="24"/>
          <w:szCs w:val="24"/>
        </w:rPr>
      </w:pPr>
      <w:r w:rsidRPr="003804AF">
        <w:rPr>
          <w:sz w:val="24"/>
          <w:szCs w:val="24"/>
        </w:rPr>
        <w:t xml:space="preserve">Davies, John. </w:t>
      </w:r>
      <w:r w:rsidRPr="003804AF">
        <w:rPr>
          <w:i/>
          <w:iCs/>
          <w:sz w:val="24"/>
          <w:szCs w:val="24"/>
        </w:rPr>
        <w:t>A History of Wales.</w:t>
      </w:r>
      <w:r w:rsidRPr="003804AF">
        <w:rPr>
          <w:sz w:val="24"/>
          <w:szCs w:val="24"/>
        </w:rPr>
        <w:t xml:space="preserve"> Penguin, 2007.</w:t>
      </w:r>
    </w:p>
    <w:p w14:paraId="31D94340" w14:textId="7217B532" w:rsidR="003804AF" w:rsidRPr="003804AF" w:rsidRDefault="003804AF" w:rsidP="003804AF">
      <w:pPr>
        <w:pStyle w:val="ListParagraph"/>
        <w:numPr>
          <w:ilvl w:val="0"/>
          <w:numId w:val="5"/>
        </w:numPr>
        <w:rPr>
          <w:sz w:val="24"/>
          <w:szCs w:val="24"/>
        </w:rPr>
      </w:pPr>
      <w:r w:rsidRPr="003804AF">
        <w:rPr>
          <w:sz w:val="24"/>
          <w:szCs w:val="24"/>
        </w:rPr>
        <w:t xml:space="preserve">Davies, Wendy. </w:t>
      </w:r>
      <w:r w:rsidRPr="003804AF">
        <w:rPr>
          <w:i/>
          <w:iCs/>
          <w:sz w:val="24"/>
          <w:szCs w:val="24"/>
        </w:rPr>
        <w:t>Wales in the Early Middle Ages.</w:t>
      </w:r>
      <w:r w:rsidRPr="003804AF">
        <w:rPr>
          <w:sz w:val="24"/>
          <w:szCs w:val="24"/>
        </w:rPr>
        <w:t xml:space="preserve"> Leicester University Press, 1982.</w:t>
      </w:r>
    </w:p>
    <w:p w14:paraId="76F5BF52" w14:textId="0A75653D" w:rsidR="003804AF" w:rsidRPr="003804AF" w:rsidRDefault="003804AF" w:rsidP="003804AF">
      <w:pPr>
        <w:pStyle w:val="ListParagraph"/>
        <w:numPr>
          <w:ilvl w:val="0"/>
          <w:numId w:val="5"/>
        </w:numPr>
        <w:rPr>
          <w:sz w:val="24"/>
          <w:szCs w:val="24"/>
        </w:rPr>
      </w:pPr>
      <w:r w:rsidRPr="003804AF">
        <w:rPr>
          <w:sz w:val="24"/>
          <w:szCs w:val="24"/>
        </w:rPr>
        <w:t xml:space="preserve">Edwards, Nancy. </w:t>
      </w:r>
      <w:r w:rsidRPr="003804AF">
        <w:rPr>
          <w:i/>
          <w:iCs/>
          <w:sz w:val="24"/>
          <w:szCs w:val="24"/>
        </w:rPr>
        <w:t>A Corpus of Early Medieval Inscribed Stones and Stone Sculpture in Wales.</w:t>
      </w:r>
      <w:r w:rsidRPr="003804AF">
        <w:rPr>
          <w:sz w:val="24"/>
          <w:szCs w:val="24"/>
        </w:rPr>
        <w:t xml:space="preserve"> University of Wales Press, 2007.</w:t>
      </w:r>
    </w:p>
    <w:p w14:paraId="4CB99B28" w14:textId="5E325D61" w:rsidR="003804AF" w:rsidRPr="003804AF" w:rsidRDefault="003804AF" w:rsidP="003804AF">
      <w:pPr>
        <w:pStyle w:val="ListParagraph"/>
        <w:numPr>
          <w:ilvl w:val="0"/>
          <w:numId w:val="5"/>
        </w:numPr>
        <w:rPr>
          <w:sz w:val="24"/>
          <w:szCs w:val="24"/>
        </w:rPr>
      </w:pPr>
      <w:r w:rsidRPr="003804AF">
        <w:rPr>
          <w:sz w:val="24"/>
          <w:szCs w:val="24"/>
        </w:rPr>
        <w:t xml:space="preserve">Edwards, Nancy. </w:t>
      </w:r>
      <w:r w:rsidRPr="003804AF">
        <w:rPr>
          <w:i/>
          <w:iCs/>
          <w:sz w:val="24"/>
          <w:szCs w:val="24"/>
        </w:rPr>
        <w:t>The Archaeology of Early Medieval Wales.</w:t>
      </w:r>
      <w:r w:rsidRPr="003804AF">
        <w:rPr>
          <w:sz w:val="24"/>
          <w:szCs w:val="24"/>
        </w:rPr>
        <w:t xml:space="preserve"> University of Wales Press, 2013.</w:t>
      </w:r>
    </w:p>
    <w:p w14:paraId="07823CCE" w14:textId="073B4D8A" w:rsidR="003804AF" w:rsidRPr="003804AF" w:rsidRDefault="003804AF" w:rsidP="003804AF">
      <w:pPr>
        <w:pStyle w:val="ListParagraph"/>
        <w:numPr>
          <w:ilvl w:val="0"/>
          <w:numId w:val="5"/>
        </w:numPr>
        <w:rPr>
          <w:sz w:val="24"/>
          <w:szCs w:val="24"/>
        </w:rPr>
      </w:pPr>
      <w:r w:rsidRPr="003804AF">
        <w:rPr>
          <w:sz w:val="24"/>
          <w:szCs w:val="24"/>
        </w:rPr>
        <w:t xml:space="preserve">Evans, D. Simon. </w:t>
      </w:r>
      <w:proofErr w:type="spellStart"/>
      <w:r w:rsidRPr="003804AF">
        <w:rPr>
          <w:i/>
          <w:iCs/>
          <w:sz w:val="24"/>
          <w:szCs w:val="24"/>
        </w:rPr>
        <w:t>Buchedd</w:t>
      </w:r>
      <w:proofErr w:type="spellEnd"/>
      <w:r w:rsidRPr="003804AF">
        <w:rPr>
          <w:i/>
          <w:iCs/>
          <w:sz w:val="24"/>
          <w:szCs w:val="24"/>
        </w:rPr>
        <w:t xml:space="preserve"> Dewi: The Life of St David.</w:t>
      </w:r>
      <w:r w:rsidRPr="003804AF">
        <w:rPr>
          <w:sz w:val="24"/>
          <w:szCs w:val="24"/>
        </w:rPr>
        <w:t xml:space="preserve"> University of Wales Press,</w:t>
      </w:r>
      <w:r>
        <w:rPr>
          <w:sz w:val="24"/>
          <w:szCs w:val="24"/>
        </w:rPr>
        <w:t xml:space="preserve"> </w:t>
      </w:r>
      <w:r w:rsidRPr="003804AF">
        <w:rPr>
          <w:sz w:val="24"/>
          <w:szCs w:val="24"/>
        </w:rPr>
        <w:t>1988.</w:t>
      </w:r>
    </w:p>
    <w:p w14:paraId="2A635433" w14:textId="091A634E" w:rsidR="003804AF" w:rsidRPr="003804AF" w:rsidRDefault="003804AF" w:rsidP="003804AF">
      <w:pPr>
        <w:pStyle w:val="ListParagraph"/>
        <w:numPr>
          <w:ilvl w:val="0"/>
          <w:numId w:val="5"/>
        </w:numPr>
        <w:rPr>
          <w:sz w:val="24"/>
          <w:szCs w:val="24"/>
        </w:rPr>
      </w:pPr>
      <w:r w:rsidRPr="003804AF">
        <w:rPr>
          <w:sz w:val="24"/>
          <w:szCs w:val="24"/>
        </w:rPr>
        <w:t xml:space="preserve"> Everson, Paul. </w:t>
      </w:r>
      <w:r w:rsidRPr="003804AF">
        <w:rPr>
          <w:i/>
          <w:iCs/>
          <w:sz w:val="24"/>
          <w:szCs w:val="24"/>
        </w:rPr>
        <w:t>Churches and Cathedrals of Medieval Britain.</w:t>
      </w:r>
      <w:r w:rsidRPr="003804AF">
        <w:rPr>
          <w:sz w:val="24"/>
          <w:szCs w:val="24"/>
        </w:rPr>
        <w:t xml:space="preserve"> Routledge, 1999.</w:t>
      </w:r>
    </w:p>
    <w:p w14:paraId="3FA1E632" w14:textId="30DDDA8C" w:rsidR="003804AF" w:rsidRPr="003804AF" w:rsidRDefault="003804AF" w:rsidP="003804AF">
      <w:pPr>
        <w:pStyle w:val="ListParagraph"/>
        <w:numPr>
          <w:ilvl w:val="0"/>
          <w:numId w:val="5"/>
        </w:numPr>
        <w:rPr>
          <w:sz w:val="24"/>
          <w:szCs w:val="24"/>
        </w:rPr>
      </w:pPr>
      <w:r w:rsidRPr="003804AF">
        <w:rPr>
          <w:sz w:val="24"/>
          <w:szCs w:val="24"/>
        </w:rPr>
        <w:t xml:space="preserve"> Jenkins, Geraint. </w:t>
      </w:r>
      <w:r w:rsidRPr="003804AF">
        <w:rPr>
          <w:i/>
          <w:iCs/>
          <w:sz w:val="24"/>
          <w:szCs w:val="24"/>
        </w:rPr>
        <w:t>A Concise History of Wales.</w:t>
      </w:r>
      <w:r w:rsidRPr="003804AF">
        <w:rPr>
          <w:sz w:val="24"/>
          <w:szCs w:val="24"/>
        </w:rPr>
        <w:t xml:space="preserve"> Cambridge University Press, 2017.</w:t>
      </w:r>
    </w:p>
    <w:p w14:paraId="4108D272" w14:textId="4BB9AC96" w:rsidR="003804AF" w:rsidRPr="003804AF" w:rsidRDefault="003804AF" w:rsidP="003804AF">
      <w:pPr>
        <w:pStyle w:val="ListParagraph"/>
        <w:numPr>
          <w:ilvl w:val="0"/>
          <w:numId w:val="5"/>
        </w:numPr>
        <w:rPr>
          <w:sz w:val="24"/>
          <w:szCs w:val="24"/>
        </w:rPr>
      </w:pPr>
      <w:r w:rsidRPr="003804AF">
        <w:rPr>
          <w:sz w:val="24"/>
          <w:szCs w:val="24"/>
        </w:rPr>
        <w:t xml:space="preserve"> Jones, Graham. </w:t>
      </w:r>
      <w:r w:rsidRPr="003804AF">
        <w:rPr>
          <w:i/>
          <w:iCs/>
          <w:sz w:val="24"/>
          <w:szCs w:val="24"/>
        </w:rPr>
        <w:t>Saints in the Landscape.</w:t>
      </w:r>
      <w:r w:rsidRPr="003804AF">
        <w:rPr>
          <w:sz w:val="24"/>
          <w:szCs w:val="24"/>
        </w:rPr>
        <w:t xml:space="preserve"> Blackwell, 2001.</w:t>
      </w:r>
    </w:p>
    <w:p w14:paraId="0A7E47CB" w14:textId="2D02E958" w:rsidR="003804AF" w:rsidRPr="003804AF" w:rsidRDefault="003804AF" w:rsidP="003804AF">
      <w:pPr>
        <w:pStyle w:val="ListParagraph"/>
        <w:numPr>
          <w:ilvl w:val="0"/>
          <w:numId w:val="5"/>
        </w:numPr>
        <w:rPr>
          <w:sz w:val="24"/>
          <w:szCs w:val="24"/>
        </w:rPr>
      </w:pPr>
      <w:r w:rsidRPr="003804AF">
        <w:rPr>
          <w:sz w:val="24"/>
          <w:szCs w:val="24"/>
        </w:rPr>
        <w:t xml:space="preserve"> King, Alex. </w:t>
      </w:r>
      <w:r w:rsidRPr="003804AF">
        <w:rPr>
          <w:i/>
          <w:iCs/>
          <w:sz w:val="24"/>
          <w:szCs w:val="24"/>
        </w:rPr>
        <w:t>Sacred Sites in Britain: A Cultural History.</w:t>
      </w:r>
      <w:r w:rsidRPr="003804AF">
        <w:rPr>
          <w:sz w:val="24"/>
          <w:szCs w:val="24"/>
        </w:rPr>
        <w:t xml:space="preserve"> Bloomsbury Academic, 2016.</w:t>
      </w:r>
    </w:p>
    <w:p w14:paraId="2994EB33" w14:textId="54605557" w:rsidR="003804AF" w:rsidRPr="003804AF" w:rsidRDefault="003804AF" w:rsidP="003804AF">
      <w:pPr>
        <w:pStyle w:val="ListParagraph"/>
        <w:numPr>
          <w:ilvl w:val="0"/>
          <w:numId w:val="5"/>
        </w:numPr>
        <w:rPr>
          <w:sz w:val="24"/>
          <w:szCs w:val="24"/>
        </w:rPr>
      </w:pPr>
      <w:r w:rsidRPr="003804AF">
        <w:rPr>
          <w:sz w:val="24"/>
          <w:szCs w:val="24"/>
        </w:rPr>
        <w:t xml:space="preserve"> Morgan, Prys. </w:t>
      </w:r>
      <w:r w:rsidRPr="003804AF">
        <w:rPr>
          <w:i/>
          <w:iCs/>
          <w:sz w:val="24"/>
          <w:szCs w:val="24"/>
        </w:rPr>
        <w:t>The Eighteenth-Century Renaissance in Wales.</w:t>
      </w:r>
      <w:r w:rsidRPr="003804AF">
        <w:rPr>
          <w:sz w:val="24"/>
          <w:szCs w:val="24"/>
        </w:rPr>
        <w:t xml:space="preserve"> University of Wales Press, 1998.</w:t>
      </w:r>
    </w:p>
    <w:p w14:paraId="510FBCB2" w14:textId="0EB6D8AE" w:rsidR="003804AF" w:rsidRPr="003804AF" w:rsidRDefault="003804AF" w:rsidP="003804AF">
      <w:pPr>
        <w:pStyle w:val="ListParagraph"/>
        <w:numPr>
          <w:ilvl w:val="0"/>
          <w:numId w:val="5"/>
        </w:numPr>
        <w:rPr>
          <w:sz w:val="24"/>
          <w:szCs w:val="24"/>
        </w:rPr>
      </w:pPr>
      <w:r w:rsidRPr="003804AF">
        <w:rPr>
          <w:sz w:val="24"/>
          <w:szCs w:val="24"/>
        </w:rPr>
        <w:t xml:space="preserve"> O’Loughlin, Thomas. </w:t>
      </w:r>
      <w:r w:rsidRPr="003804AF">
        <w:rPr>
          <w:i/>
          <w:iCs/>
          <w:sz w:val="24"/>
          <w:szCs w:val="24"/>
        </w:rPr>
        <w:t>Journeys on the Edges: The Celtic Tradition.</w:t>
      </w:r>
      <w:r w:rsidRPr="003804AF">
        <w:rPr>
          <w:sz w:val="24"/>
          <w:szCs w:val="24"/>
        </w:rPr>
        <w:t xml:space="preserve"> Fortress Press, 2000.</w:t>
      </w:r>
    </w:p>
    <w:p w14:paraId="63C6E934" w14:textId="6BAEA2DC" w:rsidR="003804AF" w:rsidRPr="003804AF" w:rsidRDefault="003804AF" w:rsidP="003804AF">
      <w:pPr>
        <w:pStyle w:val="ListParagraph"/>
        <w:numPr>
          <w:ilvl w:val="0"/>
          <w:numId w:val="5"/>
        </w:numPr>
        <w:rPr>
          <w:sz w:val="24"/>
          <w:szCs w:val="24"/>
        </w:rPr>
      </w:pPr>
      <w:r w:rsidRPr="003804AF">
        <w:rPr>
          <w:sz w:val="24"/>
          <w:szCs w:val="24"/>
        </w:rPr>
        <w:t xml:space="preserve">O’Reilly, Peter. </w:t>
      </w:r>
      <w:r w:rsidRPr="003804AF">
        <w:rPr>
          <w:i/>
          <w:iCs/>
          <w:sz w:val="24"/>
          <w:szCs w:val="24"/>
        </w:rPr>
        <w:t>Celtic Saints in Modern Times.</w:t>
      </w:r>
      <w:r w:rsidRPr="003804AF">
        <w:rPr>
          <w:sz w:val="24"/>
          <w:szCs w:val="24"/>
        </w:rPr>
        <w:t xml:space="preserve"> (n.d.). </w:t>
      </w:r>
      <w:hyperlink r:id="rId10" w:tgtFrame="_new" w:history="1">
        <w:r w:rsidRPr="003804AF">
          <w:rPr>
            <w:rStyle w:val="Hyperlink"/>
            <w:sz w:val="24"/>
            <w:szCs w:val="24"/>
            <w:u w:val="none"/>
          </w:rPr>
          <w:t>https://saints.wales/saints-in-modern-times/</w:t>
        </w:r>
      </w:hyperlink>
    </w:p>
    <w:p w14:paraId="60ED6959" w14:textId="549DC6D4" w:rsidR="003804AF" w:rsidRPr="003804AF" w:rsidRDefault="003804AF" w:rsidP="003804AF">
      <w:pPr>
        <w:pStyle w:val="ListParagraph"/>
        <w:numPr>
          <w:ilvl w:val="0"/>
          <w:numId w:val="5"/>
        </w:numPr>
        <w:rPr>
          <w:sz w:val="24"/>
          <w:szCs w:val="24"/>
        </w:rPr>
      </w:pPr>
      <w:r w:rsidRPr="003804AF">
        <w:rPr>
          <w:sz w:val="24"/>
          <w:szCs w:val="24"/>
        </w:rPr>
        <w:t xml:space="preserve"> Sharpe, Richard. </w:t>
      </w:r>
      <w:r w:rsidRPr="003804AF">
        <w:rPr>
          <w:i/>
          <w:iCs/>
          <w:sz w:val="24"/>
          <w:szCs w:val="24"/>
        </w:rPr>
        <w:t xml:space="preserve">Medieval Irish Saints' Lives: An Introduction to Vitae Sanctorum </w:t>
      </w:r>
      <w:proofErr w:type="spellStart"/>
      <w:r w:rsidRPr="003804AF">
        <w:rPr>
          <w:i/>
          <w:iCs/>
          <w:sz w:val="24"/>
          <w:szCs w:val="24"/>
        </w:rPr>
        <w:t>Hiberniae</w:t>
      </w:r>
      <w:proofErr w:type="spellEnd"/>
      <w:r w:rsidRPr="003804AF">
        <w:rPr>
          <w:i/>
          <w:iCs/>
          <w:sz w:val="24"/>
          <w:szCs w:val="24"/>
        </w:rPr>
        <w:t>.</w:t>
      </w:r>
      <w:r w:rsidRPr="003804AF">
        <w:rPr>
          <w:sz w:val="24"/>
          <w:szCs w:val="24"/>
        </w:rPr>
        <w:t xml:space="preserve"> Clarendon Press, 1991.</w:t>
      </w:r>
    </w:p>
    <w:p w14:paraId="0EEF6609" w14:textId="2177B38D" w:rsidR="003804AF" w:rsidRPr="003804AF" w:rsidRDefault="003804AF" w:rsidP="003804AF">
      <w:pPr>
        <w:pStyle w:val="ListParagraph"/>
        <w:numPr>
          <w:ilvl w:val="0"/>
          <w:numId w:val="5"/>
        </w:numPr>
        <w:rPr>
          <w:sz w:val="24"/>
          <w:szCs w:val="24"/>
        </w:rPr>
      </w:pPr>
      <w:r w:rsidRPr="003804AF">
        <w:rPr>
          <w:sz w:val="24"/>
          <w:szCs w:val="24"/>
        </w:rPr>
        <w:t xml:space="preserve"> Smith, Lesley. </w:t>
      </w:r>
      <w:r w:rsidRPr="003804AF">
        <w:rPr>
          <w:i/>
          <w:iCs/>
          <w:sz w:val="24"/>
          <w:szCs w:val="24"/>
        </w:rPr>
        <w:t>Hagiography and Medieval Religious Culture.</w:t>
      </w:r>
      <w:r w:rsidRPr="003804AF">
        <w:rPr>
          <w:sz w:val="24"/>
          <w:szCs w:val="24"/>
        </w:rPr>
        <w:t xml:space="preserve"> Boydell Press, 1990.</w:t>
      </w:r>
    </w:p>
    <w:p w14:paraId="112A0D90" w14:textId="25AAB893" w:rsidR="003804AF" w:rsidRPr="003804AF" w:rsidRDefault="003804AF" w:rsidP="003804AF">
      <w:pPr>
        <w:pStyle w:val="ListParagraph"/>
        <w:numPr>
          <w:ilvl w:val="0"/>
          <w:numId w:val="5"/>
        </w:numPr>
        <w:rPr>
          <w:sz w:val="24"/>
          <w:szCs w:val="24"/>
        </w:rPr>
      </w:pPr>
      <w:r w:rsidRPr="003804AF">
        <w:rPr>
          <w:sz w:val="24"/>
          <w:szCs w:val="24"/>
        </w:rPr>
        <w:t xml:space="preserve"> Stopford, Jenny. </w:t>
      </w:r>
      <w:r w:rsidRPr="003804AF">
        <w:rPr>
          <w:i/>
          <w:iCs/>
          <w:sz w:val="24"/>
          <w:szCs w:val="24"/>
        </w:rPr>
        <w:t>Pilgrimage Explored.</w:t>
      </w:r>
      <w:r w:rsidRPr="003804AF">
        <w:rPr>
          <w:sz w:val="24"/>
          <w:szCs w:val="24"/>
        </w:rPr>
        <w:t xml:space="preserve"> York Medieval Press, 2000.</w:t>
      </w:r>
    </w:p>
    <w:p w14:paraId="1556F9D3" w14:textId="1206121F" w:rsidR="003804AF" w:rsidRPr="003804AF" w:rsidRDefault="003804AF" w:rsidP="003804AF">
      <w:pPr>
        <w:pStyle w:val="ListParagraph"/>
        <w:numPr>
          <w:ilvl w:val="0"/>
          <w:numId w:val="5"/>
        </w:numPr>
        <w:rPr>
          <w:sz w:val="24"/>
          <w:szCs w:val="24"/>
        </w:rPr>
      </w:pPr>
      <w:r w:rsidRPr="003804AF">
        <w:rPr>
          <w:sz w:val="24"/>
          <w:szCs w:val="24"/>
        </w:rPr>
        <w:lastRenderedPageBreak/>
        <w:t xml:space="preserve"> Thomas, Simon. </w:t>
      </w:r>
      <w:r w:rsidRPr="003804AF">
        <w:rPr>
          <w:i/>
          <w:iCs/>
          <w:sz w:val="24"/>
          <w:szCs w:val="24"/>
        </w:rPr>
        <w:t>Promoting the Sacred: The Potential for Pilgrimage-Touristic Growth in Wales—A Theoretical and Applied Analysis.</w:t>
      </w:r>
      <w:r w:rsidRPr="003804AF">
        <w:rPr>
          <w:sz w:val="24"/>
          <w:szCs w:val="24"/>
        </w:rPr>
        <w:t xml:space="preserve"> University of South Wales, 2017.</w:t>
      </w:r>
    </w:p>
    <w:p w14:paraId="44BAC315" w14:textId="082FDB07" w:rsidR="003804AF" w:rsidRPr="003804AF" w:rsidRDefault="003804AF" w:rsidP="003804AF">
      <w:pPr>
        <w:pStyle w:val="ListParagraph"/>
        <w:numPr>
          <w:ilvl w:val="0"/>
          <w:numId w:val="5"/>
        </w:numPr>
        <w:rPr>
          <w:sz w:val="24"/>
          <w:szCs w:val="24"/>
        </w:rPr>
      </w:pPr>
      <w:r w:rsidRPr="003804AF">
        <w:rPr>
          <w:sz w:val="24"/>
          <w:szCs w:val="24"/>
        </w:rPr>
        <w:t xml:space="preserve"> Williams, Glanmor. </w:t>
      </w:r>
      <w:r w:rsidRPr="003804AF">
        <w:rPr>
          <w:i/>
          <w:iCs/>
          <w:sz w:val="24"/>
          <w:szCs w:val="24"/>
        </w:rPr>
        <w:t>Religion, Language, and Nationalism in Wales.</w:t>
      </w:r>
      <w:r w:rsidRPr="003804AF">
        <w:rPr>
          <w:sz w:val="24"/>
          <w:szCs w:val="24"/>
        </w:rPr>
        <w:t xml:space="preserve"> University of Wales Press, 2008.</w:t>
      </w:r>
    </w:p>
    <w:p w14:paraId="1493B228" w14:textId="2EF254DD" w:rsidR="003804AF" w:rsidRPr="003804AF" w:rsidRDefault="003804AF" w:rsidP="003804AF">
      <w:pPr>
        <w:pStyle w:val="ListParagraph"/>
        <w:numPr>
          <w:ilvl w:val="0"/>
          <w:numId w:val="5"/>
        </w:numPr>
        <w:rPr>
          <w:sz w:val="24"/>
          <w:szCs w:val="24"/>
        </w:rPr>
      </w:pPr>
      <w:r w:rsidRPr="003804AF">
        <w:rPr>
          <w:sz w:val="24"/>
          <w:szCs w:val="24"/>
        </w:rPr>
        <w:t xml:space="preserve"> Wooding, Jonathan. </w:t>
      </w:r>
      <w:r w:rsidRPr="003804AF">
        <w:rPr>
          <w:i/>
          <w:iCs/>
          <w:sz w:val="24"/>
          <w:szCs w:val="24"/>
        </w:rPr>
        <w:t>The Cult of Saints in the Celtic World.</w:t>
      </w:r>
      <w:r w:rsidRPr="003804AF">
        <w:rPr>
          <w:sz w:val="24"/>
          <w:szCs w:val="24"/>
        </w:rPr>
        <w:t xml:space="preserve"> Four Courts Press, 2010.</w:t>
      </w:r>
    </w:p>
    <w:p w14:paraId="74EDC631" w14:textId="77777777" w:rsidR="00D2749C" w:rsidRDefault="00D2749C"/>
    <w:p w14:paraId="070C8C65" w14:textId="77777777" w:rsidR="00D2749C" w:rsidRDefault="00D2749C"/>
    <w:p w14:paraId="55F90F7E" w14:textId="77777777" w:rsidR="00D2749C" w:rsidRDefault="00D2749C"/>
    <w:p w14:paraId="3BFBFAFE" w14:textId="77777777" w:rsidR="00D2749C" w:rsidRDefault="00D2749C"/>
    <w:p w14:paraId="32D20968" w14:textId="77777777" w:rsidR="00D2749C" w:rsidRDefault="00D2749C"/>
    <w:p w14:paraId="57C9943D" w14:textId="77777777" w:rsidR="00D2749C" w:rsidRDefault="00D2749C"/>
    <w:p w14:paraId="5B1F8BC9" w14:textId="2D984DA4" w:rsidR="001E4F1C" w:rsidRPr="003804AF" w:rsidRDefault="001E4F1C" w:rsidP="003804AF"/>
    <w:sectPr w:rsidR="001E4F1C" w:rsidRPr="003804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8EEE28" w14:textId="77777777" w:rsidR="00D2749C" w:rsidRDefault="00D2749C" w:rsidP="00D2749C">
      <w:pPr>
        <w:spacing w:after="0" w:line="240" w:lineRule="auto"/>
      </w:pPr>
      <w:r>
        <w:separator/>
      </w:r>
    </w:p>
  </w:endnote>
  <w:endnote w:type="continuationSeparator" w:id="0">
    <w:p w14:paraId="769AE101" w14:textId="77777777" w:rsidR="00D2749C" w:rsidRDefault="00D2749C" w:rsidP="00D27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DC8C69" w14:textId="77777777" w:rsidR="00D2749C" w:rsidRDefault="00D2749C" w:rsidP="00D2749C">
      <w:pPr>
        <w:spacing w:after="0" w:line="240" w:lineRule="auto"/>
      </w:pPr>
      <w:r>
        <w:separator/>
      </w:r>
    </w:p>
  </w:footnote>
  <w:footnote w:type="continuationSeparator" w:id="0">
    <w:p w14:paraId="2D729581" w14:textId="77777777" w:rsidR="00D2749C" w:rsidRDefault="00D2749C" w:rsidP="00D2749C">
      <w:pPr>
        <w:spacing w:after="0" w:line="240" w:lineRule="auto"/>
      </w:pPr>
      <w:r>
        <w:continuationSeparator/>
      </w:r>
    </w:p>
  </w:footnote>
  <w:footnote w:id="1">
    <w:p w14:paraId="5D697A74" w14:textId="71A4F6DA" w:rsidR="00D2749C" w:rsidRPr="00E44409" w:rsidRDefault="00D2749C">
      <w:pPr>
        <w:pStyle w:val="FootnoteText"/>
      </w:pPr>
      <w:r w:rsidRPr="00E44409">
        <w:rPr>
          <w:rStyle w:val="FootnoteReference"/>
        </w:rPr>
        <w:footnoteRef/>
      </w:r>
      <w:r w:rsidRPr="00E44409">
        <w:t xml:space="preserve"> </w:t>
      </w:r>
      <w:proofErr w:type="spellStart"/>
      <w:r w:rsidR="00E44409" w:rsidRPr="00E44409">
        <w:t>Buchedd</w:t>
      </w:r>
      <w:proofErr w:type="spellEnd"/>
      <w:r w:rsidR="00E44409" w:rsidRPr="00E44409">
        <w:t xml:space="preserve"> Dewi (Life of Saint David), c. 11</w:t>
      </w:r>
      <w:r w:rsidR="00E44409" w:rsidRPr="00E44409">
        <w:rPr>
          <w:vertAlign w:val="superscript"/>
        </w:rPr>
        <w:t>th</w:t>
      </w:r>
      <w:r w:rsidR="00E44409" w:rsidRPr="00E44409">
        <w:t xml:space="preserve"> Century</w:t>
      </w:r>
    </w:p>
  </w:footnote>
  <w:footnote w:id="2">
    <w:p w14:paraId="30BA21A7" w14:textId="02A9B4EC" w:rsidR="00D2749C" w:rsidRPr="00E44409" w:rsidRDefault="00D2749C">
      <w:pPr>
        <w:pStyle w:val="FootnoteText"/>
      </w:pPr>
      <w:r w:rsidRPr="00E44409">
        <w:rPr>
          <w:rStyle w:val="FootnoteReference"/>
        </w:rPr>
        <w:footnoteRef/>
      </w:r>
      <w:r w:rsidRPr="00E44409">
        <w:t xml:space="preserve"> </w:t>
      </w:r>
      <w:r w:rsidR="00E44409" w:rsidRPr="00E44409">
        <w:t xml:space="preserve"> </w:t>
      </w:r>
      <w:r w:rsidR="00E44409" w:rsidRPr="00E44409">
        <w:rPr>
          <w:rFonts w:eastAsia="Times New Roman" w:cs="Times New Roman"/>
          <w:kern w:val="0"/>
          <w:lang w:eastAsia="en-GB"/>
          <w14:ligatures w14:val="none"/>
        </w:rPr>
        <w:t xml:space="preserve">Davies, John. </w:t>
      </w:r>
      <w:r w:rsidR="00E44409" w:rsidRPr="00E44409">
        <w:rPr>
          <w:rFonts w:eastAsia="Times New Roman" w:cs="Times New Roman"/>
          <w:i/>
          <w:iCs/>
          <w:kern w:val="0"/>
          <w:lang w:eastAsia="en-GB"/>
          <w14:ligatures w14:val="none"/>
        </w:rPr>
        <w:t>A History of Wales</w:t>
      </w:r>
      <w:r w:rsidR="00E44409" w:rsidRPr="00E44409">
        <w:rPr>
          <w:rFonts w:eastAsia="Times New Roman" w:cs="Times New Roman"/>
          <w:kern w:val="0"/>
          <w:lang w:eastAsia="en-GB"/>
          <w14:ligatures w14:val="none"/>
        </w:rPr>
        <w:t>.</w:t>
      </w:r>
      <w:r w:rsidR="00E44409" w:rsidRPr="00E44409">
        <w:rPr>
          <w:rFonts w:eastAsia="Times New Roman" w:cs="Times New Roman"/>
          <w:kern w:val="0"/>
          <w:lang w:eastAsia="en-GB"/>
          <w14:ligatures w14:val="none"/>
        </w:rPr>
        <w:t xml:space="preserve"> 2007</w:t>
      </w:r>
    </w:p>
  </w:footnote>
  <w:footnote w:id="3">
    <w:p w14:paraId="0657D38D" w14:textId="396E3F2F" w:rsidR="00E44409" w:rsidRPr="00E44409" w:rsidRDefault="00E44409">
      <w:pPr>
        <w:pStyle w:val="FootnoteText"/>
      </w:pPr>
      <w:r w:rsidRPr="00E44409">
        <w:rPr>
          <w:rStyle w:val="FootnoteReference"/>
        </w:rPr>
        <w:footnoteRef/>
      </w:r>
      <w:r w:rsidRPr="00E44409">
        <w:t xml:space="preserve"> </w:t>
      </w:r>
      <w:r w:rsidRPr="00E44409">
        <w:rPr>
          <w:i/>
          <w:iCs/>
        </w:rPr>
        <w:t>Ibid</w:t>
      </w:r>
    </w:p>
  </w:footnote>
  <w:footnote w:id="4">
    <w:p w14:paraId="38B69AA4" w14:textId="04C1B7E8" w:rsidR="00E44409" w:rsidRPr="00E44409" w:rsidRDefault="00E44409">
      <w:pPr>
        <w:pStyle w:val="FootnoteText"/>
      </w:pPr>
      <w:r w:rsidRPr="00E44409">
        <w:rPr>
          <w:rStyle w:val="FootnoteReference"/>
        </w:rPr>
        <w:footnoteRef/>
      </w:r>
      <w:r w:rsidRPr="00E44409">
        <w:t xml:space="preserve"> </w:t>
      </w:r>
      <w:r w:rsidRPr="00E44409">
        <w:t xml:space="preserve">Bartlett, Robert. </w:t>
      </w:r>
      <w:r w:rsidRPr="00E44409">
        <w:rPr>
          <w:i/>
          <w:iCs/>
        </w:rPr>
        <w:t>Why Can the Dead Do Such Great Things? Saints and Worshippers from the Martyrs to the Reformation, 2013</w:t>
      </w:r>
    </w:p>
  </w:footnote>
  <w:footnote w:id="5">
    <w:p w14:paraId="4ED306C5" w14:textId="06A40373" w:rsidR="00D2749C" w:rsidRDefault="00D2749C">
      <w:pPr>
        <w:pStyle w:val="FootnoteText"/>
      </w:pPr>
      <w:r w:rsidRPr="00E44409">
        <w:rPr>
          <w:rStyle w:val="FootnoteReference"/>
        </w:rPr>
        <w:footnoteRef/>
      </w:r>
      <w:r w:rsidRPr="00E44409">
        <w:t xml:space="preserve"> </w:t>
      </w:r>
      <w:r w:rsidR="00E44409" w:rsidRPr="00E44409">
        <w:t xml:space="preserve">Edwards, Nancy. </w:t>
      </w:r>
      <w:r w:rsidR="00E44409" w:rsidRPr="00E44409">
        <w:rPr>
          <w:i/>
          <w:iCs/>
        </w:rPr>
        <w:t>A Corpus of Early Medieval Inscribed Stones and Stone Sculpture in Wales</w:t>
      </w:r>
      <w:r w:rsidR="00E44409" w:rsidRPr="00E44409">
        <w:t>.</w:t>
      </w:r>
      <w:r w:rsidR="00E44409" w:rsidRPr="00E44409">
        <w:t xml:space="preserve"> 2007</w:t>
      </w:r>
    </w:p>
  </w:footnote>
  <w:footnote w:id="6">
    <w:p w14:paraId="3875105C" w14:textId="23F55C88" w:rsidR="00D2749C" w:rsidRDefault="00D2749C">
      <w:pPr>
        <w:pStyle w:val="FootnoteText"/>
      </w:pPr>
      <w:r>
        <w:rPr>
          <w:rStyle w:val="FootnoteReference"/>
        </w:rPr>
        <w:footnoteRef/>
      </w:r>
      <w:r>
        <w:t xml:space="preserve"> </w:t>
      </w:r>
      <w:r w:rsidR="00E44409" w:rsidRPr="00E44409">
        <w:t xml:space="preserve">Evans, D. Simon. </w:t>
      </w:r>
      <w:proofErr w:type="spellStart"/>
      <w:r w:rsidR="00E44409" w:rsidRPr="00E44409">
        <w:rPr>
          <w:i/>
          <w:iCs/>
        </w:rPr>
        <w:t>Buchedd</w:t>
      </w:r>
      <w:proofErr w:type="spellEnd"/>
      <w:r w:rsidR="00E44409" w:rsidRPr="00E44409">
        <w:rPr>
          <w:i/>
          <w:iCs/>
        </w:rPr>
        <w:t xml:space="preserve"> Dewi: The Life of St David</w:t>
      </w:r>
      <w:r w:rsidR="00E44409" w:rsidRPr="00E44409">
        <w:t>. 1988.</w:t>
      </w:r>
    </w:p>
  </w:footnote>
  <w:footnote w:id="7">
    <w:p w14:paraId="0EB8AEEE" w14:textId="77777777" w:rsidR="00F328C9" w:rsidRPr="00E44409" w:rsidRDefault="00F328C9" w:rsidP="00F328C9">
      <w:pPr>
        <w:pStyle w:val="FootnoteText"/>
      </w:pPr>
      <w:r>
        <w:rPr>
          <w:rStyle w:val="FootnoteReference"/>
        </w:rPr>
        <w:footnoteRef/>
      </w:r>
      <w:r>
        <w:t xml:space="preserve"> </w:t>
      </w:r>
      <w:proofErr w:type="spellStart"/>
      <w:r w:rsidRPr="00E44409">
        <w:t>Buchedd</w:t>
      </w:r>
      <w:proofErr w:type="spellEnd"/>
      <w:r w:rsidRPr="00E44409">
        <w:t xml:space="preserve"> Dewi (Life of Saint David), c. 11</w:t>
      </w:r>
      <w:r w:rsidRPr="00E44409">
        <w:rPr>
          <w:vertAlign w:val="superscript"/>
        </w:rPr>
        <w:t>th</w:t>
      </w:r>
      <w:r w:rsidRPr="00E44409">
        <w:t xml:space="preserve"> Century</w:t>
      </w:r>
    </w:p>
    <w:p w14:paraId="39637E47" w14:textId="5E1BA88A" w:rsidR="00F328C9" w:rsidRDefault="00F328C9">
      <w:pPr>
        <w:pStyle w:val="FootnoteText"/>
      </w:pPr>
    </w:p>
  </w:footnote>
  <w:footnote w:id="8">
    <w:p w14:paraId="57737AEE" w14:textId="7BF0E7C1" w:rsidR="00F328C9" w:rsidRDefault="00F328C9">
      <w:pPr>
        <w:pStyle w:val="FootnoteText"/>
      </w:pPr>
      <w:r>
        <w:rPr>
          <w:rStyle w:val="FootnoteReference"/>
        </w:rPr>
        <w:footnoteRef/>
      </w:r>
      <w:r>
        <w:t xml:space="preserve"> </w:t>
      </w:r>
      <w:r w:rsidRPr="00F328C9">
        <w:t xml:space="preserve">Smith, Lesley. </w:t>
      </w:r>
      <w:r w:rsidRPr="00F328C9">
        <w:rPr>
          <w:i/>
          <w:iCs/>
        </w:rPr>
        <w:t>Hagiography and Medieval Religious Culture</w:t>
      </w:r>
      <w:r w:rsidRPr="00F328C9">
        <w:t>.</w:t>
      </w:r>
      <w:r>
        <w:t xml:space="preserve"> </w:t>
      </w:r>
      <w:r w:rsidRPr="00F328C9">
        <w:t>1990.</w:t>
      </w:r>
    </w:p>
  </w:footnote>
  <w:footnote w:id="9">
    <w:p w14:paraId="642B9A0D" w14:textId="418FD4B2" w:rsidR="00F328C9" w:rsidRPr="005D0AF2" w:rsidRDefault="00F328C9">
      <w:pPr>
        <w:pStyle w:val="FootnoteText"/>
      </w:pPr>
      <w:r>
        <w:rPr>
          <w:rStyle w:val="FootnoteReference"/>
        </w:rPr>
        <w:footnoteRef/>
      </w:r>
      <w:r>
        <w:t xml:space="preserve"> </w:t>
      </w:r>
      <w:r w:rsidRPr="005D0AF2">
        <w:t xml:space="preserve">Davies, Wendy. </w:t>
      </w:r>
      <w:r w:rsidRPr="005D0AF2">
        <w:rPr>
          <w:i/>
          <w:iCs/>
        </w:rPr>
        <w:t>Wales in the Early Middle Ages</w:t>
      </w:r>
      <w:r w:rsidRPr="005D0AF2">
        <w:t>. 1982.</w:t>
      </w:r>
    </w:p>
  </w:footnote>
  <w:footnote w:id="10">
    <w:p w14:paraId="10DE002D" w14:textId="07E5A270" w:rsidR="00F328C9" w:rsidRPr="005D0AF2" w:rsidRDefault="00F328C9">
      <w:pPr>
        <w:pStyle w:val="FootnoteText"/>
      </w:pPr>
      <w:r w:rsidRPr="005D0AF2">
        <w:rPr>
          <w:rStyle w:val="FootnoteReference"/>
        </w:rPr>
        <w:footnoteRef/>
      </w:r>
      <w:r w:rsidRPr="005D0AF2">
        <w:t xml:space="preserve"> </w:t>
      </w:r>
      <w:r w:rsidRPr="005D0AF2">
        <w:t xml:space="preserve">O’Loughlin, Thomas. </w:t>
      </w:r>
      <w:r w:rsidRPr="005D0AF2">
        <w:rPr>
          <w:i/>
          <w:iCs/>
        </w:rPr>
        <w:t>Journeys on the Edges: The Celtic Tradition</w:t>
      </w:r>
      <w:r w:rsidRPr="005D0AF2">
        <w:t>. 2000.</w:t>
      </w:r>
    </w:p>
  </w:footnote>
  <w:footnote w:id="11">
    <w:p w14:paraId="0935D6DD" w14:textId="1E27E047" w:rsidR="00F328C9" w:rsidRPr="005D0AF2" w:rsidRDefault="00F328C9">
      <w:pPr>
        <w:pStyle w:val="FootnoteText"/>
      </w:pPr>
      <w:r w:rsidRPr="005D0AF2">
        <w:rPr>
          <w:rStyle w:val="FootnoteReference"/>
        </w:rPr>
        <w:footnoteRef/>
      </w:r>
      <w:r w:rsidRPr="005D0AF2">
        <w:t xml:space="preserve"> </w:t>
      </w:r>
      <w:r w:rsidRPr="005D0AF2">
        <w:t xml:space="preserve">Davies, Wendy. </w:t>
      </w:r>
      <w:r w:rsidRPr="005D0AF2">
        <w:rPr>
          <w:i/>
          <w:iCs/>
        </w:rPr>
        <w:t>Wales in the Early Middle Ages</w:t>
      </w:r>
      <w:r w:rsidRPr="005D0AF2">
        <w:t>. 1982.</w:t>
      </w:r>
    </w:p>
  </w:footnote>
  <w:footnote w:id="12">
    <w:p w14:paraId="52A09DE0" w14:textId="4C3C1CFF" w:rsidR="00F328C9" w:rsidRPr="005D0AF2" w:rsidRDefault="00F328C9">
      <w:pPr>
        <w:pStyle w:val="FootnoteText"/>
      </w:pPr>
      <w:r w:rsidRPr="005D0AF2">
        <w:rPr>
          <w:rStyle w:val="FootnoteReference"/>
        </w:rPr>
        <w:footnoteRef/>
      </w:r>
      <w:r w:rsidRPr="005D0AF2">
        <w:t xml:space="preserve"> </w:t>
      </w:r>
      <w:r w:rsidRPr="005D0AF2">
        <w:t xml:space="preserve">O’Loughlin, Thomas. </w:t>
      </w:r>
      <w:r w:rsidRPr="005D0AF2">
        <w:rPr>
          <w:i/>
          <w:iCs/>
        </w:rPr>
        <w:t>Journeys on the Edges: The Celtic Tradition</w:t>
      </w:r>
      <w:r w:rsidRPr="005D0AF2">
        <w:t>. 2000.</w:t>
      </w:r>
    </w:p>
  </w:footnote>
  <w:footnote w:id="13">
    <w:p w14:paraId="12DFB373" w14:textId="4AD9BA27" w:rsidR="005D0AF2" w:rsidRPr="005D0AF2" w:rsidRDefault="00F328C9" w:rsidP="005D0AF2">
      <w:pPr>
        <w:rPr>
          <w:sz w:val="20"/>
          <w:szCs w:val="20"/>
        </w:rPr>
      </w:pPr>
      <w:r w:rsidRPr="005D0AF2">
        <w:rPr>
          <w:rStyle w:val="FootnoteReference"/>
          <w:sz w:val="20"/>
          <w:szCs w:val="20"/>
        </w:rPr>
        <w:footnoteRef/>
      </w:r>
      <w:r w:rsidRPr="005D0AF2">
        <w:rPr>
          <w:sz w:val="20"/>
          <w:szCs w:val="20"/>
        </w:rPr>
        <w:t xml:space="preserve"> </w:t>
      </w:r>
      <w:r w:rsidR="005D0AF2" w:rsidRPr="005D0AF2">
        <w:rPr>
          <w:sz w:val="20"/>
          <w:szCs w:val="20"/>
        </w:rPr>
        <w:t xml:space="preserve">Sharpe, Richard. </w:t>
      </w:r>
      <w:r w:rsidR="005D0AF2" w:rsidRPr="005D0AF2">
        <w:rPr>
          <w:i/>
          <w:iCs/>
          <w:sz w:val="20"/>
          <w:szCs w:val="20"/>
        </w:rPr>
        <w:t xml:space="preserve">Medieval Irish Saints' Lives: An Introduction to Vitae Sanctorum </w:t>
      </w:r>
      <w:proofErr w:type="spellStart"/>
      <w:r w:rsidR="005D0AF2" w:rsidRPr="005D0AF2">
        <w:rPr>
          <w:i/>
          <w:iCs/>
          <w:sz w:val="20"/>
          <w:szCs w:val="20"/>
        </w:rPr>
        <w:t>Hiberniae</w:t>
      </w:r>
      <w:proofErr w:type="spellEnd"/>
      <w:r w:rsidR="005D0AF2" w:rsidRPr="005D0AF2">
        <w:rPr>
          <w:sz w:val="20"/>
          <w:szCs w:val="20"/>
        </w:rPr>
        <w:t>. 1991.</w:t>
      </w:r>
    </w:p>
    <w:p w14:paraId="24E195F2" w14:textId="2AF40790" w:rsidR="00F328C9" w:rsidRDefault="00F328C9">
      <w:pPr>
        <w:pStyle w:val="FootnoteText"/>
      </w:pPr>
    </w:p>
  </w:footnote>
  <w:footnote w:id="14">
    <w:p w14:paraId="547997E9" w14:textId="09908F8E" w:rsidR="00F328C9" w:rsidRPr="00F328C9" w:rsidRDefault="00F328C9">
      <w:pPr>
        <w:pStyle w:val="FootnoteText"/>
      </w:pPr>
      <w:r w:rsidRPr="00F328C9">
        <w:rPr>
          <w:rStyle w:val="FootnoteReference"/>
        </w:rPr>
        <w:footnoteRef/>
      </w:r>
      <w:r w:rsidRPr="00F328C9">
        <w:t xml:space="preserve"> </w:t>
      </w:r>
      <w:r w:rsidRPr="00F328C9">
        <w:t xml:space="preserve">Bartlett, Robert. </w:t>
      </w:r>
      <w:r w:rsidRPr="00F328C9">
        <w:rPr>
          <w:i/>
          <w:iCs/>
        </w:rPr>
        <w:t>Why Can the Dead Do Such Great Things? Saints and Worshippers from the Martyrs to the Reformation, 2013</w:t>
      </w:r>
    </w:p>
  </w:footnote>
  <w:footnote w:id="15">
    <w:p w14:paraId="6B399635" w14:textId="09DFE500" w:rsidR="00F328C9" w:rsidRPr="00F328C9" w:rsidRDefault="00F328C9">
      <w:pPr>
        <w:pStyle w:val="FootnoteText"/>
      </w:pPr>
      <w:r w:rsidRPr="00F328C9">
        <w:rPr>
          <w:rStyle w:val="FootnoteReference"/>
        </w:rPr>
        <w:footnoteRef/>
      </w:r>
      <w:r w:rsidRPr="00F328C9">
        <w:t xml:space="preserve"> </w:t>
      </w:r>
      <w:r w:rsidRPr="00F328C9">
        <w:t xml:space="preserve">Edwards, Nancy. </w:t>
      </w:r>
      <w:r w:rsidRPr="00F328C9">
        <w:rPr>
          <w:i/>
          <w:iCs/>
        </w:rPr>
        <w:t>A Corpus of Early Medieval Inscribed Stones and Stone Sculpture in Wales</w:t>
      </w:r>
      <w:r w:rsidRPr="00F328C9">
        <w:t>. 2007</w:t>
      </w:r>
    </w:p>
  </w:footnote>
  <w:footnote w:id="16">
    <w:p w14:paraId="3419BF8F" w14:textId="6D60DD21" w:rsidR="00F328C9" w:rsidRPr="00F328C9" w:rsidRDefault="00F328C9">
      <w:pPr>
        <w:pStyle w:val="FootnoteText"/>
      </w:pPr>
      <w:r w:rsidRPr="00F328C9">
        <w:rPr>
          <w:rStyle w:val="FootnoteReference"/>
        </w:rPr>
        <w:footnoteRef/>
      </w:r>
      <w:r w:rsidRPr="00F328C9">
        <w:t xml:space="preserve"> </w:t>
      </w:r>
      <w:r w:rsidRPr="00F328C9">
        <w:t xml:space="preserve">Davies, Wendy. </w:t>
      </w:r>
      <w:r w:rsidRPr="00F328C9">
        <w:rPr>
          <w:i/>
          <w:iCs/>
        </w:rPr>
        <w:t>Wales in the Early Middle Ages</w:t>
      </w:r>
      <w:r w:rsidRPr="00F328C9">
        <w:t>. 1982.</w:t>
      </w:r>
    </w:p>
  </w:footnote>
  <w:footnote w:id="17">
    <w:p w14:paraId="4147B6B3" w14:textId="78038C81" w:rsidR="00F328C9" w:rsidRDefault="00F328C9">
      <w:pPr>
        <w:pStyle w:val="FootnoteText"/>
      </w:pPr>
      <w:r w:rsidRPr="00F328C9">
        <w:rPr>
          <w:rStyle w:val="FootnoteReference"/>
        </w:rPr>
        <w:footnoteRef/>
      </w:r>
      <w:r w:rsidRPr="00F328C9">
        <w:t xml:space="preserve"> </w:t>
      </w:r>
      <w:r w:rsidRPr="00F328C9">
        <w:t xml:space="preserve">Sharpe, Richard. </w:t>
      </w:r>
      <w:r w:rsidRPr="00F328C9">
        <w:rPr>
          <w:i/>
          <w:iCs/>
        </w:rPr>
        <w:t xml:space="preserve">Medieval Irish Saints' Lives: An Introduction to Vitae Sanctorum </w:t>
      </w:r>
      <w:proofErr w:type="spellStart"/>
      <w:r w:rsidRPr="00F328C9">
        <w:rPr>
          <w:i/>
          <w:iCs/>
        </w:rPr>
        <w:t>Hiberniae</w:t>
      </w:r>
      <w:proofErr w:type="spellEnd"/>
      <w:r w:rsidRPr="00F328C9">
        <w:t>. Clarendon Press, 1991.</w:t>
      </w:r>
    </w:p>
  </w:footnote>
  <w:footnote w:id="18">
    <w:p w14:paraId="56D60904" w14:textId="5A1FC115" w:rsidR="00B369FB" w:rsidRPr="0043318B" w:rsidRDefault="00B369FB">
      <w:pPr>
        <w:pStyle w:val="FootnoteText"/>
      </w:pPr>
      <w:r w:rsidRPr="0043318B">
        <w:rPr>
          <w:rStyle w:val="FootnoteReference"/>
        </w:rPr>
        <w:footnoteRef/>
      </w:r>
      <w:r w:rsidRPr="0043318B">
        <w:t xml:space="preserve"> </w:t>
      </w:r>
      <w:r w:rsidRPr="0043318B">
        <w:t xml:space="preserve">Jones, Charles. </w:t>
      </w:r>
      <w:r w:rsidRPr="0043318B">
        <w:rPr>
          <w:i/>
          <w:iCs/>
        </w:rPr>
        <w:t>Saints in the Landscape</w:t>
      </w:r>
      <w:r w:rsidR="005D0AF2" w:rsidRPr="0043318B">
        <w:rPr>
          <w:i/>
          <w:iCs/>
        </w:rPr>
        <w:t>.</w:t>
      </w:r>
      <w:r w:rsidRPr="0043318B">
        <w:t xml:space="preserve"> 2001.</w:t>
      </w:r>
    </w:p>
  </w:footnote>
  <w:footnote w:id="19">
    <w:p w14:paraId="30EBA941" w14:textId="6841F4C4" w:rsidR="00B369FB" w:rsidRPr="0043318B" w:rsidRDefault="00B369FB">
      <w:pPr>
        <w:pStyle w:val="FootnoteText"/>
      </w:pPr>
      <w:r w:rsidRPr="0043318B">
        <w:rPr>
          <w:rStyle w:val="FootnoteReference"/>
        </w:rPr>
        <w:footnoteRef/>
      </w:r>
      <w:r w:rsidRPr="0043318B">
        <w:t xml:space="preserve"> </w:t>
      </w:r>
      <w:r w:rsidR="0043318B" w:rsidRPr="0043318B">
        <w:t>Boardman, Steve.</w:t>
      </w:r>
      <w:r w:rsidR="0043318B" w:rsidRPr="0043318B">
        <w:rPr>
          <w:rFonts w:ascii="Arial" w:eastAsia="Times New Roman" w:hAnsi="Arial" w:cs="Arial"/>
          <w:color w:val="0F1111"/>
          <w:kern w:val="36"/>
          <w:lang w:eastAsia="en-GB"/>
          <w14:ligatures w14:val="none"/>
        </w:rPr>
        <w:t xml:space="preserve"> </w:t>
      </w:r>
      <w:r w:rsidR="0043318B" w:rsidRPr="0043318B">
        <w:t>Cult of Saints and the Virgin Mary in Medieval Scotland. 2010</w:t>
      </w:r>
    </w:p>
  </w:footnote>
  <w:footnote w:id="20">
    <w:p w14:paraId="222D50D4" w14:textId="4EE7E006" w:rsidR="00B369FB" w:rsidRPr="0043318B" w:rsidRDefault="00B369FB">
      <w:pPr>
        <w:pStyle w:val="FootnoteText"/>
      </w:pPr>
      <w:r w:rsidRPr="0043318B">
        <w:rPr>
          <w:rStyle w:val="FootnoteReference"/>
        </w:rPr>
        <w:footnoteRef/>
      </w:r>
      <w:r w:rsidRPr="0043318B">
        <w:t xml:space="preserve"> </w:t>
      </w:r>
      <w:r w:rsidRPr="0043318B">
        <w:t xml:space="preserve">Jones, Charles. </w:t>
      </w:r>
      <w:r w:rsidRPr="0043318B">
        <w:rPr>
          <w:i/>
          <w:iCs/>
        </w:rPr>
        <w:t>Saints in the Landscape</w:t>
      </w:r>
      <w:r w:rsidRPr="0043318B">
        <w:t>. 2001.</w:t>
      </w:r>
    </w:p>
  </w:footnote>
  <w:footnote w:id="21">
    <w:p w14:paraId="3C6A31B5" w14:textId="0DD2EBEF" w:rsidR="00B369FB" w:rsidRDefault="00B369FB">
      <w:pPr>
        <w:pStyle w:val="FootnoteText"/>
      </w:pPr>
      <w:r w:rsidRPr="0043318B">
        <w:rPr>
          <w:rStyle w:val="FootnoteReference"/>
        </w:rPr>
        <w:footnoteRef/>
      </w:r>
      <w:r w:rsidRPr="0043318B">
        <w:t xml:space="preserve"> </w:t>
      </w:r>
      <w:r w:rsidR="0043318B" w:rsidRPr="0043318B">
        <w:t>Boardman, Steve.</w:t>
      </w:r>
      <w:r w:rsidR="0043318B" w:rsidRPr="0043318B">
        <w:rPr>
          <w:rFonts w:ascii="Arial" w:eastAsia="Times New Roman" w:hAnsi="Arial" w:cs="Arial"/>
          <w:color w:val="0F1111"/>
          <w:kern w:val="36"/>
          <w:lang w:eastAsia="en-GB"/>
          <w14:ligatures w14:val="none"/>
        </w:rPr>
        <w:t xml:space="preserve"> </w:t>
      </w:r>
      <w:r w:rsidR="0043318B" w:rsidRPr="0043318B">
        <w:t>Cult of Saints and the Virgin Mary in Medieval Scotland. 2010</w:t>
      </w:r>
    </w:p>
  </w:footnote>
  <w:footnote w:id="22">
    <w:p w14:paraId="6D6B7091" w14:textId="3B0A94B6" w:rsidR="00B369FB" w:rsidRDefault="00B369FB">
      <w:pPr>
        <w:pStyle w:val="FootnoteText"/>
      </w:pPr>
      <w:r>
        <w:rPr>
          <w:rStyle w:val="FootnoteReference"/>
        </w:rPr>
        <w:footnoteRef/>
      </w:r>
      <w:r>
        <w:t xml:space="preserve"> </w:t>
      </w:r>
      <w:proofErr w:type="spellStart"/>
      <w:r w:rsidRPr="00B369FB">
        <w:t>Higgit</w:t>
      </w:r>
      <w:proofErr w:type="spellEnd"/>
      <w:r w:rsidRPr="00B369FB">
        <w:t xml:space="preserve">, John. </w:t>
      </w:r>
      <w:r w:rsidRPr="00B369FB">
        <w:rPr>
          <w:i/>
          <w:iCs/>
        </w:rPr>
        <w:t>Early Saints of Britain and Ireland</w:t>
      </w:r>
      <w:r w:rsidRPr="00B369FB">
        <w:t>. 1997.</w:t>
      </w:r>
    </w:p>
  </w:footnote>
  <w:footnote w:id="23">
    <w:p w14:paraId="3B7E60F5" w14:textId="330CD9CD" w:rsidR="00B369FB" w:rsidRDefault="00B369FB">
      <w:pPr>
        <w:pStyle w:val="FootnoteText"/>
      </w:pPr>
      <w:r>
        <w:rPr>
          <w:rStyle w:val="FootnoteReference"/>
        </w:rPr>
        <w:footnoteRef/>
      </w:r>
      <w:r>
        <w:t xml:space="preserve"> Ibid</w:t>
      </w:r>
    </w:p>
  </w:footnote>
  <w:footnote w:id="24">
    <w:p w14:paraId="68350D22" w14:textId="1C572FE9" w:rsidR="00B369FB" w:rsidRDefault="00B369FB">
      <w:pPr>
        <w:pStyle w:val="FootnoteText"/>
      </w:pPr>
      <w:r>
        <w:rPr>
          <w:rStyle w:val="FootnoteReference"/>
        </w:rPr>
        <w:footnoteRef/>
      </w:r>
      <w:r>
        <w:t xml:space="preserve"> </w:t>
      </w:r>
      <w:r w:rsidR="0043318B">
        <w:t>Ibid</w:t>
      </w:r>
      <w:r w:rsidRPr="00B369FB">
        <w:t>.</w:t>
      </w:r>
    </w:p>
  </w:footnote>
  <w:footnote w:id="25">
    <w:p w14:paraId="7B453771" w14:textId="42FE470E" w:rsidR="00B369FB" w:rsidRDefault="00B369FB">
      <w:pPr>
        <w:pStyle w:val="FootnoteText"/>
      </w:pPr>
      <w:r>
        <w:rPr>
          <w:rStyle w:val="FootnoteReference"/>
        </w:rPr>
        <w:footnoteRef/>
      </w:r>
      <w:r>
        <w:t xml:space="preserve"> </w:t>
      </w:r>
      <w:r w:rsidRPr="00B369FB">
        <w:t xml:space="preserve">Edwards, Nancy. </w:t>
      </w:r>
      <w:r w:rsidRPr="00B369FB">
        <w:rPr>
          <w:i/>
          <w:iCs/>
        </w:rPr>
        <w:t>The Archaeology of Early Medieval Wales</w:t>
      </w:r>
      <w:r w:rsidRPr="00B369FB">
        <w:t>. 2013.</w:t>
      </w:r>
    </w:p>
  </w:footnote>
  <w:footnote w:id="26">
    <w:p w14:paraId="4D3A6269" w14:textId="61ED5FD4" w:rsidR="00C10040" w:rsidRDefault="00C10040">
      <w:pPr>
        <w:pStyle w:val="FootnoteText"/>
      </w:pPr>
      <w:r>
        <w:rPr>
          <w:rStyle w:val="FootnoteReference"/>
        </w:rPr>
        <w:footnoteRef/>
      </w:r>
      <w:r>
        <w:t xml:space="preserve"> </w:t>
      </w:r>
      <w:r w:rsidRPr="00C10040">
        <w:t xml:space="preserve">Everson, Paul. </w:t>
      </w:r>
      <w:r w:rsidRPr="00C10040">
        <w:rPr>
          <w:i/>
          <w:iCs/>
        </w:rPr>
        <w:t>Churches and Cathedrals of Medieval Britain</w:t>
      </w:r>
      <w:r w:rsidRPr="00C10040">
        <w:t>. 1999.</w:t>
      </w:r>
    </w:p>
  </w:footnote>
  <w:footnote w:id="27">
    <w:p w14:paraId="25A7E4CE" w14:textId="326B2A70" w:rsidR="00C10040" w:rsidRDefault="00C10040">
      <w:pPr>
        <w:pStyle w:val="FootnoteText"/>
      </w:pPr>
      <w:r>
        <w:rPr>
          <w:rStyle w:val="FootnoteReference"/>
        </w:rPr>
        <w:footnoteRef/>
      </w:r>
      <w:r>
        <w:t xml:space="preserve"> </w:t>
      </w:r>
      <w:r w:rsidRPr="00C10040">
        <w:t xml:space="preserve">Stopford, Jenny. </w:t>
      </w:r>
      <w:r w:rsidRPr="00C10040">
        <w:rPr>
          <w:i/>
          <w:iCs/>
        </w:rPr>
        <w:t>Pilgrimage Explored</w:t>
      </w:r>
      <w:r w:rsidRPr="00C10040">
        <w:t>.</w:t>
      </w:r>
      <w:r w:rsidR="001E4F1C">
        <w:t xml:space="preserve"> </w:t>
      </w:r>
      <w:r w:rsidRPr="00C10040">
        <w:t>2000.</w:t>
      </w:r>
    </w:p>
  </w:footnote>
  <w:footnote w:id="28">
    <w:p w14:paraId="09C23052" w14:textId="63021422" w:rsidR="00C10040" w:rsidRDefault="00C10040">
      <w:pPr>
        <w:pStyle w:val="FootnoteText"/>
      </w:pPr>
      <w:r>
        <w:rPr>
          <w:rStyle w:val="FootnoteReference"/>
        </w:rPr>
        <w:footnoteRef/>
      </w:r>
      <w:r>
        <w:t xml:space="preserve"> </w:t>
      </w:r>
      <w:r w:rsidRPr="00C10040">
        <w:t xml:space="preserve">Blair, John. </w:t>
      </w:r>
      <w:r w:rsidRPr="00C10040">
        <w:rPr>
          <w:i/>
          <w:iCs/>
        </w:rPr>
        <w:t>The Church in Anglo-Saxon Society</w:t>
      </w:r>
      <w:r w:rsidRPr="00C10040">
        <w:t>. 2005.</w:t>
      </w:r>
    </w:p>
    <w:p w14:paraId="239E4F7D" w14:textId="77777777" w:rsidR="00C10040" w:rsidRDefault="00C10040">
      <w:pPr>
        <w:pStyle w:val="FootnoteText"/>
      </w:pPr>
    </w:p>
  </w:footnote>
  <w:footnote w:id="29">
    <w:p w14:paraId="1977F3A3" w14:textId="3C6FCAD5" w:rsidR="00C10040" w:rsidRDefault="00C10040">
      <w:pPr>
        <w:pStyle w:val="FootnoteText"/>
      </w:pPr>
      <w:r>
        <w:rPr>
          <w:rStyle w:val="FootnoteReference"/>
        </w:rPr>
        <w:footnoteRef/>
      </w:r>
      <w:r>
        <w:t xml:space="preserve"> </w:t>
      </w:r>
      <w:r w:rsidRPr="00C10040">
        <w:t xml:space="preserve">Henig, Martin. </w:t>
      </w:r>
      <w:r w:rsidRPr="00C10040">
        <w:rPr>
          <w:i/>
          <w:iCs/>
        </w:rPr>
        <w:t>The Healer Saint: Christian Wells in Britain and Ireland</w:t>
      </w:r>
      <w:r w:rsidRPr="00C10040">
        <w:t>. 2018.</w:t>
      </w:r>
    </w:p>
  </w:footnote>
  <w:footnote w:id="30">
    <w:p w14:paraId="0A19EBA6" w14:textId="710A8BB8" w:rsidR="00C10040" w:rsidRDefault="00C10040">
      <w:pPr>
        <w:pStyle w:val="FootnoteText"/>
      </w:pPr>
      <w:r>
        <w:rPr>
          <w:rStyle w:val="FootnoteReference"/>
        </w:rPr>
        <w:footnoteRef/>
      </w:r>
      <w:r>
        <w:t xml:space="preserve"> Ibid</w:t>
      </w:r>
    </w:p>
  </w:footnote>
  <w:footnote w:id="31">
    <w:p w14:paraId="3D1D707B" w14:textId="38D23073" w:rsidR="00706E12" w:rsidRDefault="00706E12">
      <w:pPr>
        <w:pStyle w:val="FootnoteText"/>
      </w:pPr>
      <w:r>
        <w:rPr>
          <w:rStyle w:val="FootnoteReference"/>
        </w:rPr>
        <w:footnoteRef/>
      </w:r>
      <w:r>
        <w:t xml:space="preserve"> </w:t>
      </w:r>
      <w:r w:rsidRPr="00706E12">
        <w:t xml:space="preserve">Wooding, Jonathan. </w:t>
      </w:r>
      <w:r w:rsidRPr="00706E12">
        <w:rPr>
          <w:i/>
          <w:iCs/>
        </w:rPr>
        <w:t>The Cult of Saints in the Celtic World</w:t>
      </w:r>
      <w:r w:rsidRPr="00706E12">
        <w:t>. 2010.</w:t>
      </w:r>
    </w:p>
  </w:footnote>
  <w:footnote w:id="32">
    <w:p w14:paraId="7C9E666B" w14:textId="53C85C23" w:rsidR="00706E12" w:rsidRDefault="00706E12">
      <w:pPr>
        <w:pStyle w:val="FootnoteText"/>
      </w:pPr>
      <w:r>
        <w:rPr>
          <w:rStyle w:val="FootnoteReference"/>
        </w:rPr>
        <w:footnoteRef/>
      </w:r>
      <w:r>
        <w:t xml:space="preserve"> </w:t>
      </w:r>
      <w:r w:rsidRPr="00706E12">
        <w:t xml:space="preserve">Harvey, Alfred. </w:t>
      </w:r>
      <w:r w:rsidRPr="00706E12">
        <w:rPr>
          <w:i/>
          <w:iCs/>
        </w:rPr>
        <w:t>Welsh Saints and Their Churches</w:t>
      </w:r>
      <w:r w:rsidRPr="00706E12">
        <w:t>.</w:t>
      </w:r>
      <w:r>
        <w:t xml:space="preserve"> </w:t>
      </w:r>
      <w:r w:rsidRPr="00706E12">
        <w:t>2000.</w:t>
      </w:r>
    </w:p>
  </w:footnote>
  <w:footnote w:id="33">
    <w:p w14:paraId="6BE8DD96" w14:textId="01195BB6" w:rsidR="00706E12" w:rsidRDefault="00706E12">
      <w:pPr>
        <w:pStyle w:val="FootnoteText"/>
      </w:pPr>
      <w:r>
        <w:rPr>
          <w:rStyle w:val="FootnoteReference"/>
        </w:rPr>
        <w:footnoteRef/>
      </w:r>
      <w:r>
        <w:t xml:space="preserve"> </w:t>
      </w:r>
      <w:r w:rsidRPr="00706E12">
        <w:t xml:space="preserve">Wooding, Jonathan. </w:t>
      </w:r>
      <w:r w:rsidRPr="00706E12">
        <w:rPr>
          <w:i/>
          <w:iCs/>
        </w:rPr>
        <w:t>The Cult of Saints in the Celtic World</w:t>
      </w:r>
      <w:r w:rsidRPr="00706E12">
        <w:t>. 2010.</w:t>
      </w:r>
    </w:p>
  </w:footnote>
  <w:footnote w:id="34">
    <w:p w14:paraId="12BACFB3" w14:textId="4C7E5FD9" w:rsidR="00706E12" w:rsidRDefault="00706E12" w:rsidP="00706E12">
      <w:r>
        <w:rPr>
          <w:rStyle w:val="FootnoteReference"/>
        </w:rPr>
        <w:footnoteRef/>
      </w:r>
      <w:r>
        <w:t xml:space="preserve"> </w:t>
      </w:r>
      <w:r w:rsidRPr="00C10040">
        <w:t xml:space="preserve">Everson, Paul. </w:t>
      </w:r>
      <w:r w:rsidRPr="00706E12">
        <w:rPr>
          <w:i/>
          <w:iCs/>
        </w:rPr>
        <w:t>Churches and Cathedrals of Medieval Britain</w:t>
      </w:r>
      <w:r w:rsidRPr="00C10040">
        <w:t>. 1999.</w:t>
      </w:r>
    </w:p>
  </w:footnote>
  <w:footnote w:id="35">
    <w:p w14:paraId="02EFAEF1" w14:textId="063FA783" w:rsidR="00706E12" w:rsidRDefault="00706E12" w:rsidP="00706E12">
      <w:pPr>
        <w:pStyle w:val="FootnoteText"/>
      </w:pPr>
      <w:r>
        <w:rPr>
          <w:rStyle w:val="FootnoteReference"/>
        </w:rPr>
        <w:footnoteRef/>
      </w:r>
      <w:r>
        <w:t xml:space="preserve"> </w:t>
      </w:r>
      <w:r w:rsidRPr="00C10040">
        <w:t xml:space="preserve">Blair, John. </w:t>
      </w:r>
      <w:r w:rsidRPr="00C10040">
        <w:rPr>
          <w:i/>
          <w:iCs/>
        </w:rPr>
        <w:t>The Church in Anglo-Saxon Society</w:t>
      </w:r>
      <w:r w:rsidRPr="00C10040">
        <w:t>. 2005.</w:t>
      </w:r>
    </w:p>
    <w:p w14:paraId="23ECC943" w14:textId="4016F9EA" w:rsidR="00706E12" w:rsidRDefault="00706E12">
      <w:pPr>
        <w:pStyle w:val="FootnoteText"/>
      </w:pPr>
    </w:p>
  </w:footnote>
  <w:footnote w:id="36">
    <w:p w14:paraId="7D3A87B6" w14:textId="7C8DED05" w:rsidR="00B21663" w:rsidRDefault="00B21663">
      <w:pPr>
        <w:pStyle w:val="FootnoteText"/>
      </w:pPr>
      <w:r>
        <w:rPr>
          <w:rStyle w:val="FootnoteReference"/>
        </w:rPr>
        <w:footnoteRef/>
      </w:r>
      <w:r>
        <w:t xml:space="preserve"> </w:t>
      </w:r>
      <w:r w:rsidRPr="00B21663">
        <w:t xml:space="preserve">Jenkins, Geraint. </w:t>
      </w:r>
      <w:r w:rsidRPr="00B21663">
        <w:rPr>
          <w:i/>
          <w:iCs/>
        </w:rPr>
        <w:t>A Concise History of Wales</w:t>
      </w:r>
      <w:r w:rsidRPr="00B21663">
        <w:t>. 2017.</w:t>
      </w:r>
    </w:p>
  </w:footnote>
  <w:footnote w:id="37">
    <w:p w14:paraId="436C038A" w14:textId="50D6D4FA" w:rsidR="00B21663" w:rsidRDefault="00B21663">
      <w:pPr>
        <w:pStyle w:val="FootnoteText"/>
      </w:pPr>
      <w:r>
        <w:rPr>
          <w:rStyle w:val="FootnoteReference"/>
        </w:rPr>
        <w:footnoteRef/>
      </w:r>
      <w:r>
        <w:t xml:space="preserve"> </w:t>
      </w:r>
      <w:r w:rsidRPr="00B21663">
        <w:t xml:space="preserve">Jones, Owain Wyn. </w:t>
      </w:r>
      <w:r w:rsidRPr="00B21663">
        <w:rPr>
          <w:i/>
          <w:iCs/>
        </w:rPr>
        <w:t>The National Saints of Britain and Ireland</w:t>
      </w:r>
      <w:r w:rsidRPr="00B21663">
        <w:t>. 2005.</w:t>
      </w:r>
    </w:p>
  </w:footnote>
  <w:footnote w:id="38">
    <w:p w14:paraId="3A8D6AAB" w14:textId="6F687DAF" w:rsidR="00B21663" w:rsidRDefault="00B21663">
      <w:pPr>
        <w:pStyle w:val="FootnoteText"/>
      </w:pPr>
      <w:r>
        <w:rPr>
          <w:rStyle w:val="FootnoteReference"/>
        </w:rPr>
        <w:footnoteRef/>
      </w:r>
      <w:r>
        <w:t xml:space="preserve"> </w:t>
      </w:r>
      <w:r w:rsidRPr="00B21663">
        <w:t xml:space="preserve">Morgan, Prys. </w:t>
      </w:r>
      <w:r w:rsidRPr="00B21663">
        <w:rPr>
          <w:i/>
          <w:iCs/>
        </w:rPr>
        <w:t>The Eighteenth-Century Renaissance in Wales</w:t>
      </w:r>
      <w:r w:rsidRPr="00B21663">
        <w:t>. 1998.</w:t>
      </w:r>
    </w:p>
  </w:footnote>
  <w:footnote w:id="39">
    <w:p w14:paraId="611F591D" w14:textId="1173DEDC" w:rsidR="00B21663" w:rsidRDefault="00B21663">
      <w:pPr>
        <w:pStyle w:val="FootnoteText"/>
      </w:pPr>
      <w:r>
        <w:rPr>
          <w:rStyle w:val="FootnoteReference"/>
        </w:rPr>
        <w:footnoteRef/>
      </w:r>
      <w:r>
        <w:t xml:space="preserve"> </w:t>
      </w:r>
      <w:r w:rsidRPr="00B21663">
        <w:t xml:space="preserve">Williams, Glanmor. </w:t>
      </w:r>
      <w:r w:rsidRPr="00B21663">
        <w:rPr>
          <w:i/>
          <w:iCs/>
        </w:rPr>
        <w:t>Religion, Language, and Nationalism in Wales</w:t>
      </w:r>
      <w:r w:rsidRPr="00B21663">
        <w:t>.</w:t>
      </w:r>
      <w:r>
        <w:t xml:space="preserve"> </w:t>
      </w:r>
      <w:r w:rsidRPr="00B21663">
        <w:t>2008.</w:t>
      </w:r>
    </w:p>
  </w:footnote>
  <w:footnote w:id="40">
    <w:p w14:paraId="1F770CAB" w14:textId="08579991" w:rsidR="00B21663" w:rsidRDefault="00B21663">
      <w:pPr>
        <w:pStyle w:val="FootnoteText"/>
      </w:pPr>
      <w:r>
        <w:rPr>
          <w:rStyle w:val="FootnoteReference"/>
        </w:rPr>
        <w:footnoteRef/>
      </w:r>
      <w:r>
        <w:t xml:space="preserve"> </w:t>
      </w:r>
      <w:r w:rsidRPr="00B21663">
        <w:t xml:space="preserve">Edwards, Sarah. </w:t>
      </w:r>
      <w:r w:rsidRPr="00B21663">
        <w:rPr>
          <w:i/>
          <w:iCs/>
        </w:rPr>
        <w:t>Saints and Symbols in Modern Wales</w:t>
      </w:r>
      <w:r w:rsidRPr="00B21663">
        <w:t>. 2020.</w:t>
      </w:r>
    </w:p>
  </w:footnote>
  <w:footnote w:id="41">
    <w:p w14:paraId="74510D91" w14:textId="0853E8C7" w:rsidR="00B21663" w:rsidRPr="001E4F1C" w:rsidRDefault="00B21663">
      <w:pPr>
        <w:pStyle w:val="FootnoteText"/>
        <w:rPr>
          <w:b/>
          <w:bCs/>
        </w:rPr>
      </w:pPr>
      <w:r>
        <w:rPr>
          <w:rStyle w:val="FootnoteReference"/>
        </w:rPr>
        <w:footnoteRef/>
      </w:r>
      <w:r>
        <w:t xml:space="preserve"> </w:t>
      </w:r>
      <w:r w:rsidRPr="001E4F1C">
        <w:t xml:space="preserve">Thomas, </w:t>
      </w:r>
      <w:r w:rsidR="001E4F1C" w:rsidRPr="001E4F1C">
        <w:t xml:space="preserve">Simon. </w:t>
      </w:r>
      <w:r w:rsidR="001E4F1C" w:rsidRPr="001E4F1C">
        <w:t>Promoting the Sacred: The Potential for Pilgrimage-Touristic Growth in Wales—A Theoretical and Applied Analysis</w:t>
      </w:r>
      <w:r w:rsidR="001E4F1C">
        <w:rPr>
          <w:b/>
          <w:bCs/>
        </w:rPr>
        <w:t>. 2017</w:t>
      </w:r>
    </w:p>
  </w:footnote>
  <w:footnote w:id="42">
    <w:p w14:paraId="23FDC0B0" w14:textId="46626BB1" w:rsidR="00B21663" w:rsidRDefault="00B21663">
      <w:pPr>
        <w:pStyle w:val="FootnoteText"/>
      </w:pPr>
      <w:r>
        <w:rPr>
          <w:rStyle w:val="FootnoteReference"/>
        </w:rPr>
        <w:footnoteRef/>
      </w:r>
      <w:r>
        <w:t xml:space="preserve"> </w:t>
      </w:r>
      <w:r w:rsidRPr="00B21663">
        <w:t xml:space="preserve">O’Reilly, Peter. </w:t>
      </w:r>
      <w:r w:rsidRPr="00B21663">
        <w:rPr>
          <w:i/>
          <w:iCs/>
        </w:rPr>
        <w:t>Celtic Saints in Modern Times</w:t>
      </w:r>
      <w:r w:rsidRPr="00B21663">
        <w:t>. 2020.</w:t>
      </w:r>
    </w:p>
  </w:footnote>
  <w:footnote w:id="43">
    <w:p w14:paraId="10F8C335" w14:textId="5AFC7A80" w:rsidR="00B21663" w:rsidRDefault="00B21663">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0027A"/>
    <w:multiLevelType w:val="hybridMultilevel"/>
    <w:tmpl w:val="729404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990BA5"/>
    <w:multiLevelType w:val="multilevel"/>
    <w:tmpl w:val="E7AE8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793799"/>
    <w:multiLevelType w:val="multilevel"/>
    <w:tmpl w:val="3D80B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3F1016"/>
    <w:multiLevelType w:val="hybridMultilevel"/>
    <w:tmpl w:val="4F1C3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A96873"/>
    <w:multiLevelType w:val="multilevel"/>
    <w:tmpl w:val="97FAE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3416077">
    <w:abstractNumId w:val="0"/>
  </w:num>
  <w:num w:numId="2" w16cid:durableId="33115700">
    <w:abstractNumId w:val="2"/>
  </w:num>
  <w:num w:numId="3" w16cid:durableId="1746761378">
    <w:abstractNumId w:val="1"/>
  </w:num>
  <w:num w:numId="4" w16cid:durableId="354037781">
    <w:abstractNumId w:val="4"/>
  </w:num>
  <w:num w:numId="5" w16cid:durableId="12260633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49C"/>
    <w:rsid w:val="001E4F1C"/>
    <w:rsid w:val="002A3EA5"/>
    <w:rsid w:val="003804AF"/>
    <w:rsid w:val="003B2FF0"/>
    <w:rsid w:val="0043318B"/>
    <w:rsid w:val="0046007E"/>
    <w:rsid w:val="005D0AF2"/>
    <w:rsid w:val="00617908"/>
    <w:rsid w:val="00706E12"/>
    <w:rsid w:val="0075333D"/>
    <w:rsid w:val="009819CF"/>
    <w:rsid w:val="009E16C0"/>
    <w:rsid w:val="00A018B3"/>
    <w:rsid w:val="00B21663"/>
    <w:rsid w:val="00B369FB"/>
    <w:rsid w:val="00BB214D"/>
    <w:rsid w:val="00C10040"/>
    <w:rsid w:val="00CF6E72"/>
    <w:rsid w:val="00D2749C"/>
    <w:rsid w:val="00E33468"/>
    <w:rsid w:val="00E44409"/>
    <w:rsid w:val="00EE4B9C"/>
    <w:rsid w:val="00F328C9"/>
    <w:rsid w:val="00F64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7CECE"/>
  <w15:chartTrackingRefBased/>
  <w15:docId w15:val="{AE774EBB-8E3B-47A5-A2BE-F47BC240D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4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74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74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74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74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74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4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4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4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4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74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74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74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74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74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4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4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49C"/>
    <w:rPr>
      <w:rFonts w:eastAsiaTheme="majorEastAsia" w:cstheme="majorBidi"/>
      <w:color w:val="272727" w:themeColor="text1" w:themeTint="D8"/>
    </w:rPr>
  </w:style>
  <w:style w:type="paragraph" w:styleId="Title">
    <w:name w:val="Title"/>
    <w:basedOn w:val="Normal"/>
    <w:next w:val="Normal"/>
    <w:link w:val="TitleChar"/>
    <w:uiPriority w:val="10"/>
    <w:qFormat/>
    <w:rsid w:val="00D274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4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4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4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49C"/>
    <w:pPr>
      <w:spacing w:before="160"/>
      <w:jc w:val="center"/>
    </w:pPr>
    <w:rPr>
      <w:i/>
      <w:iCs/>
      <w:color w:val="404040" w:themeColor="text1" w:themeTint="BF"/>
    </w:rPr>
  </w:style>
  <w:style w:type="character" w:customStyle="1" w:styleId="QuoteChar">
    <w:name w:val="Quote Char"/>
    <w:basedOn w:val="DefaultParagraphFont"/>
    <w:link w:val="Quote"/>
    <w:uiPriority w:val="29"/>
    <w:rsid w:val="00D2749C"/>
    <w:rPr>
      <w:i/>
      <w:iCs/>
      <w:color w:val="404040" w:themeColor="text1" w:themeTint="BF"/>
    </w:rPr>
  </w:style>
  <w:style w:type="paragraph" w:styleId="ListParagraph">
    <w:name w:val="List Paragraph"/>
    <w:basedOn w:val="Normal"/>
    <w:uiPriority w:val="34"/>
    <w:qFormat/>
    <w:rsid w:val="00D2749C"/>
    <w:pPr>
      <w:ind w:left="720"/>
      <w:contextualSpacing/>
    </w:pPr>
  </w:style>
  <w:style w:type="character" w:styleId="IntenseEmphasis">
    <w:name w:val="Intense Emphasis"/>
    <w:basedOn w:val="DefaultParagraphFont"/>
    <w:uiPriority w:val="21"/>
    <w:qFormat/>
    <w:rsid w:val="00D2749C"/>
    <w:rPr>
      <w:i/>
      <w:iCs/>
      <w:color w:val="0F4761" w:themeColor="accent1" w:themeShade="BF"/>
    </w:rPr>
  </w:style>
  <w:style w:type="paragraph" w:styleId="IntenseQuote">
    <w:name w:val="Intense Quote"/>
    <w:basedOn w:val="Normal"/>
    <w:next w:val="Normal"/>
    <w:link w:val="IntenseQuoteChar"/>
    <w:uiPriority w:val="30"/>
    <w:qFormat/>
    <w:rsid w:val="00D274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749C"/>
    <w:rPr>
      <w:i/>
      <w:iCs/>
      <w:color w:val="0F4761" w:themeColor="accent1" w:themeShade="BF"/>
    </w:rPr>
  </w:style>
  <w:style w:type="character" w:styleId="IntenseReference">
    <w:name w:val="Intense Reference"/>
    <w:basedOn w:val="DefaultParagraphFont"/>
    <w:uiPriority w:val="32"/>
    <w:qFormat/>
    <w:rsid w:val="00D2749C"/>
    <w:rPr>
      <w:b/>
      <w:bCs/>
      <w:smallCaps/>
      <w:color w:val="0F4761" w:themeColor="accent1" w:themeShade="BF"/>
      <w:spacing w:val="5"/>
    </w:rPr>
  </w:style>
  <w:style w:type="paragraph" w:styleId="FootnoteText">
    <w:name w:val="footnote text"/>
    <w:basedOn w:val="Normal"/>
    <w:link w:val="FootnoteTextChar"/>
    <w:uiPriority w:val="99"/>
    <w:semiHidden/>
    <w:unhideWhenUsed/>
    <w:rsid w:val="00D274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749C"/>
    <w:rPr>
      <w:sz w:val="20"/>
      <w:szCs w:val="20"/>
    </w:rPr>
  </w:style>
  <w:style w:type="character" w:styleId="FootnoteReference">
    <w:name w:val="footnote reference"/>
    <w:basedOn w:val="DefaultParagraphFont"/>
    <w:uiPriority w:val="99"/>
    <w:semiHidden/>
    <w:unhideWhenUsed/>
    <w:rsid w:val="00D2749C"/>
    <w:rPr>
      <w:vertAlign w:val="superscript"/>
    </w:rPr>
  </w:style>
  <w:style w:type="character" w:styleId="Emphasis">
    <w:name w:val="Emphasis"/>
    <w:basedOn w:val="DefaultParagraphFont"/>
    <w:uiPriority w:val="20"/>
    <w:qFormat/>
    <w:rsid w:val="00E44409"/>
    <w:rPr>
      <w:i/>
      <w:iCs/>
    </w:rPr>
  </w:style>
  <w:style w:type="paragraph" w:styleId="NormalWeb">
    <w:name w:val="Normal (Web)"/>
    <w:basedOn w:val="Normal"/>
    <w:uiPriority w:val="99"/>
    <w:semiHidden/>
    <w:unhideWhenUsed/>
    <w:rsid w:val="00A018B3"/>
    <w:rPr>
      <w:rFonts w:ascii="Times New Roman" w:hAnsi="Times New Roman" w:cs="Times New Roman"/>
      <w:sz w:val="24"/>
      <w:szCs w:val="24"/>
    </w:rPr>
  </w:style>
  <w:style w:type="character" w:styleId="Hyperlink">
    <w:name w:val="Hyperlink"/>
    <w:basedOn w:val="DefaultParagraphFont"/>
    <w:uiPriority w:val="99"/>
    <w:unhideWhenUsed/>
    <w:rsid w:val="001E4F1C"/>
    <w:rPr>
      <w:color w:val="467886" w:themeColor="hyperlink"/>
      <w:u w:val="single"/>
    </w:rPr>
  </w:style>
  <w:style w:type="character" w:styleId="UnresolvedMention">
    <w:name w:val="Unresolved Mention"/>
    <w:basedOn w:val="DefaultParagraphFont"/>
    <w:uiPriority w:val="99"/>
    <w:semiHidden/>
    <w:unhideWhenUsed/>
    <w:rsid w:val="001E4F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553130">
      <w:bodyDiv w:val="1"/>
      <w:marLeft w:val="0"/>
      <w:marRight w:val="0"/>
      <w:marTop w:val="0"/>
      <w:marBottom w:val="0"/>
      <w:divBdr>
        <w:top w:val="none" w:sz="0" w:space="0" w:color="auto"/>
        <w:left w:val="none" w:sz="0" w:space="0" w:color="auto"/>
        <w:bottom w:val="none" w:sz="0" w:space="0" w:color="auto"/>
        <w:right w:val="none" w:sz="0" w:space="0" w:color="auto"/>
      </w:divBdr>
    </w:div>
    <w:div w:id="64380371">
      <w:bodyDiv w:val="1"/>
      <w:marLeft w:val="0"/>
      <w:marRight w:val="0"/>
      <w:marTop w:val="0"/>
      <w:marBottom w:val="0"/>
      <w:divBdr>
        <w:top w:val="none" w:sz="0" w:space="0" w:color="auto"/>
        <w:left w:val="none" w:sz="0" w:space="0" w:color="auto"/>
        <w:bottom w:val="none" w:sz="0" w:space="0" w:color="auto"/>
        <w:right w:val="none" w:sz="0" w:space="0" w:color="auto"/>
      </w:divBdr>
    </w:div>
    <w:div w:id="158542942">
      <w:bodyDiv w:val="1"/>
      <w:marLeft w:val="0"/>
      <w:marRight w:val="0"/>
      <w:marTop w:val="0"/>
      <w:marBottom w:val="0"/>
      <w:divBdr>
        <w:top w:val="none" w:sz="0" w:space="0" w:color="auto"/>
        <w:left w:val="none" w:sz="0" w:space="0" w:color="auto"/>
        <w:bottom w:val="none" w:sz="0" w:space="0" w:color="auto"/>
        <w:right w:val="none" w:sz="0" w:space="0" w:color="auto"/>
      </w:divBdr>
    </w:div>
    <w:div w:id="183904723">
      <w:bodyDiv w:val="1"/>
      <w:marLeft w:val="0"/>
      <w:marRight w:val="0"/>
      <w:marTop w:val="0"/>
      <w:marBottom w:val="0"/>
      <w:divBdr>
        <w:top w:val="none" w:sz="0" w:space="0" w:color="auto"/>
        <w:left w:val="none" w:sz="0" w:space="0" w:color="auto"/>
        <w:bottom w:val="none" w:sz="0" w:space="0" w:color="auto"/>
        <w:right w:val="none" w:sz="0" w:space="0" w:color="auto"/>
      </w:divBdr>
    </w:div>
    <w:div w:id="185676199">
      <w:bodyDiv w:val="1"/>
      <w:marLeft w:val="0"/>
      <w:marRight w:val="0"/>
      <w:marTop w:val="0"/>
      <w:marBottom w:val="0"/>
      <w:divBdr>
        <w:top w:val="none" w:sz="0" w:space="0" w:color="auto"/>
        <w:left w:val="none" w:sz="0" w:space="0" w:color="auto"/>
        <w:bottom w:val="none" w:sz="0" w:space="0" w:color="auto"/>
        <w:right w:val="none" w:sz="0" w:space="0" w:color="auto"/>
      </w:divBdr>
    </w:div>
    <w:div w:id="251404067">
      <w:bodyDiv w:val="1"/>
      <w:marLeft w:val="0"/>
      <w:marRight w:val="0"/>
      <w:marTop w:val="0"/>
      <w:marBottom w:val="0"/>
      <w:divBdr>
        <w:top w:val="none" w:sz="0" w:space="0" w:color="auto"/>
        <w:left w:val="none" w:sz="0" w:space="0" w:color="auto"/>
        <w:bottom w:val="none" w:sz="0" w:space="0" w:color="auto"/>
        <w:right w:val="none" w:sz="0" w:space="0" w:color="auto"/>
      </w:divBdr>
    </w:div>
    <w:div w:id="308678743">
      <w:bodyDiv w:val="1"/>
      <w:marLeft w:val="0"/>
      <w:marRight w:val="0"/>
      <w:marTop w:val="0"/>
      <w:marBottom w:val="0"/>
      <w:divBdr>
        <w:top w:val="none" w:sz="0" w:space="0" w:color="auto"/>
        <w:left w:val="none" w:sz="0" w:space="0" w:color="auto"/>
        <w:bottom w:val="none" w:sz="0" w:space="0" w:color="auto"/>
        <w:right w:val="none" w:sz="0" w:space="0" w:color="auto"/>
      </w:divBdr>
    </w:div>
    <w:div w:id="376441395">
      <w:bodyDiv w:val="1"/>
      <w:marLeft w:val="0"/>
      <w:marRight w:val="0"/>
      <w:marTop w:val="0"/>
      <w:marBottom w:val="0"/>
      <w:divBdr>
        <w:top w:val="none" w:sz="0" w:space="0" w:color="auto"/>
        <w:left w:val="none" w:sz="0" w:space="0" w:color="auto"/>
        <w:bottom w:val="none" w:sz="0" w:space="0" w:color="auto"/>
        <w:right w:val="none" w:sz="0" w:space="0" w:color="auto"/>
      </w:divBdr>
    </w:div>
    <w:div w:id="427628031">
      <w:bodyDiv w:val="1"/>
      <w:marLeft w:val="0"/>
      <w:marRight w:val="0"/>
      <w:marTop w:val="0"/>
      <w:marBottom w:val="0"/>
      <w:divBdr>
        <w:top w:val="none" w:sz="0" w:space="0" w:color="auto"/>
        <w:left w:val="none" w:sz="0" w:space="0" w:color="auto"/>
        <w:bottom w:val="none" w:sz="0" w:space="0" w:color="auto"/>
        <w:right w:val="none" w:sz="0" w:space="0" w:color="auto"/>
      </w:divBdr>
    </w:div>
    <w:div w:id="447479859">
      <w:bodyDiv w:val="1"/>
      <w:marLeft w:val="0"/>
      <w:marRight w:val="0"/>
      <w:marTop w:val="0"/>
      <w:marBottom w:val="0"/>
      <w:divBdr>
        <w:top w:val="none" w:sz="0" w:space="0" w:color="auto"/>
        <w:left w:val="none" w:sz="0" w:space="0" w:color="auto"/>
        <w:bottom w:val="none" w:sz="0" w:space="0" w:color="auto"/>
        <w:right w:val="none" w:sz="0" w:space="0" w:color="auto"/>
      </w:divBdr>
    </w:div>
    <w:div w:id="463426833">
      <w:bodyDiv w:val="1"/>
      <w:marLeft w:val="0"/>
      <w:marRight w:val="0"/>
      <w:marTop w:val="0"/>
      <w:marBottom w:val="0"/>
      <w:divBdr>
        <w:top w:val="none" w:sz="0" w:space="0" w:color="auto"/>
        <w:left w:val="none" w:sz="0" w:space="0" w:color="auto"/>
        <w:bottom w:val="none" w:sz="0" w:space="0" w:color="auto"/>
        <w:right w:val="none" w:sz="0" w:space="0" w:color="auto"/>
      </w:divBdr>
      <w:divsChild>
        <w:div w:id="1554191332">
          <w:marLeft w:val="-720"/>
          <w:marRight w:val="0"/>
          <w:marTop w:val="0"/>
          <w:marBottom w:val="0"/>
          <w:divBdr>
            <w:top w:val="none" w:sz="0" w:space="0" w:color="auto"/>
            <w:left w:val="none" w:sz="0" w:space="0" w:color="auto"/>
            <w:bottom w:val="none" w:sz="0" w:space="0" w:color="auto"/>
            <w:right w:val="none" w:sz="0" w:space="0" w:color="auto"/>
          </w:divBdr>
        </w:div>
      </w:divsChild>
    </w:div>
    <w:div w:id="475493653">
      <w:bodyDiv w:val="1"/>
      <w:marLeft w:val="0"/>
      <w:marRight w:val="0"/>
      <w:marTop w:val="0"/>
      <w:marBottom w:val="0"/>
      <w:divBdr>
        <w:top w:val="none" w:sz="0" w:space="0" w:color="auto"/>
        <w:left w:val="none" w:sz="0" w:space="0" w:color="auto"/>
        <w:bottom w:val="none" w:sz="0" w:space="0" w:color="auto"/>
        <w:right w:val="none" w:sz="0" w:space="0" w:color="auto"/>
      </w:divBdr>
    </w:div>
    <w:div w:id="717704528">
      <w:bodyDiv w:val="1"/>
      <w:marLeft w:val="0"/>
      <w:marRight w:val="0"/>
      <w:marTop w:val="0"/>
      <w:marBottom w:val="0"/>
      <w:divBdr>
        <w:top w:val="none" w:sz="0" w:space="0" w:color="auto"/>
        <w:left w:val="none" w:sz="0" w:space="0" w:color="auto"/>
        <w:bottom w:val="none" w:sz="0" w:space="0" w:color="auto"/>
        <w:right w:val="none" w:sz="0" w:space="0" w:color="auto"/>
      </w:divBdr>
    </w:div>
    <w:div w:id="730814319">
      <w:bodyDiv w:val="1"/>
      <w:marLeft w:val="0"/>
      <w:marRight w:val="0"/>
      <w:marTop w:val="0"/>
      <w:marBottom w:val="0"/>
      <w:divBdr>
        <w:top w:val="none" w:sz="0" w:space="0" w:color="auto"/>
        <w:left w:val="none" w:sz="0" w:space="0" w:color="auto"/>
        <w:bottom w:val="none" w:sz="0" w:space="0" w:color="auto"/>
        <w:right w:val="none" w:sz="0" w:space="0" w:color="auto"/>
      </w:divBdr>
      <w:divsChild>
        <w:div w:id="1718159999">
          <w:marLeft w:val="-720"/>
          <w:marRight w:val="0"/>
          <w:marTop w:val="0"/>
          <w:marBottom w:val="0"/>
          <w:divBdr>
            <w:top w:val="none" w:sz="0" w:space="0" w:color="auto"/>
            <w:left w:val="none" w:sz="0" w:space="0" w:color="auto"/>
            <w:bottom w:val="none" w:sz="0" w:space="0" w:color="auto"/>
            <w:right w:val="none" w:sz="0" w:space="0" w:color="auto"/>
          </w:divBdr>
        </w:div>
      </w:divsChild>
    </w:div>
    <w:div w:id="838544404">
      <w:bodyDiv w:val="1"/>
      <w:marLeft w:val="0"/>
      <w:marRight w:val="0"/>
      <w:marTop w:val="0"/>
      <w:marBottom w:val="0"/>
      <w:divBdr>
        <w:top w:val="none" w:sz="0" w:space="0" w:color="auto"/>
        <w:left w:val="none" w:sz="0" w:space="0" w:color="auto"/>
        <w:bottom w:val="none" w:sz="0" w:space="0" w:color="auto"/>
        <w:right w:val="none" w:sz="0" w:space="0" w:color="auto"/>
      </w:divBdr>
    </w:div>
    <w:div w:id="1010714034">
      <w:bodyDiv w:val="1"/>
      <w:marLeft w:val="0"/>
      <w:marRight w:val="0"/>
      <w:marTop w:val="0"/>
      <w:marBottom w:val="0"/>
      <w:divBdr>
        <w:top w:val="none" w:sz="0" w:space="0" w:color="auto"/>
        <w:left w:val="none" w:sz="0" w:space="0" w:color="auto"/>
        <w:bottom w:val="none" w:sz="0" w:space="0" w:color="auto"/>
        <w:right w:val="none" w:sz="0" w:space="0" w:color="auto"/>
      </w:divBdr>
    </w:div>
    <w:div w:id="1087387946">
      <w:bodyDiv w:val="1"/>
      <w:marLeft w:val="0"/>
      <w:marRight w:val="0"/>
      <w:marTop w:val="0"/>
      <w:marBottom w:val="0"/>
      <w:divBdr>
        <w:top w:val="none" w:sz="0" w:space="0" w:color="auto"/>
        <w:left w:val="none" w:sz="0" w:space="0" w:color="auto"/>
        <w:bottom w:val="none" w:sz="0" w:space="0" w:color="auto"/>
        <w:right w:val="none" w:sz="0" w:space="0" w:color="auto"/>
      </w:divBdr>
    </w:div>
    <w:div w:id="1190603087">
      <w:bodyDiv w:val="1"/>
      <w:marLeft w:val="0"/>
      <w:marRight w:val="0"/>
      <w:marTop w:val="0"/>
      <w:marBottom w:val="0"/>
      <w:divBdr>
        <w:top w:val="none" w:sz="0" w:space="0" w:color="auto"/>
        <w:left w:val="none" w:sz="0" w:space="0" w:color="auto"/>
        <w:bottom w:val="none" w:sz="0" w:space="0" w:color="auto"/>
        <w:right w:val="none" w:sz="0" w:space="0" w:color="auto"/>
      </w:divBdr>
    </w:div>
    <w:div w:id="1273896326">
      <w:bodyDiv w:val="1"/>
      <w:marLeft w:val="0"/>
      <w:marRight w:val="0"/>
      <w:marTop w:val="0"/>
      <w:marBottom w:val="0"/>
      <w:divBdr>
        <w:top w:val="none" w:sz="0" w:space="0" w:color="auto"/>
        <w:left w:val="none" w:sz="0" w:space="0" w:color="auto"/>
        <w:bottom w:val="none" w:sz="0" w:space="0" w:color="auto"/>
        <w:right w:val="none" w:sz="0" w:space="0" w:color="auto"/>
      </w:divBdr>
    </w:div>
    <w:div w:id="1507859768">
      <w:bodyDiv w:val="1"/>
      <w:marLeft w:val="0"/>
      <w:marRight w:val="0"/>
      <w:marTop w:val="0"/>
      <w:marBottom w:val="0"/>
      <w:divBdr>
        <w:top w:val="none" w:sz="0" w:space="0" w:color="auto"/>
        <w:left w:val="none" w:sz="0" w:space="0" w:color="auto"/>
        <w:bottom w:val="none" w:sz="0" w:space="0" w:color="auto"/>
        <w:right w:val="none" w:sz="0" w:space="0" w:color="auto"/>
      </w:divBdr>
    </w:div>
    <w:div w:id="1520388330">
      <w:bodyDiv w:val="1"/>
      <w:marLeft w:val="0"/>
      <w:marRight w:val="0"/>
      <w:marTop w:val="0"/>
      <w:marBottom w:val="0"/>
      <w:divBdr>
        <w:top w:val="none" w:sz="0" w:space="0" w:color="auto"/>
        <w:left w:val="none" w:sz="0" w:space="0" w:color="auto"/>
        <w:bottom w:val="none" w:sz="0" w:space="0" w:color="auto"/>
        <w:right w:val="none" w:sz="0" w:space="0" w:color="auto"/>
      </w:divBdr>
    </w:div>
    <w:div w:id="1542478095">
      <w:bodyDiv w:val="1"/>
      <w:marLeft w:val="0"/>
      <w:marRight w:val="0"/>
      <w:marTop w:val="0"/>
      <w:marBottom w:val="0"/>
      <w:divBdr>
        <w:top w:val="none" w:sz="0" w:space="0" w:color="auto"/>
        <w:left w:val="none" w:sz="0" w:space="0" w:color="auto"/>
        <w:bottom w:val="none" w:sz="0" w:space="0" w:color="auto"/>
        <w:right w:val="none" w:sz="0" w:space="0" w:color="auto"/>
      </w:divBdr>
    </w:div>
    <w:div w:id="1750538460">
      <w:bodyDiv w:val="1"/>
      <w:marLeft w:val="0"/>
      <w:marRight w:val="0"/>
      <w:marTop w:val="0"/>
      <w:marBottom w:val="0"/>
      <w:divBdr>
        <w:top w:val="none" w:sz="0" w:space="0" w:color="auto"/>
        <w:left w:val="none" w:sz="0" w:space="0" w:color="auto"/>
        <w:bottom w:val="none" w:sz="0" w:space="0" w:color="auto"/>
        <w:right w:val="none" w:sz="0" w:space="0" w:color="auto"/>
      </w:divBdr>
    </w:div>
    <w:div w:id="1882010879">
      <w:bodyDiv w:val="1"/>
      <w:marLeft w:val="0"/>
      <w:marRight w:val="0"/>
      <w:marTop w:val="0"/>
      <w:marBottom w:val="0"/>
      <w:divBdr>
        <w:top w:val="none" w:sz="0" w:space="0" w:color="auto"/>
        <w:left w:val="none" w:sz="0" w:space="0" w:color="auto"/>
        <w:bottom w:val="none" w:sz="0" w:space="0" w:color="auto"/>
        <w:right w:val="none" w:sz="0" w:space="0" w:color="auto"/>
      </w:divBdr>
    </w:div>
    <w:div w:id="1883010456">
      <w:bodyDiv w:val="1"/>
      <w:marLeft w:val="0"/>
      <w:marRight w:val="0"/>
      <w:marTop w:val="0"/>
      <w:marBottom w:val="0"/>
      <w:divBdr>
        <w:top w:val="none" w:sz="0" w:space="0" w:color="auto"/>
        <w:left w:val="none" w:sz="0" w:space="0" w:color="auto"/>
        <w:bottom w:val="none" w:sz="0" w:space="0" w:color="auto"/>
        <w:right w:val="none" w:sz="0" w:space="0" w:color="auto"/>
      </w:divBdr>
    </w:div>
    <w:div w:id="1889025653">
      <w:bodyDiv w:val="1"/>
      <w:marLeft w:val="0"/>
      <w:marRight w:val="0"/>
      <w:marTop w:val="0"/>
      <w:marBottom w:val="0"/>
      <w:divBdr>
        <w:top w:val="none" w:sz="0" w:space="0" w:color="auto"/>
        <w:left w:val="none" w:sz="0" w:space="0" w:color="auto"/>
        <w:bottom w:val="none" w:sz="0" w:space="0" w:color="auto"/>
        <w:right w:val="none" w:sz="0" w:space="0" w:color="auto"/>
      </w:divBdr>
    </w:div>
    <w:div w:id="1892115264">
      <w:bodyDiv w:val="1"/>
      <w:marLeft w:val="0"/>
      <w:marRight w:val="0"/>
      <w:marTop w:val="0"/>
      <w:marBottom w:val="0"/>
      <w:divBdr>
        <w:top w:val="none" w:sz="0" w:space="0" w:color="auto"/>
        <w:left w:val="none" w:sz="0" w:space="0" w:color="auto"/>
        <w:bottom w:val="none" w:sz="0" w:space="0" w:color="auto"/>
        <w:right w:val="none" w:sz="0" w:space="0" w:color="auto"/>
      </w:divBdr>
    </w:div>
    <w:div w:id="1989943636">
      <w:bodyDiv w:val="1"/>
      <w:marLeft w:val="0"/>
      <w:marRight w:val="0"/>
      <w:marTop w:val="0"/>
      <w:marBottom w:val="0"/>
      <w:divBdr>
        <w:top w:val="none" w:sz="0" w:space="0" w:color="auto"/>
        <w:left w:val="none" w:sz="0" w:space="0" w:color="auto"/>
        <w:bottom w:val="none" w:sz="0" w:space="0" w:color="auto"/>
        <w:right w:val="none" w:sz="0" w:space="0" w:color="auto"/>
      </w:divBdr>
      <w:divsChild>
        <w:div w:id="132488932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saints.wales/saints-in-modern-times/" TargetMode="External"/><Relationship Id="rId4" Type="http://schemas.openxmlformats.org/officeDocument/2006/relationships/webSettings" Target="webSettings.xml"/><Relationship Id="rId9" Type="http://schemas.openxmlformats.org/officeDocument/2006/relationships/hyperlink" Target="https://www.flickr.com/photos/nigel321/9377178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12</Pages>
  <Words>4696</Words>
  <Characters>26769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6</cp:revision>
  <dcterms:created xsi:type="dcterms:W3CDTF">2024-12-19T12:48:00Z</dcterms:created>
  <dcterms:modified xsi:type="dcterms:W3CDTF">2024-12-19T16:53:00Z</dcterms:modified>
</cp:coreProperties>
</file>