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Default="007E36E2">
      <w:pPr>
        <w:widowControl w:val="0"/>
        <w:autoSpaceDE w:val="0"/>
        <w:autoSpaceDN w:val="0"/>
        <w:adjustRightInd w:val="0"/>
        <w:rPr>
          <w:rFonts w:ascii="Calibri" w:hAnsi="Calibri" w:cs="Calibri"/>
          <w:u w:val="single"/>
        </w:rPr>
      </w:pPr>
      <w:r>
        <w:rPr>
          <w:rFonts w:ascii="Calibri" w:hAnsi="Calibri" w:cs="Calibri"/>
          <w:b/>
          <w:bCs/>
          <w:u w:val="single"/>
        </w:rPr>
        <w:t>How do we remember? Using at least three examples, discuss the social, political and historical aspects of commemoration</w:t>
      </w:r>
    </w:p>
    <w:p w:rsidR="00000000" w:rsidRDefault="007E36E2">
      <w:pPr>
        <w:widowControl w:val="0"/>
        <w:autoSpaceDE w:val="0"/>
        <w:autoSpaceDN w:val="0"/>
        <w:adjustRightInd w:val="0"/>
        <w:rPr>
          <w:rFonts w:ascii="Calibri" w:hAnsi="Calibri" w:cs="Calibri"/>
          <w:b/>
          <w:bCs/>
        </w:rPr>
      </w:pPr>
      <w:r>
        <w:rPr>
          <w:rFonts w:ascii="Calibri" w:hAnsi="Calibri" w:cs="Calibri"/>
          <w:b/>
          <w:bCs/>
        </w:rPr>
        <w:t xml:space="preserve">Gabriella Senyk </w:t>
      </w:r>
    </w:p>
    <w:p w:rsidR="00000000" w:rsidRDefault="007E36E2">
      <w:pPr>
        <w:widowControl w:val="0"/>
        <w:autoSpaceDE w:val="0"/>
        <w:autoSpaceDN w:val="0"/>
        <w:adjustRightInd w:val="0"/>
        <w:rPr>
          <w:rFonts w:ascii="Calibri" w:hAnsi="Calibri" w:cs="Calibri"/>
          <w:b/>
          <w:bCs/>
        </w:rPr>
      </w:pPr>
      <w:r>
        <w:rPr>
          <w:rFonts w:ascii="Calibri" w:hAnsi="Calibri" w:cs="Calibri"/>
          <w:b/>
          <w:bCs/>
        </w:rPr>
        <w:t>P150085</w:t>
      </w:r>
    </w:p>
    <w:p w:rsidR="00000000" w:rsidRDefault="007E36E2">
      <w:pPr>
        <w:widowControl w:val="0"/>
        <w:autoSpaceDE w:val="0"/>
        <w:autoSpaceDN w:val="0"/>
        <w:adjustRightInd w:val="0"/>
        <w:jc w:val="right"/>
        <w:rPr>
          <w:rFonts w:ascii="Calibri" w:hAnsi="Calibri" w:cs="Calibri"/>
          <w:b/>
          <w:bCs/>
        </w:rPr>
      </w:pPr>
      <w:r>
        <w:rPr>
          <w:rFonts w:ascii="Calibri" w:hAnsi="Calibri" w:cs="Calibri"/>
          <w:b/>
          <w:bCs/>
        </w:rPr>
        <w:t>BA Graphic Design</w:t>
      </w:r>
    </w:p>
    <w:p w:rsidR="00000000" w:rsidRDefault="007E36E2">
      <w:pPr>
        <w:widowControl w:val="0"/>
        <w:autoSpaceDE w:val="0"/>
        <w:autoSpaceDN w:val="0"/>
        <w:adjustRightInd w:val="0"/>
        <w:jc w:val="right"/>
        <w:rPr>
          <w:rFonts w:ascii="Calibri" w:hAnsi="Calibri" w:cs="Calibri"/>
          <w:b/>
          <w:bCs/>
        </w:rPr>
      </w:pPr>
      <w:r>
        <w:rPr>
          <w:rFonts w:ascii="Calibri" w:hAnsi="Calibri" w:cs="Calibri"/>
          <w:b/>
          <w:bCs/>
        </w:rPr>
        <w:t xml:space="preserve">Tutor: Louise </w:t>
      </w:r>
      <w:proofErr w:type="spellStart"/>
      <w:r>
        <w:rPr>
          <w:rFonts w:ascii="Calibri" w:hAnsi="Calibri" w:cs="Calibri"/>
          <w:b/>
          <w:bCs/>
        </w:rPr>
        <w:t>Burston</w:t>
      </w:r>
      <w:proofErr w:type="spellEnd"/>
    </w:p>
    <w:p w:rsidR="007E36E2" w:rsidRDefault="007E36E2">
      <w:pPr>
        <w:widowControl w:val="0"/>
        <w:autoSpaceDE w:val="0"/>
        <w:autoSpaceDN w:val="0"/>
        <w:adjustRightInd w:val="0"/>
        <w:jc w:val="right"/>
        <w:rPr>
          <w:rFonts w:ascii="Calibri" w:hAnsi="Calibri" w:cs="Calibri"/>
        </w:rPr>
      </w:pPr>
      <w:r>
        <w:rPr>
          <w:rFonts w:ascii="Calibri" w:hAnsi="Calibri" w:cs="Calibri"/>
          <w:b/>
          <w:bCs/>
        </w:rPr>
        <w:t>Word count: 2072</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t>Traditionally we create memorials in the form of something solid and tangible, something we can touch like a statue. However, we all remember in our own ways, and how we remember something isn't just limited to a chunk of metal that's cast out to be a gran</w:t>
      </w:r>
      <w:r w:rsidRPr="007E36E2">
        <w:rPr>
          <w:rFonts w:ascii="Calibri" w:hAnsi="Calibri" w:cs="Calibri"/>
          <w:sz w:val="20"/>
        </w:rPr>
        <w:t xml:space="preserve">d display of power. In this essay I am going to be discussing how the </w:t>
      </w:r>
      <w:proofErr w:type="gramStart"/>
      <w:r w:rsidRPr="007E36E2">
        <w:rPr>
          <w:rFonts w:ascii="Calibri" w:hAnsi="Calibri" w:cs="Calibri"/>
          <w:sz w:val="20"/>
        </w:rPr>
        <w:t>pre-Raphaelites</w:t>
      </w:r>
      <w:proofErr w:type="gramEnd"/>
      <w:r w:rsidRPr="007E36E2">
        <w:rPr>
          <w:rFonts w:ascii="Calibri" w:hAnsi="Calibri" w:cs="Calibri"/>
          <w:sz w:val="20"/>
        </w:rPr>
        <w:t xml:space="preserve"> explore and convey the theme of commemoration. With paintings and painters alike, it's all about creating something that pays tribute to the original subject. Particularl</w:t>
      </w:r>
      <w:r w:rsidRPr="007E36E2">
        <w:rPr>
          <w:rFonts w:ascii="Calibri" w:hAnsi="Calibri" w:cs="Calibri"/>
          <w:sz w:val="20"/>
        </w:rPr>
        <w:t xml:space="preserve">y with death, this is shown in many of their paintings through symbolism, as well as opens a discussion on </w:t>
      </w:r>
      <w:proofErr w:type="gramStart"/>
      <w:r w:rsidRPr="007E36E2">
        <w:rPr>
          <w:rFonts w:ascii="Calibri" w:hAnsi="Calibri" w:cs="Calibri"/>
          <w:sz w:val="20"/>
        </w:rPr>
        <w:t>how</w:t>
      </w:r>
      <w:proofErr w:type="gramEnd"/>
      <w:r w:rsidRPr="007E36E2">
        <w:rPr>
          <w:rFonts w:ascii="Calibri" w:hAnsi="Calibri" w:cs="Calibri"/>
          <w:sz w:val="20"/>
        </w:rPr>
        <w:t xml:space="preserve"> they commemorated certain aspects of their lives through their works; along with their beliefs particularly with themes such as religion, relatio</w:t>
      </w:r>
      <w:r w:rsidRPr="007E36E2">
        <w:rPr>
          <w:rFonts w:ascii="Calibri" w:hAnsi="Calibri" w:cs="Calibri"/>
          <w:sz w:val="20"/>
        </w:rPr>
        <w:t xml:space="preserve">nships and death affect these pieces. </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t xml:space="preserve">The </w:t>
      </w:r>
      <w:proofErr w:type="gramStart"/>
      <w:r w:rsidRPr="007E36E2">
        <w:rPr>
          <w:rFonts w:ascii="Calibri" w:hAnsi="Calibri" w:cs="Calibri"/>
          <w:sz w:val="20"/>
        </w:rPr>
        <w:t>pre-Raphaelites</w:t>
      </w:r>
      <w:proofErr w:type="gramEnd"/>
      <w:r w:rsidRPr="007E36E2">
        <w:rPr>
          <w:rFonts w:ascii="Calibri" w:hAnsi="Calibri" w:cs="Calibri"/>
          <w:sz w:val="20"/>
        </w:rPr>
        <w:t xml:space="preserve"> were a group of artists that were shock and controversy seekers at times (Smith, 2017). Their painting style is quite </w:t>
      </w:r>
      <w:r w:rsidRPr="007E36E2">
        <w:rPr>
          <w:rFonts w:ascii="Calibri" w:hAnsi="Calibri" w:cs="Calibri"/>
          <w:sz w:val="20"/>
        </w:rPr>
        <w:lastRenderedPageBreak/>
        <w:t>strange as everything in the piece is in focus and to the highest degree of det</w:t>
      </w:r>
      <w:r w:rsidRPr="007E36E2">
        <w:rPr>
          <w:rFonts w:ascii="Calibri" w:hAnsi="Calibri" w:cs="Calibri"/>
          <w:sz w:val="20"/>
        </w:rPr>
        <w:t xml:space="preserve">ail much like late medieval artwork. The name 'pre-Raphaelites' even suggests their distaste towards the current painting fads and how they preferred early renaissance artwork, hence the name 'before Raphael' (Tate 2017a). The group was originally made up </w:t>
      </w:r>
      <w:r w:rsidRPr="007E36E2">
        <w:rPr>
          <w:rFonts w:ascii="Calibri" w:hAnsi="Calibri" w:cs="Calibri"/>
          <w:sz w:val="20"/>
        </w:rPr>
        <w:t>of three artists, Dante Gabriel Rossetti who was a poet (much like his father) and a painter; along with William Holman Hunt who was a painter that focussed very heavily on minute details in his work. And finally, John Everett Millais, who was also a skill</w:t>
      </w:r>
      <w:r w:rsidRPr="007E36E2">
        <w:rPr>
          <w:rFonts w:ascii="Calibri" w:hAnsi="Calibri" w:cs="Calibri"/>
          <w:sz w:val="20"/>
        </w:rPr>
        <w:t xml:space="preserve">ed painter and illustrator (Roe, 2017).  </w:t>
      </w:r>
    </w:p>
    <w:p w:rsidR="00000000" w:rsidRPr="007E36E2" w:rsidRDefault="007E36E2" w:rsidP="007E36E2">
      <w:pPr>
        <w:widowControl w:val="0"/>
        <w:autoSpaceDE w:val="0"/>
        <w:autoSpaceDN w:val="0"/>
        <w:adjustRightInd w:val="0"/>
        <w:spacing w:line="240" w:lineRule="auto"/>
        <w:jc w:val="center"/>
        <w:rPr>
          <w:rFonts w:ascii="Calibri" w:hAnsi="Calibri" w:cs="Calibri"/>
          <w:sz w:val="20"/>
        </w:rPr>
      </w:pPr>
      <w:r w:rsidRPr="007E36E2">
        <w:rPr>
          <w:rFonts w:ascii="Calibri" w:hAnsi="Calibri" w:cs="Calibri"/>
          <w:noProof/>
          <w:sz w:val="20"/>
        </w:rPr>
        <w:drawing>
          <wp:inline distT="0" distB="0" distL="0" distR="0">
            <wp:extent cx="4565307" cy="2758206"/>
            <wp:effectExtent l="19050" t="0" r="669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srcRect/>
                    <a:stretch>
                      <a:fillRect/>
                    </a:stretch>
                  </pic:blipFill>
                  <pic:spPr bwMode="auto">
                    <a:xfrm>
                      <a:off x="0" y="0"/>
                      <a:ext cx="4569565" cy="2760779"/>
                    </a:xfrm>
                    <a:prstGeom prst="rect">
                      <a:avLst/>
                    </a:prstGeom>
                    <a:noFill/>
                    <a:ln w="9525">
                      <a:noFill/>
                      <a:miter lim="800000"/>
                      <a:headEnd/>
                      <a:tailEnd/>
                    </a:ln>
                  </pic:spPr>
                </pic:pic>
              </a:graphicData>
            </a:graphic>
          </wp:inline>
        </w:drawing>
      </w:r>
    </w:p>
    <w:p w:rsidR="00000000" w:rsidRPr="007E36E2" w:rsidRDefault="007E36E2">
      <w:pPr>
        <w:widowControl w:val="0"/>
        <w:autoSpaceDE w:val="0"/>
        <w:autoSpaceDN w:val="0"/>
        <w:adjustRightInd w:val="0"/>
        <w:jc w:val="center"/>
        <w:rPr>
          <w:rFonts w:ascii="Calibri" w:hAnsi="Calibri" w:cs="Calibri"/>
          <w:color w:val="A5A5A5"/>
          <w:sz w:val="20"/>
        </w:rPr>
      </w:pPr>
      <w:proofErr w:type="gramStart"/>
      <w:r w:rsidRPr="007E36E2">
        <w:rPr>
          <w:rFonts w:ascii="Calibri" w:hAnsi="Calibri" w:cs="Calibri"/>
          <w:color w:val="A5A5A5"/>
          <w:sz w:val="20"/>
        </w:rPr>
        <w:t>(Everett Millais, 1849–50).</w:t>
      </w:r>
      <w:proofErr w:type="gramEnd"/>
      <w:r w:rsidRPr="007E36E2">
        <w:rPr>
          <w:rFonts w:ascii="Calibri" w:hAnsi="Calibri" w:cs="Calibri"/>
          <w:color w:val="A5A5A5"/>
          <w:sz w:val="20"/>
        </w:rPr>
        <w:t xml:space="preserve"> </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lastRenderedPageBreak/>
        <w:t>Their style of work was always to aim to create highly realistic renditions of subjects, their paintings never tried to be grand. For example, with t</w:t>
      </w:r>
      <w:r w:rsidRPr="007E36E2">
        <w:rPr>
          <w:rFonts w:ascii="Calibri" w:hAnsi="Calibri" w:cs="Calibri"/>
          <w:sz w:val="20"/>
        </w:rPr>
        <w:t xml:space="preserve">he piece 'Christ in the House of His Parents' by Millais it depicts Jesus in a carpentry workshop along with his family, this piece was considered shocking at the time because of how honest it was and how 'true to life' as to what Christ's life would have </w:t>
      </w:r>
      <w:r w:rsidRPr="007E36E2">
        <w:rPr>
          <w:rFonts w:ascii="Calibri" w:hAnsi="Calibri" w:cs="Calibri"/>
          <w:sz w:val="20"/>
        </w:rPr>
        <w:t>been like in the real world (Tate 2017b). Society at the time were used to these grand depictions of these biblical situations where saints and biblical figures would normally be surrounded in gold and appear 'godly' with this overwhelming feeling of super</w:t>
      </w:r>
      <w:r w:rsidRPr="007E36E2">
        <w:rPr>
          <w:rFonts w:ascii="Calibri" w:hAnsi="Calibri" w:cs="Calibri"/>
          <w:sz w:val="20"/>
        </w:rPr>
        <w:t xml:space="preserve">iority that this painting just doesn't give you, here they appear as very humble and modest people. </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t>As mentioned previously, the movement came to be from the group's rejection of the prominent way of painting at the time. This would commonly include depic</w:t>
      </w:r>
      <w:r w:rsidRPr="007E36E2">
        <w:rPr>
          <w:rFonts w:ascii="Calibri" w:hAnsi="Calibri" w:cs="Calibri"/>
          <w:sz w:val="20"/>
        </w:rPr>
        <w:t xml:space="preserve">tions of scenes of everyday life that the group thought were too frivolous and unimportant. They wanted their work to depict more than just a screenshot of </w:t>
      </w:r>
      <w:proofErr w:type="gramStart"/>
      <w:r w:rsidRPr="007E36E2">
        <w:rPr>
          <w:rFonts w:ascii="Calibri" w:hAnsi="Calibri" w:cs="Calibri"/>
          <w:sz w:val="20"/>
        </w:rPr>
        <w:t>life,</w:t>
      </w:r>
      <w:proofErr w:type="gramEnd"/>
      <w:r w:rsidRPr="007E36E2">
        <w:rPr>
          <w:rFonts w:ascii="Calibri" w:hAnsi="Calibri" w:cs="Calibri"/>
          <w:sz w:val="20"/>
        </w:rPr>
        <w:t xml:space="preserve"> they aimed to create a narrative. They felt a great sense of nostalgia and looked to the past </w:t>
      </w:r>
      <w:r w:rsidRPr="007E36E2">
        <w:rPr>
          <w:rFonts w:ascii="Calibri" w:hAnsi="Calibri" w:cs="Calibri"/>
          <w:sz w:val="20"/>
        </w:rPr>
        <w:t>for inspiration in their painting, therefore endeavouring to alter the path that they saw art taking (</w:t>
      </w:r>
      <w:proofErr w:type="spellStart"/>
      <w:r w:rsidRPr="007E36E2">
        <w:rPr>
          <w:rFonts w:ascii="Calibri" w:hAnsi="Calibri" w:cs="Calibri"/>
          <w:sz w:val="20"/>
        </w:rPr>
        <w:t>Easby</w:t>
      </w:r>
      <w:proofErr w:type="spellEnd"/>
      <w:r w:rsidRPr="007E36E2">
        <w:rPr>
          <w:rFonts w:ascii="Calibri" w:hAnsi="Calibri" w:cs="Calibri"/>
          <w:sz w:val="20"/>
        </w:rPr>
        <w:t>, 2012). Due to their aim of achieving a sense of depth in their work, they attempted to weave symbolic imagery into their pieces, particularly throu</w:t>
      </w:r>
      <w:r w:rsidRPr="007E36E2">
        <w:rPr>
          <w:rFonts w:ascii="Calibri" w:hAnsi="Calibri" w:cs="Calibri"/>
          <w:sz w:val="20"/>
        </w:rPr>
        <w:t xml:space="preserve">gh their use of flowers. </w:t>
      </w:r>
    </w:p>
    <w:p w:rsidR="00000000" w:rsidRPr="007E36E2" w:rsidRDefault="007E36E2">
      <w:pPr>
        <w:widowControl w:val="0"/>
        <w:autoSpaceDE w:val="0"/>
        <w:autoSpaceDN w:val="0"/>
        <w:adjustRightInd w:val="0"/>
        <w:spacing w:line="240" w:lineRule="auto"/>
        <w:jc w:val="center"/>
        <w:rPr>
          <w:rFonts w:ascii="Calibri" w:hAnsi="Calibri" w:cs="Calibri"/>
          <w:sz w:val="20"/>
        </w:rPr>
      </w:pPr>
      <w:r w:rsidRPr="007E36E2">
        <w:rPr>
          <w:rFonts w:ascii="Calibri" w:hAnsi="Calibri" w:cs="Calibri"/>
          <w:noProof/>
          <w:sz w:val="20"/>
        </w:rPr>
        <w:lastRenderedPageBreak/>
        <w:drawing>
          <wp:inline distT="0" distB="0" distL="0" distR="0">
            <wp:extent cx="2487295" cy="3418205"/>
            <wp:effectExtent l="1905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2487295" cy="3418205"/>
                    </a:xfrm>
                    <a:prstGeom prst="rect">
                      <a:avLst/>
                    </a:prstGeom>
                    <a:noFill/>
                    <a:ln w="9525">
                      <a:noFill/>
                      <a:miter lim="800000"/>
                      <a:headEnd/>
                      <a:tailEnd/>
                    </a:ln>
                  </pic:spPr>
                </pic:pic>
              </a:graphicData>
            </a:graphic>
          </wp:inline>
        </w:drawing>
      </w:r>
    </w:p>
    <w:p w:rsidR="00000000" w:rsidRPr="007E36E2" w:rsidRDefault="007E36E2">
      <w:pPr>
        <w:widowControl w:val="0"/>
        <w:autoSpaceDE w:val="0"/>
        <w:autoSpaceDN w:val="0"/>
        <w:adjustRightInd w:val="0"/>
        <w:jc w:val="center"/>
        <w:rPr>
          <w:rFonts w:ascii="Calibri" w:hAnsi="Calibri" w:cs="Calibri"/>
          <w:sz w:val="20"/>
        </w:rPr>
      </w:pPr>
      <w:r w:rsidRPr="007E36E2">
        <w:rPr>
          <w:rFonts w:ascii="Calibri" w:hAnsi="Calibri" w:cs="Calibri"/>
          <w:color w:val="A5A5A5"/>
          <w:sz w:val="20"/>
        </w:rPr>
        <w:t>(Gabriel Rossetti, 1864–70)</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t xml:space="preserve">Dante Gabriel Rossetti once used the poppy flower to symbolise the death brought unto his dead partner Elizabeth </w:t>
      </w:r>
      <w:proofErr w:type="spellStart"/>
      <w:r w:rsidRPr="007E36E2">
        <w:rPr>
          <w:rFonts w:ascii="Calibri" w:hAnsi="Calibri" w:cs="Calibri"/>
          <w:sz w:val="20"/>
        </w:rPr>
        <w:t>Siddal</w:t>
      </w:r>
      <w:proofErr w:type="spellEnd"/>
      <w:r w:rsidRPr="007E36E2">
        <w:rPr>
          <w:rFonts w:ascii="Calibri" w:hAnsi="Calibri" w:cs="Calibri"/>
          <w:sz w:val="20"/>
        </w:rPr>
        <w:t>. Her suicide was brought about from an overdos</w:t>
      </w:r>
      <w:r w:rsidRPr="007E36E2">
        <w:rPr>
          <w:rFonts w:ascii="Calibri" w:hAnsi="Calibri" w:cs="Calibri"/>
          <w:sz w:val="20"/>
        </w:rPr>
        <w:t xml:space="preserve">e of Laudanum, which was derived from seeds from </w:t>
      </w:r>
      <w:r w:rsidRPr="007E36E2">
        <w:rPr>
          <w:rFonts w:ascii="Calibri" w:hAnsi="Calibri" w:cs="Calibri"/>
          <w:sz w:val="20"/>
        </w:rPr>
        <w:lastRenderedPageBreak/>
        <w:t>poppies which adds more weight to the symbolism of the poppy in this piece (</w:t>
      </w:r>
      <w:proofErr w:type="spellStart"/>
      <w:r w:rsidRPr="007E36E2">
        <w:rPr>
          <w:rFonts w:ascii="Calibri" w:hAnsi="Calibri" w:cs="Calibri"/>
          <w:sz w:val="20"/>
        </w:rPr>
        <w:t>Pina</w:t>
      </w:r>
      <w:proofErr w:type="spellEnd"/>
      <w:r w:rsidRPr="007E36E2">
        <w:rPr>
          <w:rFonts w:ascii="Calibri" w:hAnsi="Calibri" w:cs="Calibri"/>
          <w:sz w:val="20"/>
        </w:rPr>
        <w:t>, 2017). In the current day, the poppy's symbolism became so synonymous with death and remembrance from the poem "In Flanders F</w:t>
      </w:r>
      <w:r w:rsidRPr="007E36E2">
        <w:rPr>
          <w:rFonts w:ascii="Calibri" w:hAnsi="Calibri" w:cs="Calibri"/>
          <w:sz w:val="20"/>
        </w:rPr>
        <w:t>ields", it was a poem written during the time of the first world war by a man named John McCrae, in the poem he uses the imagery of poppies as they are one of the few plants that would grow on the soil in Flanders because of the high amount of lime compone</w:t>
      </w:r>
      <w:r w:rsidRPr="007E36E2">
        <w:rPr>
          <w:rFonts w:ascii="Calibri" w:hAnsi="Calibri" w:cs="Calibri"/>
          <w:sz w:val="20"/>
        </w:rPr>
        <w:t>nts in the dirt from battle, particularly in this excerpt from the poem "We shall not sleep, though poppies grow In Flanders fields" (</w:t>
      </w:r>
      <w:proofErr w:type="spellStart"/>
      <w:r w:rsidRPr="007E36E2">
        <w:rPr>
          <w:rFonts w:ascii="Calibri" w:hAnsi="Calibri" w:cs="Calibri"/>
          <w:sz w:val="20"/>
        </w:rPr>
        <w:t>Mccrae</w:t>
      </w:r>
      <w:proofErr w:type="spellEnd"/>
      <w:r w:rsidRPr="007E36E2">
        <w:rPr>
          <w:rFonts w:ascii="Calibri" w:hAnsi="Calibri" w:cs="Calibri"/>
          <w:sz w:val="20"/>
        </w:rPr>
        <w:t>, 1872-1918, p.17).</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t>The painting Dante created to commemorate her memory was named "</w:t>
      </w:r>
      <w:proofErr w:type="spellStart"/>
      <w:r w:rsidRPr="007E36E2">
        <w:rPr>
          <w:rFonts w:ascii="Calibri" w:hAnsi="Calibri" w:cs="Calibri"/>
          <w:sz w:val="20"/>
        </w:rPr>
        <w:t>Beata</w:t>
      </w:r>
      <w:proofErr w:type="spellEnd"/>
      <w:r w:rsidRPr="007E36E2">
        <w:rPr>
          <w:rFonts w:ascii="Calibri" w:hAnsi="Calibri" w:cs="Calibri"/>
          <w:sz w:val="20"/>
        </w:rPr>
        <w:t xml:space="preserve"> Beatrix"</w:t>
      </w:r>
      <w:proofErr w:type="gramStart"/>
      <w:r w:rsidRPr="007E36E2">
        <w:rPr>
          <w:rFonts w:ascii="Calibri" w:hAnsi="Calibri" w:cs="Calibri"/>
          <w:sz w:val="20"/>
        </w:rPr>
        <w:t>,</w:t>
      </w:r>
      <w:proofErr w:type="gramEnd"/>
      <w:r w:rsidRPr="007E36E2">
        <w:rPr>
          <w:rFonts w:ascii="Calibri" w:hAnsi="Calibri" w:cs="Calibri"/>
          <w:sz w:val="20"/>
        </w:rPr>
        <w:t xml:space="preserve"> it depicts his l</w:t>
      </w:r>
      <w:r w:rsidRPr="007E36E2">
        <w:rPr>
          <w:rFonts w:ascii="Calibri" w:hAnsi="Calibri" w:cs="Calibri"/>
          <w:sz w:val="20"/>
        </w:rPr>
        <w:t>ate wife sitting with her hands resting in her lap, with a dove giving her a white poppy. The significance of the colour of the poppy could mean that he wishes her peace wherever she may be now. It was not unusual for artists at the time to depict death in</w:t>
      </w:r>
      <w:r w:rsidRPr="007E36E2">
        <w:rPr>
          <w:rFonts w:ascii="Calibri" w:hAnsi="Calibri" w:cs="Calibri"/>
          <w:sz w:val="20"/>
        </w:rPr>
        <w:t xml:space="preserve"> their paintings, as at the time they were very engrossed in the subject (</w:t>
      </w:r>
      <w:proofErr w:type="spellStart"/>
      <w:r w:rsidRPr="007E36E2">
        <w:rPr>
          <w:rFonts w:ascii="Calibri" w:hAnsi="Calibri" w:cs="Calibri"/>
          <w:sz w:val="20"/>
        </w:rPr>
        <w:t>Pina</w:t>
      </w:r>
      <w:proofErr w:type="spellEnd"/>
      <w:r w:rsidRPr="007E36E2">
        <w:rPr>
          <w:rFonts w:ascii="Calibri" w:hAnsi="Calibri" w:cs="Calibri"/>
          <w:sz w:val="20"/>
        </w:rPr>
        <w:t>, 2017), and even more so once the Queen's husband died and his death was published everywhere in the news, because Queen Victoria was so overcome with grief and loss of Prince A</w:t>
      </w:r>
      <w:r w:rsidRPr="007E36E2">
        <w:rPr>
          <w:rFonts w:ascii="Calibri" w:hAnsi="Calibri" w:cs="Calibri"/>
          <w:sz w:val="20"/>
        </w:rPr>
        <w:t>lbert, as well as death being an everyday occurrence for common folk from casualties in workhouses and other labour intensive areas of expertise. It was as if they all romanticized death and the subject of dying, they put massive emphasis on the dying part</w:t>
      </w:r>
      <w:r w:rsidRPr="007E36E2">
        <w:rPr>
          <w:rFonts w:ascii="Calibri" w:hAnsi="Calibri" w:cs="Calibri"/>
          <w:sz w:val="20"/>
        </w:rPr>
        <w:t xml:space="preserve">y's last words before they passed on to the next (Hunter, 2000). The deathbed became this very dramatic and elaborate ritual where the ideal image was the entire family would be gathered around a bed listening in carefully on the last hopes of their loved </w:t>
      </w:r>
      <w:r w:rsidRPr="007E36E2">
        <w:rPr>
          <w:rFonts w:ascii="Calibri" w:hAnsi="Calibri" w:cs="Calibri"/>
          <w:sz w:val="20"/>
        </w:rPr>
        <w:t>one, as they were highly religious at the time they expected some grand last-minute revelation about life and it's meanings, the use of medication was frowned upon to encourage these raving mad speeches to end their climactic life much like something you w</w:t>
      </w:r>
      <w:r w:rsidRPr="007E36E2">
        <w:rPr>
          <w:rFonts w:ascii="Calibri" w:hAnsi="Calibri" w:cs="Calibri"/>
          <w:sz w:val="20"/>
        </w:rPr>
        <w:t>ould expect to see in a drama or play. They really valued last words, because they wanted something to truly remember them by, in the deceased's own words so their legacy can carry on. The Victorians also had lots of different ways of mourning and had thes</w:t>
      </w:r>
      <w:r w:rsidRPr="007E36E2">
        <w:rPr>
          <w:rFonts w:ascii="Calibri" w:hAnsi="Calibri" w:cs="Calibri"/>
          <w:sz w:val="20"/>
        </w:rPr>
        <w:t>e set rules to follow such as dressing up in mourning attire, which consisted of all black clothing; the mourning process would last for as long as needed, it really depended on how long they knew the deceased for (Hunter, 2000). Because of this I think th</w:t>
      </w:r>
      <w:r w:rsidRPr="007E36E2">
        <w:rPr>
          <w:rFonts w:ascii="Calibri" w:hAnsi="Calibri" w:cs="Calibri"/>
          <w:sz w:val="20"/>
        </w:rPr>
        <w:t>at Dante painted Elizabeth in order to help himself immortalise her spirit and capture who she was, much like family gathering around their loved ones awaiting their final statement. I also believe that Dante used this painting to help him mourn over the d</w:t>
      </w:r>
      <w:r w:rsidRPr="007E36E2">
        <w:rPr>
          <w:rFonts w:ascii="Calibri" w:hAnsi="Calibri" w:cs="Calibri"/>
          <w:sz w:val="20"/>
        </w:rPr>
        <w:t xml:space="preserve">eath of Elizabeth. </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t xml:space="preserve">  </w:t>
      </w:r>
      <w:r w:rsidRPr="007E36E2">
        <w:rPr>
          <w:rFonts w:ascii="Calibri" w:hAnsi="Calibri" w:cs="Calibri"/>
          <w:noProof/>
          <w:sz w:val="20"/>
        </w:rPr>
        <w:drawing>
          <wp:inline distT="0" distB="0" distL="0" distR="0">
            <wp:extent cx="5486400" cy="30861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srcRect/>
                    <a:stretch>
                      <a:fillRect/>
                    </a:stretch>
                  </pic:blipFill>
                  <pic:spPr bwMode="auto">
                    <a:xfrm>
                      <a:off x="0" y="0"/>
                      <a:ext cx="5486400" cy="3086100"/>
                    </a:xfrm>
                    <a:prstGeom prst="rect">
                      <a:avLst/>
                    </a:prstGeom>
                    <a:noFill/>
                    <a:ln w="9525">
                      <a:noFill/>
                      <a:miter lim="800000"/>
                      <a:headEnd/>
                      <a:tailEnd/>
                    </a:ln>
                  </pic:spPr>
                </pic:pic>
              </a:graphicData>
            </a:graphic>
          </wp:inline>
        </w:drawing>
      </w:r>
    </w:p>
    <w:p w:rsidR="00000000" w:rsidRPr="007E36E2" w:rsidRDefault="007E36E2">
      <w:pPr>
        <w:widowControl w:val="0"/>
        <w:autoSpaceDE w:val="0"/>
        <w:autoSpaceDN w:val="0"/>
        <w:adjustRightInd w:val="0"/>
        <w:jc w:val="center"/>
        <w:rPr>
          <w:rFonts w:ascii="Calibri" w:hAnsi="Calibri" w:cs="Calibri"/>
          <w:sz w:val="20"/>
        </w:rPr>
      </w:pPr>
      <w:r w:rsidRPr="007E36E2">
        <w:rPr>
          <w:rFonts w:ascii="Calibri" w:hAnsi="Calibri" w:cs="Calibri"/>
          <w:color w:val="A5A5A5"/>
          <w:sz w:val="20"/>
        </w:rPr>
        <w:t>(Everett Millais, 1851–2)</w:t>
      </w:r>
    </w:p>
    <w:p w:rsidR="00000000" w:rsidRPr="007E36E2" w:rsidRDefault="007E36E2">
      <w:pPr>
        <w:widowControl w:val="0"/>
        <w:autoSpaceDE w:val="0"/>
        <w:autoSpaceDN w:val="0"/>
        <w:adjustRightInd w:val="0"/>
        <w:spacing w:line="240" w:lineRule="auto"/>
        <w:rPr>
          <w:rFonts w:ascii="Calibri" w:hAnsi="Calibri" w:cs="Calibri"/>
          <w:sz w:val="20"/>
        </w:rPr>
      </w:pPr>
      <w:r w:rsidRPr="007E36E2">
        <w:rPr>
          <w:rFonts w:ascii="Calibri" w:hAnsi="Calibri" w:cs="Calibri"/>
          <w:sz w:val="20"/>
        </w:rPr>
        <w:t xml:space="preserve">Elizabeth </w:t>
      </w:r>
      <w:proofErr w:type="spellStart"/>
      <w:r w:rsidRPr="007E36E2">
        <w:rPr>
          <w:rFonts w:ascii="Calibri" w:hAnsi="Calibri" w:cs="Calibri"/>
          <w:sz w:val="20"/>
        </w:rPr>
        <w:t>Siddal</w:t>
      </w:r>
      <w:proofErr w:type="spellEnd"/>
      <w:r w:rsidRPr="007E36E2">
        <w:rPr>
          <w:rFonts w:ascii="Calibri" w:hAnsi="Calibri" w:cs="Calibri"/>
          <w:sz w:val="20"/>
        </w:rPr>
        <w:t xml:space="preserve"> often modelled for pre-Raphaelite painters' work, including a piece named 'Ophelia' by the co-founder of the movement, Millais (Andres, 2005).  In the pain</w:t>
      </w:r>
      <w:r w:rsidRPr="007E36E2">
        <w:rPr>
          <w:rFonts w:ascii="Calibri" w:hAnsi="Calibri" w:cs="Calibri"/>
          <w:sz w:val="20"/>
        </w:rPr>
        <w:t>ting it depicts the famous character from one of Shakespeare's classic's Hamlet, named Ophelia. Ophelia's pose in this piece is very reminiscent of paintings of holy saints in which their arms are open and relaxed.  The flowers in this painting are very re</w:t>
      </w:r>
      <w:r w:rsidRPr="007E36E2">
        <w:rPr>
          <w:rFonts w:ascii="Calibri" w:hAnsi="Calibri" w:cs="Calibri"/>
          <w:sz w:val="20"/>
        </w:rPr>
        <w:t xml:space="preserve">flective of the story that the play is trying to tell, for example Ophelia is painted with poppies, which as mentioned previously represents death and remembrance. In this piece the symbolism of the poppy talks about her death in </w:t>
      </w:r>
      <w:proofErr w:type="gramStart"/>
      <w:r w:rsidRPr="007E36E2">
        <w:rPr>
          <w:rFonts w:ascii="Calibri" w:hAnsi="Calibri" w:cs="Calibri"/>
          <w:sz w:val="20"/>
        </w:rPr>
        <w:t>play, that</w:t>
      </w:r>
      <w:proofErr w:type="gramEnd"/>
      <w:r w:rsidRPr="007E36E2">
        <w:rPr>
          <w:rFonts w:ascii="Calibri" w:hAnsi="Calibri" w:cs="Calibri"/>
          <w:sz w:val="20"/>
        </w:rPr>
        <w:t xml:space="preserve"> was caused by h</w:t>
      </w:r>
      <w:r w:rsidRPr="007E36E2">
        <w:rPr>
          <w:rFonts w:ascii="Calibri" w:hAnsi="Calibri" w:cs="Calibri"/>
          <w:sz w:val="20"/>
        </w:rPr>
        <w:t xml:space="preserve">er supposedly climbing a tree, then falling from a height into a stream after a branch broke causing her to drown; thus leaving her body floating in the stream (Tate, 2017c). In order to create this painting Elizabeth </w:t>
      </w:r>
      <w:proofErr w:type="spellStart"/>
      <w:r w:rsidRPr="007E36E2">
        <w:rPr>
          <w:rFonts w:ascii="Calibri" w:hAnsi="Calibri" w:cs="Calibri"/>
          <w:sz w:val="20"/>
        </w:rPr>
        <w:t>Siddal</w:t>
      </w:r>
      <w:proofErr w:type="spellEnd"/>
      <w:r w:rsidRPr="007E36E2">
        <w:rPr>
          <w:rFonts w:ascii="Calibri" w:hAnsi="Calibri" w:cs="Calibri"/>
          <w:sz w:val="20"/>
        </w:rPr>
        <w:t xml:space="preserve"> laid in a bath for reference pu</w:t>
      </w:r>
      <w:r w:rsidRPr="007E36E2">
        <w:rPr>
          <w:rFonts w:ascii="Calibri" w:hAnsi="Calibri" w:cs="Calibri"/>
          <w:sz w:val="20"/>
        </w:rPr>
        <w:t>rposes so that Millais could accurately depict this slightly morbid scene, sadly this relates back to the previous painting I mentioned as Elizabeth's dedication to the pre-Raphaelite era often caused her more harm than good, as she fell ill after laying i</w:t>
      </w:r>
      <w:r w:rsidRPr="007E36E2">
        <w:rPr>
          <w:rFonts w:ascii="Calibri" w:hAnsi="Calibri" w:cs="Calibri"/>
          <w:sz w:val="20"/>
        </w:rPr>
        <w:t xml:space="preserve">n the cold water for Milles in his studio. Her illness got so severe that her relatives threatened to pursue legal action against </w:t>
      </w:r>
      <w:proofErr w:type="spellStart"/>
      <w:r w:rsidRPr="007E36E2">
        <w:rPr>
          <w:rFonts w:ascii="Calibri" w:hAnsi="Calibri" w:cs="Calibri"/>
          <w:sz w:val="20"/>
        </w:rPr>
        <w:t>Millas</w:t>
      </w:r>
      <w:proofErr w:type="spellEnd"/>
      <w:r w:rsidRPr="007E36E2">
        <w:rPr>
          <w:rFonts w:ascii="Calibri" w:hAnsi="Calibri" w:cs="Calibri"/>
          <w:sz w:val="20"/>
        </w:rPr>
        <w:t>, even though Elizabeth herself never complained while posing for him (</w:t>
      </w:r>
      <w:proofErr w:type="spellStart"/>
      <w:r w:rsidRPr="007E36E2">
        <w:rPr>
          <w:rFonts w:ascii="Calibri" w:hAnsi="Calibri" w:cs="Calibri"/>
          <w:sz w:val="20"/>
        </w:rPr>
        <w:t>Pina</w:t>
      </w:r>
      <w:proofErr w:type="spellEnd"/>
      <w:r w:rsidRPr="007E36E2">
        <w:rPr>
          <w:rFonts w:ascii="Calibri" w:hAnsi="Calibri" w:cs="Calibri"/>
          <w:sz w:val="20"/>
        </w:rPr>
        <w:t>, 2013). When Millais originally painted this</w:t>
      </w:r>
      <w:r w:rsidRPr="007E36E2">
        <w:rPr>
          <w:rFonts w:ascii="Calibri" w:hAnsi="Calibri" w:cs="Calibri"/>
          <w:sz w:val="20"/>
        </w:rPr>
        <w:t xml:space="preserve"> piece, he used a rather backwards approach, as he went to the area he wanted to use for his painting as a reference and painted the background before the actual main subject (Ophelia). I think that one of the many reasons why this painting works so well w</w:t>
      </w:r>
      <w:r w:rsidRPr="007E36E2">
        <w:rPr>
          <w:rFonts w:ascii="Calibri" w:hAnsi="Calibri" w:cs="Calibri"/>
          <w:sz w:val="20"/>
        </w:rPr>
        <w:t>ith the symbolism is how he matched her pose that's seemingly peaceful and beautiful that contrasts highly with the dark ugly subject matter (Hamlet Dramaturgy, 2013). I think that the highly contrasted and saturated colours around her figure make this sce</w:t>
      </w:r>
      <w:r w:rsidRPr="007E36E2">
        <w:rPr>
          <w:rFonts w:ascii="Calibri" w:hAnsi="Calibri" w:cs="Calibri"/>
          <w:sz w:val="20"/>
        </w:rPr>
        <w:t xml:space="preserve">ne seem less sinister than it really is, which is due to the </w:t>
      </w:r>
      <w:proofErr w:type="gramStart"/>
      <w:r w:rsidRPr="007E36E2">
        <w:rPr>
          <w:rFonts w:ascii="Calibri" w:hAnsi="Calibri" w:cs="Calibri"/>
          <w:sz w:val="20"/>
        </w:rPr>
        <w:t>pre-Raphaelites</w:t>
      </w:r>
      <w:proofErr w:type="gramEnd"/>
      <w:r w:rsidRPr="007E36E2">
        <w:rPr>
          <w:rFonts w:ascii="Calibri" w:hAnsi="Calibri" w:cs="Calibri"/>
          <w:sz w:val="20"/>
        </w:rPr>
        <w:t xml:space="preserve"> habits to romanticise their pieces. I feel like this painting was a commemoration of how Shakespeare's work was influenced by how common death became (as well as obviously commemo</w:t>
      </w:r>
      <w:r w:rsidRPr="007E36E2">
        <w:rPr>
          <w:rFonts w:ascii="Calibri" w:hAnsi="Calibri" w:cs="Calibri"/>
          <w:sz w:val="20"/>
        </w:rPr>
        <w:t>rating the death of Ophelia) (</w:t>
      </w:r>
      <w:proofErr w:type="spellStart"/>
      <w:r w:rsidRPr="007E36E2">
        <w:rPr>
          <w:rFonts w:ascii="Calibri" w:hAnsi="Calibri" w:cs="Calibri"/>
          <w:sz w:val="20"/>
        </w:rPr>
        <w:t>Pina</w:t>
      </w:r>
      <w:proofErr w:type="spellEnd"/>
      <w:r w:rsidRPr="007E36E2">
        <w:rPr>
          <w:rFonts w:ascii="Calibri" w:hAnsi="Calibri" w:cs="Calibri"/>
          <w:sz w:val="20"/>
        </w:rPr>
        <w:t>, 2015). Their fascination with public displays with depictions of death spread to society in the form of entertainment by attending public executions. They became a public spectacle and many folk would gather around as if</w:t>
      </w:r>
      <w:r w:rsidRPr="007E36E2">
        <w:rPr>
          <w:rFonts w:ascii="Calibri" w:hAnsi="Calibri" w:cs="Calibri"/>
          <w:sz w:val="20"/>
        </w:rPr>
        <w:t xml:space="preserve"> it were a concert. People would even turn up the night previous in order to get a better spot to view the 'criminals' demise from.  </w:t>
      </w:r>
    </w:p>
    <w:p w:rsidR="00000000" w:rsidRPr="007E36E2" w:rsidRDefault="007E36E2">
      <w:pPr>
        <w:widowControl w:val="0"/>
        <w:autoSpaceDE w:val="0"/>
        <w:autoSpaceDN w:val="0"/>
        <w:adjustRightInd w:val="0"/>
        <w:spacing w:line="240" w:lineRule="auto"/>
        <w:jc w:val="center"/>
        <w:rPr>
          <w:rFonts w:ascii="Calibri" w:hAnsi="Calibri" w:cs="Calibri"/>
          <w:sz w:val="20"/>
        </w:rPr>
      </w:pPr>
      <w:r w:rsidRPr="007E36E2">
        <w:rPr>
          <w:rFonts w:ascii="Calibri" w:hAnsi="Calibri" w:cs="Calibri"/>
          <w:noProof/>
          <w:sz w:val="20"/>
        </w:rPr>
        <w:drawing>
          <wp:inline distT="0" distB="0" distL="0" distR="0">
            <wp:extent cx="3532505" cy="47244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3524250" cy="4724400"/>
                    </a:xfrm>
                    <a:prstGeom prst="rect">
                      <a:avLst/>
                    </a:prstGeom>
                    <a:noFill/>
                    <a:ln w="9525">
                      <a:noFill/>
                      <a:miter lim="800000"/>
                      <a:headEnd/>
                      <a:tailEnd/>
                    </a:ln>
                  </pic:spPr>
                </pic:pic>
              </a:graphicData>
            </a:graphic>
          </wp:inline>
        </w:drawing>
      </w:r>
    </w:p>
    <w:p w:rsidR="00000000" w:rsidRPr="007E36E2" w:rsidRDefault="007E36E2">
      <w:pPr>
        <w:widowControl w:val="0"/>
        <w:autoSpaceDE w:val="0"/>
        <w:autoSpaceDN w:val="0"/>
        <w:adjustRightInd w:val="0"/>
        <w:jc w:val="center"/>
        <w:rPr>
          <w:rFonts w:ascii="Calibri" w:hAnsi="Calibri" w:cs="Calibri"/>
          <w:color w:val="A5A5A5"/>
          <w:sz w:val="20"/>
        </w:rPr>
      </w:pPr>
      <w:r w:rsidRPr="007E36E2">
        <w:rPr>
          <w:rFonts w:ascii="Calibri" w:hAnsi="Calibri" w:cs="Calibri"/>
          <w:color w:val="A5A5A5"/>
          <w:sz w:val="20"/>
        </w:rPr>
        <w:t xml:space="preserve">(Cooper </w:t>
      </w:r>
      <w:proofErr w:type="spellStart"/>
      <w:r w:rsidRPr="007E36E2">
        <w:rPr>
          <w:rFonts w:ascii="Calibri" w:hAnsi="Calibri" w:cs="Calibri"/>
          <w:color w:val="A5A5A5"/>
          <w:sz w:val="20"/>
        </w:rPr>
        <w:t>Gotch</w:t>
      </w:r>
      <w:proofErr w:type="spellEnd"/>
      <w:r w:rsidRPr="007E36E2">
        <w:rPr>
          <w:rFonts w:ascii="Calibri" w:hAnsi="Calibri" w:cs="Calibri"/>
          <w:color w:val="A5A5A5"/>
          <w:sz w:val="20"/>
        </w:rPr>
        <w:t>, 1895)</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A man by the name of Thomas Cooper </w:t>
      </w:r>
      <w:proofErr w:type="spellStart"/>
      <w:r w:rsidRPr="007E36E2">
        <w:rPr>
          <w:rFonts w:ascii="Calibri" w:hAnsi="Calibri" w:cs="Calibri"/>
          <w:sz w:val="20"/>
        </w:rPr>
        <w:t>Gotch</w:t>
      </w:r>
      <w:proofErr w:type="spellEnd"/>
      <w:r w:rsidRPr="007E36E2">
        <w:rPr>
          <w:rFonts w:ascii="Calibri" w:hAnsi="Calibri" w:cs="Calibri"/>
          <w:sz w:val="20"/>
        </w:rPr>
        <w:t xml:space="preserve"> was a lesser known Pre-R</w:t>
      </w:r>
      <w:r w:rsidRPr="007E36E2">
        <w:rPr>
          <w:rFonts w:ascii="Calibri" w:hAnsi="Calibri" w:cs="Calibri"/>
          <w:sz w:val="20"/>
        </w:rPr>
        <w:t xml:space="preserve">aphaelite artist who was also an English printmaker. He created a painting named 'Death the Bride' that depicts a personification of the entity of death as a young woman as opposed to the classic 'grim reaper' style character that we're used to. The usual </w:t>
      </w:r>
      <w:r w:rsidRPr="007E36E2">
        <w:rPr>
          <w:rFonts w:ascii="Calibri" w:hAnsi="Calibri" w:cs="Calibri"/>
          <w:sz w:val="20"/>
        </w:rPr>
        <w:t>character of death in the modern day is seen as a hooded figure dressed in black with a scythe. However his personification harks back to their romanticism of death and how they wanted it to be poetic and beautiful. The poppies in this piece reflect that '</w:t>
      </w:r>
      <w:r w:rsidRPr="007E36E2">
        <w:rPr>
          <w:rFonts w:ascii="Calibri" w:hAnsi="Calibri" w:cs="Calibri"/>
          <w:sz w:val="20"/>
        </w:rPr>
        <w:t>sleep' that death brings to everyone eventually</w:t>
      </w:r>
      <w:r w:rsidRPr="007E36E2">
        <w:rPr>
          <w:rFonts w:ascii="Calibri" w:hAnsi="Calibri" w:cs="Calibri"/>
          <w:sz w:val="20"/>
        </w:rPr>
        <w:t xml:space="preserve"> and the surrounding black tones that look almost like a vignette around the edge of the canvas may reflect upon how final and definitive death is. I believe that this painting was created to also help societ</w:t>
      </w:r>
      <w:r w:rsidRPr="007E36E2">
        <w:rPr>
          <w:rFonts w:ascii="Calibri" w:hAnsi="Calibri" w:cs="Calibri"/>
          <w:sz w:val="20"/>
        </w:rPr>
        <w:t>y not fear death as much because he did portray it in somewhat 'friendly' way, her face is very warm looking, and she even has her arms open as if she's about to embrace you and welcome you into her arms.  Death is also depicted with having white poppies o</w:t>
      </w:r>
      <w:r w:rsidRPr="007E36E2">
        <w:rPr>
          <w:rFonts w:ascii="Calibri" w:hAnsi="Calibri" w:cs="Calibri"/>
          <w:sz w:val="20"/>
        </w:rPr>
        <w:t>n her head in this painting, which represents 'peace'. The white poppy got this meaning from an anti-war movement creating their own poppies that reflected their hopes that one day there will be no more wars, while also remembering all of the causalities f</w:t>
      </w:r>
      <w:r w:rsidRPr="007E36E2">
        <w:rPr>
          <w:rFonts w:ascii="Calibri" w:hAnsi="Calibri" w:cs="Calibri"/>
          <w:sz w:val="20"/>
        </w:rPr>
        <w:t>rom war (</w:t>
      </w:r>
      <w:proofErr w:type="spellStart"/>
      <w:r w:rsidRPr="007E36E2">
        <w:rPr>
          <w:rFonts w:ascii="Calibri" w:hAnsi="Calibri" w:cs="Calibri"/>
          <w:sz w:val="20"/>
        </w:rPr>
        <w:t>CivicLeicester</w:t>
      </w:r>
      <w:proofErr w:type="spellEnd"/>
      <w:r w:rsidRPr="007E36E2">
        <w:rPr>
          <w:rFonts w:ascii="Calibri" w:hAnsi="Calibri" w:cs="Calibri"/>
          <w:sz w:val="20"/>
        </w:rPr>
        <w:t xml:space="preserve">, 2012). This is highly symbolic also because it can be seen as 'taking the blood away from the poppy' putting more emphasis on the message of peace. This message of peace which </w:t>
      </w:r>
      <w:proofErr w:type="spellStart"/>
      <w:r w:rsidRPr="007E36E2">
        <w:rPr>
          <w:rFonts w:ascii="Calibri" w:hAnsi="Calibri" w:cs="Calibri"/>
          <w:sz w:val="20"/>
        </w:rPr>
        <w:t>as</w:t>
      </w:r>
      <w:proofErr w:type="spellEnd"/>
      <w:r w:rsidRPr="007E36E2">
        <w:rPr>
          <w:rFonts w:ascii="Calibri" w:hAnsi="Calibri" w:cs="Calibri"/>
          <w:sz w:val="20"/>
        </w:rPr>
        <w:t xml:space="preserve"> said previously can relate to how we need to make pe</w:t>
      </w:r>
      <w:r w:rsidRPr="007E36E2">
        <w:rPr>
          <w:rFonts w:ascii="Calibri" w:hAnsi="Calibri" w:cs="Calibri"/>
          <w:sz w:val="20"/>
        </w:rPr>
        <w:t>ace with death and not fear it. This painting now commemorates how they looked at death as this grand final exit in a romantic shroud that was influenced by the 'media' around at the time, in the form of a tradition that came to a very popular height durin</w:t>
      </w:r>
      <w:r w:rsidRPr="007E36E2">
        <w:rPr>
          <w:rFonts w:ascii="Calibri" w:hAnsi="Calibri" w:cs="Calibri"/>
          <w:sz w:val="20"/>
        </w:rPr>
        <w:t>g the Victorian era, in which families would have photographs taken with the recently deceased (Hunter, 2000). It is a rather morbid tradition however it helped families commemorate the life of the deceased, especially with the high rate of infant deaths f</w:t>
      </w:r>
      <w:r w:rsidRPr="007E36E2">
        <w:rPr>
          <w:rFonts w:ascii="Calibri" w:hAnsi="Calibri" w:cs="Calibri"/>
          <w:sz w:val="20"/>
        </w:rPr>
        <w:t xml:space="preserve">rom the lack of good hygiene practices. They liked this form of commemoration more than commissioning paintings because they felt that it was more lifelike and realistic than paintings, it was also a cheaper form of creating images that didn't take months </w:t>
      </w:r>
      <w:r w:rsidRPr="007E36E2">
        <w:rPr>
          <w:rFonts w:ascii="Calibri" w:hAnsi="Calibri" w:cs="Calibri"/>
          <w:sz w:val="20"/>
        </w:rPr>
        <w:t xml:space="preserve">upon months to develop (Peck et al., 2015).  </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Overall the Pre-Raphaelites commemorated lots of aspects of death in their paintings through the symbolism of the poppy. They all expressed their feelings differently on the subject of death because they all ca</w:t>
      </w:r>
      <w:r w:rsidRPr="007E36E2">
        <w:rPr>
          <w:rFonts w:ascii="Calibri" w:hAnsi="Calibri" w:cs="Calibri"/>
          <w:sz w:val="20"/>
        </w:rPr>
        <w:t xml:space="preserve">me from different inspirations while creating these pieces. For example, with Dante his painting's inspiration came from a very emotionally charged and personal place compared to </w:t>
      </w:r>
      <w:proofErr w:type="spellStart"/>
      <w:r w:rsidRPr="007E36E2">
        <w:rPr>
          <w:rFonts w:ascii="Calibri" w:hAnsi="Calibri" w:cs="Calibri"/>
          <w:sz w:val="20"/>
        </w:rPr>
        <w:t>Gotch</w:t>
      </w:r>
      <w:proofErr w:type="spellEnd"/>
      <w:r w:rsidRPr="007E36E2">
        <w:rPr>
          <w:rFonts w:ascii="Calibri" w:hAnsi="Calibri" w:cs="Calibri"/>
          <w:sz w:val="20"/>
        </w:rPr>
        <w:t xml:space="preserve"> who just created a generic personification of death with no prior emoti</w:t>
      </w:r>
      <w:r w:rsidRPr="007E36E2">
        <w:rPr>
          <w:rFonts w:ascii="Calibri" w:hAnsi="Calibri" w:cs="Calibri"/>
          <w:sz w:val="20"/>
        </w:rPr>
        <w:t>onal motivation. The use of the poppy however never changes throughout these paintings, it always harkens back to the symbolic imagery of the 'eternal sleep'. Today we still have elements from the Victorian and Pre Raphaelite era when we commemorate death.</w:t>
      </w:r>
      <w:r w:rsidRPr="007E36E2">
        <w:rPr>
          <w:rFonts w:ascii="Calibri" w:hAnsi="Calibri" w:cs="Calibri"/>
          <w:sz w:val="20"/>
        </w:rPr>
        <w:t xml:space="preserve"> We might not have as many strict commemorative traditions as they had back then, such as the post mortem photo portraits; as they would be seen as 'bad taste' in today's society. However, the usage of the poppy within paintings for commemoration purposes </w:t>
      </w:r>
      <w:r w:rsidRPr="007E36E2">
        <w:rPr>
          <w:rFonts w:ascii="Calibri" w:hAnsi="Calibri" w:cs="Calibri"/>
          <w:sz w:val="20"/>
        </w:rPr>
        <w:t xml:space="preserve">has raised the flower to an iconic level because of the Pre Raphaelites' art.  </w:t>
      </w:r>
    </w:p>
    <w:p w:rsidR="00000000" w:rsidRDefault="007E36E2">
      <w:pPr>
        <w:widowControl w:val="0"/>
        <w:autoSpaceDE w:val="0"/>
        <w:autoSpaceDN w:val="0"/>
        <w:adjustRightInd w:val="0"/>
        <w:rPr>
          <w:rFonts w:ascii="Calibri" w:hAnsi="Calibri" w:cs="Calibri"/>
          <w:b/>
          <w:bCs/>
          <w:i/>
          <w:iCs/>
          <w:sz w:val="24"/>
          <w:szCs w:val="24"/>
          <w:u w:val="single"/>
        </w:rPr>
      </w:pP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b/>
          <w:bCs/>
          <w:i/>
          <w:iCs/>
          <w:szCs w:val="24"/>
          <w:u w:val="single"/>
        </w:rPr>
        <w:t>Bibliography</w:t>
      </w:r>
    </w:p>
    <w:p w:rsidR="00000000" w:rsidRPr="007E36E2" w:rsidRDefault="007E36E2">
      <w:pPr>
        <w:widowControl w:val="0"/>
        <w:autoSpaceDE w:val="0"/>
        <w:autoSpaceDN w:val="0"/>
        <w:adjustRightInd w:val="0"/>
        <w:rPr>
          <w:rFonts w:ascii="Calibri" w:hAnsi="Calibri" w:cs="Calibri"/>
          <w:sz w:val="20"/>
        </w:rPr>
      </w:pPr>
      <w:proofErr w:type="spellStart"/>
      <w:r w:rsidRPr="007E36E2">
        <w:rPr>
          <w:rFonts w:ascii="Calibri" w:hAnsi="Calibri" w:cs="Calibri"/>
          <w:sz w:val="20"/>
        </w:rPr>
        <w:t>Boddy</w:t>
      </w:r>
      <w:proofErr w:type="spellEnd"/>
      <w:r w:rsidRPr="007E36E2">
        <w:rPr>
          <w:rFonts w:ascii="Calibri" w:hAnsi="Calibri" w:cs="Calibri"/>
          <w:sz w:val="20"/>
        </w:rPr>
        <w:t xml:space="preserve">-Evans, M. (2017). Techniques and Palettes of the Pre-Raphaelites painters. [online] </w:t>
      </w:r>
      <w:proofErr w:type="spellStart"/>
      <w:r w:rsidRPr="007E36E2">
        <w:rPr>
          <w:rFonts w:ascii="Calibri" w:hAnsi="Calibri" w:cs="Calibri"/>
          <w:sz w:val="20"/>
        </w:rPr>
        <w:t>ThoughtCo</w:t>
      </w:r>
      <w:proofErr w:type="spellEnd"/>
      <w:r w:rsidRPr="007E36E2">
        <w:rPr>
          <w:rFonts w:ascii="Calibri" w:hAnsi="Calibri" w:cs="Calibri"/>
          <w:sz w:val="20"/>
        </w:rPr>
        <w:t xml:space="preserve">. Available at: </w:t>
      </w:r>
      <w:hyperlink r:id="rId8" w:history="1">
        <w:r w:rsidRPr="007E36E2">
          <w:rPr>
            <w:rFonts w:ascii="Calibri" w:hAnsi="Calibri" w:cs="Calibri"/>
            <w:sz w:val="20"/>
          </w:rPr>
          <w:t>https://www.thoughtco.com/pre-raphaelite-painters-palettes-and-techniques-2578612</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Easby, R. (2012). Khan Academy. [online] Khan Academy. </w:t>
      </w:r>
      <w:r w:rsidRPr="007E36E2">
        <w:rPr>
          <w:rFonts w:ascii="Calibri" w:hAnsi="Calibri" w:cs="Calibri"/>
          <w:sz w:val="20"/>
        </w:rPr>
        <w:t xml:space="preserve">Available at: </w:t>
      </w:r>
      <w:hyperlink r:id="rId9" w:history="1">
        <w:r w:rsidRPr="007E36E2">
          <w:rPr>
            <w:rFonts w:ascii="Calibri" w:hAnsi="Calibri" w:cs="Calibri"/>
            <w:sz w:val="20"/>
          </w:rPr>
          <w:t>https://www.khanacademy.org/humanities/becoming-modern/victorian-art-architecture/pre-rapha</w:t>
        </w:r>
        <w:r w:rsidRPr="007E36E2">
          <w:rPr>
            <w:rFonts w:ascii="Calibri" w:hAnsi="Calibri" w:cs="Calibri"/>
            <w:sz w:val="20"/>
          </w:rPr>
          <w:t>elites/a/a-beginners-guide-to-the-pre-raphaelites</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Hunter, D. (2000). 04.05.00 - A Victorian Obsession With Death. [online] Berkeley.edu. Available at: </w:t>
      </w:r>
      <w:hyperlink r:id="rId10" w:history="1">
        <w:r w:rsidRPr="007E36E2">
          <w:rPr>
            <w:rFonts w:ascii="Calibri" w:hAnsi="Calibri" w:cs="Calibri"/>
            <w:sz w:val="20"/>
          </w:rPr>
          <w:t>http:/</w:t>
        </w:r>
        <w:r w:rsidRPr="007E36E2">
          <w:rPr>
            <w:rFonts w:ascii="Calibri" w:hAnsi="Calibri" w:cs="Calibri"/>
            <w:sz w:val="20"/>
          </w:rPr>
          <w:t>/www.berkeley.edu/news/berkeleyan/2000/04/05/death.html</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Pina, S. (2017). Poppies: Sleep, Death, Rembrance. [online] Pre-Raphaelite Sisterhood. Available at: </w:t>
      </w:r>
      <w:hyperlink r:id="rId11" w:history="1">
        <w:r w:rsidRPr="007E36E2">
          <w:rPr>
            <w:rFonts w:ascii="Calibri" w:hAnsi="Calibri" w:cs="Calibri"/>
            <w:sz w:val="20"/>
          </w:rPr>
          <w:t>http://preraphaelitesisterhood.com/poppies-sleep-death-remembrance/</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Smith, A. (2017). Why were the Pre-Raphaelites so shocking?. [online] Tate.org.uk. Available at: </w:t>
      </w:r>
      <w:hyperlink r:id="rId12" w:history="1">
        <w:r w:rsidRPr="007E36E2">
          <w:rPr>
            <w:rFonts w:ascii="Calibri" w:hAnsi="Calibri" w:cs="Calibri"/>
            <w:sz w:val="20"/>
          </w:rPr>
          <w:t>http://www.tate.org.uk/context-comment/blogs/why-were-pre-raphaelites-so-shocking</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Tate. (2017). Pre-Raphaelite – Art Term | Tate. [</w:t>
      </w:r>
      <w:proofErr w:type="gramStart"/>
      <w:r w:rsidRPr="007E36E2">
        <w:rPr>
          <w:rFonts w:ascii="Calibri" w:hAnsi="Calibri" w:cs="Calibri"/>
          <w:sz w:val="20"/>
        </w:rPr>
        <w:t>online</w:t>
      </w:r>
      <w:proofErr w:type="gramEnd"/>
      <w:r w:rsidRPr="007E36E2">
        <w:rPr>
          <w:rFonts w:ascii="Calibri" w:hAnsi="Calibri" w:cs="Calibri"/>
          <w:sz w:val="20"/>
        </w:rPr>
        <w:t xml:space="preserve">] Available at: </w:t>
      </w:r>
      <w:hyperlink r:id="rId13" w:history="1">
        <w:r w:rsidRPr="007E36E2">
          <w:rPr>
            <w:rFonts w:ascii="Calibri" w:hAnsi="Calibri" w:cs="Calibri"/>
            <w:sz w:val="20"/>
          </w:rPr>
          <w:t>http://www.tate.org.uk/art/art-terms/p/pre-raphaelite</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Hamlet Dramaturgy. (2013). Ophelia’s Flowers. [</w:t>
      </w:r>
      <w:proofErr w:type="gramStart"/>
      <w:r w:rsidRPr="007E36E2">
        <w:rPr>
          <w:rFonts w:ascii="Calibri" w:hAnsi="Calibri" w:cs="Calibri"/>
          <w:sz w:val="20"/>
        </w:rPr>
        <w:t>online</w:t>
      </w:r>
      <w:proofErr w:type="gramEnd"/>
      <w:r w:rsidRPr="007E36E2">
        <w:rPr>
          <w:rFonts w:ascii="Calibri" w:hAnsi="Calibri" w:cs="Calibri"/>
          <w:sz w:val="20"/>
        </w:rPr>
        <w:t xml:space="preserve">] Available at: </w:t>
      </w:r>
      <w:hyperlink r:id="rId14" w:history="1">
        <w:r w:rsidRPr="007E36E2">
          <w:rPr>
            <w:rFonts w:ascii="Calibri" w:hAnsi="Calibri" w:cs="Calibri"/>
            <w:sz w:val="20"/>
          </w:rPr>
          <w:t>https:</w:t>
        </w:r>
        <w:r w:rsidRPr="007E36E2">
          <w:rPr>
            <w:rFonts w:ascii="Calibri" w:hAnsi="Calibri" w:cs="Calibri"/>
            <w:sz w:val="20"/>
          </w:rPr>
          <w:t>//hamletdramaturgy.wordpress.com/2013/02/20/ophelias-flowers/</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Pina, S. (2013). Ophelia's Flowers • Pre-Raphaelite Sisterhood. [online] Pre-Raphaelite Sisterhood. Available at: </w:t>
      </w:r>
      <w:hyperlink r:id="rId15" w:history="1">
        <w:r w:rsidRPr="007E36E2">
          <w:rPr>
            <w:rFonts w:ascii="Calibri" w:hAnsi="Calibri" w:cs="Calibri"/>
            <w:sz w:val="20"/>
          </w:rPr>
          <w:t>http://preraphaelitesisterhood.com/ophelias-flowers/</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Pina, S. (2015). Exploring Death Through Art • Pre-Raphaelite Sisterhood. [online] Pre-Raphaelite Sisterhood. Available at: </w:t>
      </w:r>
      <w:hyperlink r:id="rId16" w:history="1">
        <w:r w:rsidRPr="007E36E2">
          <w:rPr>
            <w:rFonts w:ascii="Calibri" w:hAnsi="Calibri" w:cs="Calibri"/>
            <w:sz w:val="20"/>
          </w:rPr>
          <w:t>http://preraphaelitesisterhood.com/exploring-death-through-art/</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Roe, D. (2017). The Pre-Raphaelites. [online] The British Library. Available at: </w:t>
      </w:r>
      <w:hyperlink r:id="rId17" w:history="1">
        <w:r w:rsidRPr="007E36E2">
          <w:rPr>
            <w:rFonts w:ascii="Calibri" w:hAnsi="Calibri" w:cs="Calibri"/>
            <w:sz w:val="20"/>
          </w:rPr>
          <w:t>https://www.bl.uk/romantics-and-victorians/articles/the-pre-raphaelites</w:t>
        </w:r>
      </w:hyperlink>
      <w:r w:rsidRPr="007E36E2">
        <w:rPr>
          <w:rFonts w:ascii="Calibri" w:hAnsi="Calibri" w:cs="Calibri"/>
          <w:sz w:val="20"/>
        </w:rPr>
        <w:t xml:space="preserve"> [Accessed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Tate. (2017). ‘Christ in the House of His Parents (‘The Carpenter’s Shop’)’, Sir John Everett Millais, Bt, 1849-50 | Tate. [</w:t>
      </w:r>
      <w:proofErr w:type="gramStart"/>
      <w:r w:rsidRPr="007E36E2">
        <w:rPr>
          <w:rFonts w:ascii="Calibri" w:hAnsi="Calibri" w:cs="Calibri"/>
          <w:sz w:val="20"/>
        </w:rPr>
        <w:t>onl</w:t>
      </w:r>
      <w:r w:rsidRPr="007E36E2">
        <w:rPr>
          <w:rFonts w:ascii="Calibri" w:hAnsi="Calibri" w:cs="Calibri"/>
          <w:sz w:val="20"/>
        </w:rPr>
        <w:t>ine</w:t>
      </w:r>
      <w:proofErr w:type="gramEnd"/>
      <w:r w:rsidRPr="007E36E2">
        <w:rPr>
          <w:rFonts w:ascii="Calibri" w:hAnsi="Calibri" w:cs="Calibri"/>
          <w:sz w:val="20"/>
        </w:rPr>
        <w:t xml:space="preserve">] Available at: </w:t>
      </w:r>
      <w:hyperlink r:id="rId18" w:history="1">
        <w:r w:rsidRPr="007E36E2">
          <w:rPr>
            <w:rFonts w:ascii="Calibri" w:hAnsi="Calibri" w:cs="Calibri"/>
            <w:sz w:val="20"/>
          </w:rPr>
          <w:t>http://www.tate.org.uk/art/artworks/millais-christ-in-the-house-of-his-parents-the-carpenters-shop-n03584</w:t>
        </w:r>
      </w:hyperlink>
      <w:r w:rsidRPr="007E36E2">
        <w:rPr>
          <w:rFonts w:ascii="Calibri" w:hAnsi="Calibri" w:cs="Calibri"/>
          <w:sz w:val="20"/>
        </w:rPr>
        <w:t xml:space="preserve"> [Accessed 3 </w:t>
      </w:r>
      <w:r w:rsidRPr="007E36E2">
        <w:rPr>
          <w:rFonts w:ascii="Calibri" w:hAnsi="Calibri" w:cs="Calibri"/>
          <w:sz w:val="20"/>
        </w:rPr>
        <w:t>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Tate. (2017). The Story of Ophelia – Look Closer | Tate. [</w:t>
      </w:r>
      <w:proofErr w:type="gramStart"/>
      <w:r w:rsidRPr="007E36E2">
        <w:rPr>
          <w:rFonts w:ascii="Calibri" w:hAnsi="Calibri" w:cs="Calibri"/>
          <w:sz w:val="20"/>
        </w:rPr>
        <w:t>online</w:t>
      </w:r>
      <w:proofErr w:type="gramEnd"/>
      <w:r w:rsidRPr="007E36E2">
        <w:rPr>
          <w:rFonts w:ascii="Calibri" w:hAnsi="Calibri" w:cs="Calibri"/>
          <w:sz w:val="20"/>
        </w:rPr>
        <w:t xml:space="preserve">] Available at: </w:t>
      </w:r>
      <w:hyperlink r:id="rId19" w:history="1">
        <w:r w:rsidRPr="007E36E2">
          <w:rPr>
            <w:rFonts w:ascii="Calibri" w:hAnsi="Calibri" w:cs="Calibri"/>
            <w:sz w:val="20"/>
          </w:rPr>
          <w:t>http://www.tate.org.uk/art/artworks/millais-ophelia-n01506/story-ophelia</w:t>
        </w:r>
      </w:hyperlink>
      <w:r w:rsidRPr="007E36E2">
        <w:rPr>
          <w:rFonts w:ascii="Calibri" w:hAnsi="Calibri" w:cs="Calibri"/>
          <w:sz w:val="20"/>
        </w:rPr>
        <w:t xml:space="preserve"> [Acce</w:t>
      </w:r>
      <w:r w:rsidRPr="007E36E2">
        <w:rPr>
          <w:rFonts w:ascii="Calibri" w:hAnsi="Calibri" w:cs="Calibri"/>
          <w:sz w:val="20"/>
        </w:rPr>
        <w:t>ssed 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u w:val="single"/>
        </w:rPr>
        <w:t>Books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Andres, S. (2005). The pre-raphaelite art of the Victorian novel. Columbus: Ohio State Univ. Press.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Mccrae, J. (1872-1918). In flanders fields, and other poems. [Place of publication not identified]: Hardpress Ltd, p.17.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Peck, M., </w:t>
      </w:r>
      <w:r w:rsidRPr="007E36E2">
        <w:rPr>
          <w:rFonts w:ascii="Calibri" w:hAnsi="Calibri" w:cs="Calibri"/>
          <w:sz w:val="20"/>
        </w:rPr>
        <w:t>Bunge, J., Anderson I, A., Lovejoy, B., Roche, J., Jackson, A. and Mord, J. (2015). Beyond the dark veil. San Francisco: Grand Central Press.</w:t>
      </w:r>
    </w:p>
    <w:p w:rsidR="00000000" w:rsidRPr="007E36E2" w:rsidRDefault="007E36E2">
      <w:pPr>
        <w:widowControl w:val="0"/>
        <w:autoSpaceDE w:val="0"/>
        <w:autoSpaceDN w:val="0"/>
        <w:adjustRightInd w:val="0"/>
        <w:rPr>
          <w:rFonts w:ascii="Calibri" w:hAnsi="Calibri" w:cs="Calibri"/>
          <w:sz w:val="20"/>
          <w:u w:val="single"/>
        </w:rPr>
      </w:pPr>
      <w:r w:rsidRPr="007E36E2">
        <w:rPr>
          <w:rFonts w:ascii="Calibri" w:hAnsi="Calibri" w:cs="Calibri"/>
          <w:sz w:val="20"/>
          <w:u w:val="single"/>
        </w:rPr>
        <w:t>Paintings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Everett Millais, J. (1849–50). Christ in the House of His Parents. [</w:t>
      </w:r>
      <w:r w:rsidRPr="007E36E2">
        <w:rPr>
          <w:rFonts w:ascii="Calibri" w:hAnsi="Calibri" w:cs="Calibri"/>
          <w:sz w:val="20"/>
        </w:rPr>
        <w:t>Oil paint on canvas] London: Tate Britain.</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Everett Millais, J. (1851–2). Ophelia. [Oil paint on canvas] Britain: Tate Britain.</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Gabriel Rossetti, D. (1864–70). Beata Beatrix. [Oil on canvas] London: Tate Britain.</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Cooper Gotch, T. (1895). Death the Bride. [O</w:t>
      </w:r>
      <w:r w:rsidRPr="007E36E2">
        <w:rPr>
          <w:rFonts w:ascii="Calibri" w:hAnsi="Calibri" w:cs="Calibri"/>
          <w:sz w:val="20"/>
        </w:rPr>
        <w:t>il on canvas] Kettering: Alfred East Art Gallery.</w:t>
      </w:r>
    </w:p>
    <w:p w:rsidR="00000000" w:rsidRPr="007E36E2" w:rsidRDefault="007E36E2">
      <w:pPr>
        <w:widowControl w:val="0"/>
        <w:autoSpaceDE w:val="0"/>
        <w:autoSpaceDN w:val="0"/>
        <w:adjustRightInd w:val="0"/>
        <w:rPr>
          <w:rFonts w:ascii="Calibri" w:hAnsi="Calibri" w:cs="Calibri"/>
          <w:sz w:val="20"/>
          <w:u w:val="single"/>
        </w:rPr>
      </w:pPr>
      <w:r w:rsidRPr="007E36E2">
        <w:rPr>
          <w:rFonts w:ascii="Calibri" w:hAnsi="Calibri" w:cs="Calibri"/>
          <w:sz w:val="20"/>
          <w:u w:val="single"/>
        </w:rPr>
        <w:t>YouTube</w:t>
      </w:r>
      <w:r w:rsidRPr="007E36E2">
        <w:rPr>
          <w:rFonts w:ascii="Calibri" w:hAnsi="Calibri" w:cs="Calibri"/>
          <w:sz w:val="20"/>
          <w:u w:val="single"/>
        </w:rPr>
        <w:t xml:space="preserve"> Videos </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CivicLeicester (2012). </w:t>
      </w:r>
      <w:r w:rsidRPr="007E36E2">
        <w:rPr>
          <w:rFonts w:ascii="Calibri" w:hAnsi="Calibri" w:cs="Calibri"/>
          <w:i/>
          <w:iCs/>
          <w:sz w:val="20"/>
        </w:rPr>
        <w:t>What the White Poppy stands for</w:t>
      </w:r>
      <w:r w:rsidRPr="007E36E2">
        <w:rPr>
          <w:rFonts w:ascii="Calibri" w:hAnsi="Calibri" w:cs="Calibri"/>
          <w:sz w:val="20"/>
        </w:rPr>
        <w:t xml:space="preserve">. Available at: </w:t>
      </w:r>
      <w:hyperlink r:id="rId20" w:history="1">
        <w:r w:rsidRPr="007E36E2">
          <w:rPr>
            <w:rFonts w:ascii="Calibri" w:hAnsi="Calibri" w:cs="Calibri"/>
            <w:sz w:val="20"/>
          </w:rPr>
          <w:t>https://www.youtube.com/watch?v=r5K0nZ3MRe8</w:t>
        </w:r>
      </w:hyperlink>
      <w:r w:rsidRPr="007E36E2">
        <w:rPr>
          <w:rFonts w:ascii="Calibri" w:hAnsi="Calibri" w:cs="Calibri"/>
          <w:sz w:val="20"/>
        </w:rPr>
        <w:t xml:space="preserve"> [Accessed 5 Nov. 20</w:t>
      </w:r>
      <w:r w:rsidRPr="007E36E2">
        <w:rPr>
          <w:rFonts w:ascii="Calibri" w:hAnsi="Calibri" w:cs="Calibri"/>
          <w:sz w:val="20"/>
        </w:rPr>
        <w:t>17].</w:t>
      </w:r>
    </w:p>
    <w:p w:rsidR="00000000" w:rsidRPr="007E36E2" w:rsidRDefault="007E36E2">
      <w:pPr>
        <w:widowControl w:val="0"/>
        <w:autoSpaceDE w:val="0"/>
        <w:autoSpaceDN w:val="0"/>
        <w:adjustRightInd w:val="0"/>
        <w:rPr>
          <w:rFonts w:ascii="Calibri" w:hAnsi="Calibri" w:cs="Calibri"/>
          <w:b/>
          <w:bCs/>
          <w:i/>
          <w:iCs/>
          <w:szCs w:val="24"/>
          <w:u w:val="single"/>
        </w:rPr>
      </w:pPr>
      <w:r w:rsidRPr="007E36E2">
        <w:rPr>
          <w:rFonts w:ascii="Calibri" w:hAnsi="Calibri" w:cs="Calibri"/>
          <w:b/>
          <w:bCs/>
          <w:i/>
          <w:iCs/>
          <w:szCs w:val="24"/>
          <w:u w:val="single"/>
        </w:rPr>
        <w:t>Additional Reading List</w:t>
      </w:r>
    </w:p>
    <w:p w:rsidR="00000000" w:rsidRPr="007E36E2" w:rsidRDefault="007E36E2">
      <w:pPr>
        <w:widowControl w:val="0"/>
        <w:autoSpaceDE w:val="0"/>
        <w:autoSpaceDN w:val="0"/>
        <w:adjustRightInd w:val="0"/>
        <w:rPr>
          <w:rFonts w:ascii="Calibri" w:hAnsi="Calibri" w:cs="Calibri"/>
          <w:szCs w:val="24"/>
        </w:rPr>
      </w:pPr>
      <w:r w:rsidRPr="007E36E2">
        <w:rPr>
          <w:rFonts w:ascii="Calibri" w:hAnsi="Calibri" w:cs="Calibri"/>
          <w:szCs w:val="24"/>
          <w:u w:val="single"/>
        </w:rPr>
        <w:t>Books</w:t>
      </w:r>
    </w:p>
    <w:p w:rsidR="00000000" w:rsidRPr="007E36E2" w:rsidRDefault="007E36E2">
      <w:pPr>
        <w:widowControl w:val="0"/>
        <w:autoSpaceDE w:val="0"/>
        <w:autoSpaceDN w:val="0"/>
        <w:adjustRightInd w:val="0"/>
        <w:rPr>
          <w:rFonts w:ascii="Calibri" w:hAnsi="Calibri" w:cs="Calibri"/>
          <w:b/>
          <w:bCs/>
          <w:i/>
          <w:iCs/>
          <w:szCs w:val="24"/>
          <w:u w:val="single"/>
        </w:rPr>
      </w:pPr>
      <w:r w:rsidRPr="007E36E2">
        <w:rPr>
          <w:rFonts w:ascii="Calibri" w:hAnsi="Calibri" w:cs="Calibri"/>
          <w:szCs w:val="24"/>
        </w:rPr>
        <w:t>Prettejohn, E. (2000). The art of the Pre-Raphaelites. 1st ed. Princeton, NJ: Princeton University Press.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Trowbridge, S. (n.d.). Pre-Raphaelite Masculinities.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Belloc, H. (1967). On. Freeport, N.Y.: Books for Libraries Pre</w:t>
      </w:r>
      <w:r w:rsidRPr="007E36E2">
        <w:rPr>
          <w:rFonts w:ascii="Calibri" w:hAnsi="Calibri" w:cs="Calibri"/>
          <w:sz w:val="20"/>
        </w:rPr>
        <w:t>ss.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u w:val="single"/>
        </w:rPr>
        <w:t>Websites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Waugh, L. (2017). 22 Morbid Death and Mourning Customs from the Victorian Era. [online] Ranker. Available at: </w:t>
      </w:r>
      <w:hyperlink r:id="rId21" w:history="1">
        <w:r w:rsidRPr="007E36E2">
          <w:rPr>
            <w:rFonts w:ascii="Calibri" w:hAnsi="Calibri" w:cs="Calibri"/>
            <w:sz w:val="20"/>
          </w:rPr>
          <w:t>https://www.ranker.com/list/victorian-death-and-mourning-customs/lisa-waugh</w:t>
        </w:r>
      </w:hyperlink>
      <w:r w:rsidRPr="007E36E2">
        <w:rPr>
          <w:rFonts w:ascii="Calibri" w:hAnsi="Calibri" w:cs="Calibri"/>
          <w:sz w:val="20"/>
        </w:rPr>
        <w:t xml:space="preserve"> [Accessed 13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Catafalque, T. (2013). Infant Mortality in the Victorian Era ~ Wednesday's Child. [online] Sleepinggardens.blogspot.co.uk. Available at: </w:t>
      </w:r>
      <w:hyperlink r:id="rId22" w:history="1">
        <w:r w:rsidRPr="007E36E2">
          <w:rPr>
            <w:rFonts w:ascii="Calibri" w:hAnsi="Calibri" w:cs="Calibri"/>
            <w:sz w:val="20"/>
          </w:rPr>
          <w:t>http://sleepinggardens.blogspot.co.uk/2013/04/infant-mortality-in-victorian-era.html</w:t>
        </w:r>
      </w:hyperlink>
      <w:r w:rsidRPr="007E36E2">
        <w:rPr>
          <w:rFonts w:ascii="Calibri" w:hAnsi="Calibri" w:cs="Calibri"/>
          <w:sz w:val="20"/>
        </w:rPr>
        <w:t xml:space="preserve"> [Accessed 13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Miklós, V. (2013). Cite a Website - Cite This For Me. [online] </w:t>
      </w:r>
      <w:r w:rsidRPr="007E36E2">
        <w:rPr>
          <w:rFonts w:ascii="Calibri" w:hAnsi="Calibri" w:cs="Calibri"/>
          <w:sz w:val="20"/>
        </w:rPr>
        <w:t xml:space="preserve">Io9.gizmodo.com. Available at: </w:t>
      </w:r>
      <w:hyperlink r:id="rId23" w:history="1">
        <w:r w:rsidRPr="007E36E2">
          <w:rPr>
            <w:rFonts w:ascii="Calibri" w:hAnsi="Calibri" w:cs="Calibri"/>
            <w:sz w:val="20"/>
          </w:rPr>
          <w:t>https://io9.gizmodo.com/the-strangest-tradition-of-the-victorian-era-post-mort-472772709</w:t>
        </w:r>
      </w:hyperlink>
      <w:r w:rsidRPr="007E36E2">
        <w:rPr>
          <w:rFonts w:ascii="Calibri" w:hAnsi="Calibri" w:cs="Calibri"/>
          <w:sz w:val="20"/>
        </w:rPr>
        <w:t xml:space="preserve"> [Accessed 13 Nov. 2017].</w:t>
      </w:r>
    </w:p>
    <w:p w:rsidR="00000000" w:rsidRPr="007E36E2" w:rsidRDefault="007E36E2">
      <w:pPr>
        <w:widowControl w:val="0"/>
        <w:autoSpaceDE w:val="0"/>
        <w:autoSpaceDN w:val="0"/>
        <w:adjustRightInd w:val="0"/>
        <w:rPr>
          <w:rFonts w:ascii="Calibri" w:hAnsi="Calibri" w:cs="Calibri"/>
          <w:sz w:val="20"/>
          <w:u w:val="single"/>
        </w:rPr>
      </w:pPr>
      <w:r w:rsidRPr="007E36E2">
        <w:rPr>
          <w:rFonts w:ascii="Calibri" w:hAnsi="Calibri" w:cs="Calibri"/>
          <w:sz w:val="20"/>
          <w:u w:val="single"/>
        </w:rPr>
        <w:t>YouTube</w:t>
      </w:r>
      <w:r w:rsidRPr="007E36E2">
        <w:rPr>
          <w:rFonts w:ascii="Calibri" w:hAnsi="Calibri" w:cs="Calibri"/>
          <w:sz w:val="20"/>
          <w:u w:val="single"/>
        </w:rPr>
        <w:t xml:space="preserve"> V</w:t>
      </w:r>
      <w:r w:rsidRPr="007E36E2">
        <w:rPr>
          <w:rFonts w:ascii="Calibri" w:hAnsi="Calibri" w:cs="Calibri"/>
          <w:sz w:val="20"/>
          <w:u w:val="single"/>
        </w:rPr>
        <w:t>ideos</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ArtFundUK (2012). </w:t>
      </w:r>
      <w:r w:rsidRPr="007E36E2">
        <w:rPr>
          <w:rFonts w:ascii="Calibri" w:hAnsi="Calibri" w:cs="Calibri"/>
          <w:i/>
          <w:iCs/>
          <w:sz w:val="20"/>
        </w:rPr>
        <w:t xml:space="preserve">Pre-Raphaelites: Victorian Avant Garde at Tate Britain. </w:t>
      </w:r>
      <w:r w:rsidRPr="007E36E2">
        <w:rPr>
          <w:rFonts w:ascii="Calibri" w:hAnsi="Calibri" w:cs="Calibri"/>
          <w:sz w:val="20"/>
        </w:rPr>
        <w:t xml:space="preserve">Available at: </w:t>
      </w:r>
      <w:hyperlink r:id="rId24" w:history="1">
        <w:r w:rsidRPr="007E36E2">
          <w:rPr>
            <w:rFonts w:ascii="Calibri" w:hAnsi="Calibri" w:cs="Calibri"/>
            <w:sz w:val="20"/>
          </w:rPr>
          <w:t>https://www.youtube.com/watch?v=pj8KLGkcbmk</w:t>
        </w:r>
      </w:hyperlink>
      <w:r w:rsidRPr="007E36E2">
        <w:rPr>
          <w:rFonts w:ascii="Calibri" w:hAnsi="Calibri" w:cs="Calibri"/>
          <w:sz w:val="20"/>
        </w:rPr>
        <w:t xml:space="preserve"> [Accessed 5 Nov. 2017].</w:t>
      </w:r>
    </w:p>
    <w:p w:rsidR="00000000" w:rsidRPr="007E36E2" w:rsidRDefault="007E36E2">
      <w:pPr>
        <w:widowControl w:val="0"/>
        <w:autoSpaceDE w:val="0"/>
        <w:autoSpaceDN w:val="0"/>
        <w:adjustRightInd w:val="0"/>
        <w:rPr>
          <w:rFonts w:ascii="Calibri" w:hAnsi="Calibri" w:cs="Calibri"/>
          <w:sz w:val="20"/>
        </w:rPr>
      </w:pPr>
      <w:r w:rsidRPr="007E36E2">
        <w:rPr>
          <w:rFonts w:ascii="Calibri" w:hAnsi="Calibri" w:cs="Calibri"/>
          <w:sz w:val="20"/>
        </w:rPr>
        <w:t xml:space="preserve">The National Gallery (2017). </w:t>
      </w:r>
      <w:r w:rsidRPr="007E36E2">
        <w:rPr>
          <w:rFonts w:ascii="Calibri" w:hAnsi="Calibri" w:cs="Calibri"/>
          <w:i/>
          <w:iCs/>
          <w:sz w:val="20"/>
        </w:rPr>
        <w:t>Curator'</w:t>
      </w:r>
      <w:r w:rsidRPr="007E36E2">
        <w:rPr>
          <w:rFonts w:ascii="Calibri" w:hAnsi="Calibri" w:cs="Calibri"/>
          <w:i/>
          <w:iCs/>
          <w:sz w:val="20"/>
        </w:rPr>
        <w:t xml:space="preserve">s Introduction | Reflections: Van Eyck and the Pre-Raphaelites | National Gallery </w:t>
      </w:r>
      <w:r w:rsidRPr="007E36E2">
        <w:rPr>
          <w:rFonts w:ascii="Calibri" w:hAnsi="Calibri" w:cs="Calibri"/>
          <w:sz w:val="20"/>
        </w:rPr>
        <w:t xml:space="preserve">Available at: </w:t>
      </w:r>
      <w:hyperlink r:id="rId25" w:history="1">
        <w:r w:rsidRPr="007E36E2">
          <w:rPr>
            <w:rFonts w:ascii="Calibri" w:hAnsi="Calibri" w:cs="Calibri"/>
            <w:sz w:val="20"/>
          </w:rPr>
          <w:t>https://www.youtube.com/watch?v=0CSs9Zl0hZc</w:t>
        </w:r>
      </w:hyperlink>
      <w:r w:rsidRPr="007E36E2">
        <w:rPr>
          <w:rFonts w:ascii="Calibri" w:hAnsi="Calibri" w:cs="Calibri"/>
          <w:sz w:val="20"/>
        </w:rPr>
        <w:t xml:space="preserve"> [Accessed 5 Nov. 2017].</w:t>
      </w:r>
    </w:p>
    <w:p w:rsidR="00000000" w:rsidRPr="007E36E2" w:rsidRDefault="007E36E2">
      <w:pPr>
        <w:widowControl w:val="0"/>
        <w:autoSpaceDE w:val="0"/>
        <w:autoSpaceDN w:val="0"/>
        <w:adjustRightInd w:val="0"/>
        <w:rPr>
          <w:rFonts w:ascii="Calibri" w:hAnsi="Calibri" w:cs="Calibri"/>
          <w:sz w:val="20"/>
        </w:rPr>
      </w:pPr>
    </w:p>
    <w:sectPr w:rsidR="00000000" w:rsidRPr="007E36E2">
      <w:pgSz w:w="12240" w:h="15840"/>
      <w:pgMar w:top="1440" w:right="1440" w:bottom="1440" w:left="1440" w:header="720" w:footer="720" w:gutter="0"/>
      <w:cols w:space="720"/>
      <w:noEndnote/>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useFELayout/>
  </w:compat>
  <w:rsids>
    <w:rsidRoot w:val="0036782F"/>
    <w:rsid w:val="0036782F"/>
    <w:rsid w:val="007E36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36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6E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pre-raphaelite-painters-palettes-and-techniques-2578612" TargetMode="External"/><Relationship Id="rId13" Type="http://schemas.openxmlformats.org/officeDocument/2006/relationships/hyperlink" Target="http://www.tate.org.uk/art/art-terms/p/pre-raphaelite" TargetMode="External"/><Relationship Id="rId18" Type="http://schemas.openxmlformats.org/officeDocument/2006/relationships/hyperlink" Target="http://www.tate.org.uk/art/artworks/millais-christ-in-the-house-of-his-parents-the-carpenters-shop-n03584"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ranker.com/list/victorian-death-and-mourning-customs/lisa-waugh" TargetMode="External"/><Relationship Id="rId7" Type="http://schemas.openxmlformats.org/officeDocument/2006/relationships/image" Target="media/image4.png"/><Relationship Id="rId12" Type="http://schemas.openxmlformats.org/officeDocument/2006/relationships/hyperlink" Target="http://www.tate.org.uk/context-comment/blogs/why-were-pre-raphaelites-so-shocking" TargetMode="External"/><Relationship Id="rId17" Type="http://schemas.openxmlformats.org/officeDocument/2006/relationships/hyperlink" Target="https://www.bl.uk/romantics-and-victorians/articles/the-pre-raphaelites" TargetMode="External"/><Relationship Id="rId25" Type="http://schemas.openxmlformats.org/officeDocument/2006/relationships/hyperlink" Target="https://www.youtube.com/watch?v=0CSs9Zl0hZc" TargetMode="External"/><Relationship Id="rId2" Type="http://schemas.openxmlformats.org/officeDocument/2006/relationships/settings" Target="settings.xml"/><Relationship Id="rId16" Type="http://schemas.openxmlformats.org/officeDocument/2006/relationships/hyperlink" Target="http://preraphaelitesisterhood.com/exploring-death-through-art/" TargetMode="External"/><Relationship Id="rId20" Type="http://schemas.openxmlformats.org/officeDocument/2006/relationships/hyperlink" Target="https://www.youtube.com/watch?v=r5K0nZ3MRe8"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preraphaelitesisterhood.com/poppies-sleep-death-remembrance/" TargetMode="External"/><Relationship Id="rId24" Type="http://schemas.openxmlformats.org/officeDocument/2006/relationships/hyperlink" Target="https://www.youtube.com/watch?v=pj8KLGkcbmk" TargetMode="External"/><Relationship Id="rId5" Type="http://schemas.openxmlformats.org/officeDocument/2006/relationships/image" Target="media/image2.png"/><Relationship Id="rId15" Type="http://schemas.openxmlformats.org/officeDocument/2006/relationships/hyperlink" Target="http://preraphaelitesisterhood.com/ophelias-flowers/" TargetMode="External"/><Relationship Id="rId23" Type="http://schemas.openxmlformats.org/officeDocument/2006/relationships/hyperlink" Target="https://io9.gizmodo.com/the-strangest-tradition-of-the-victorian-era-post-mort-472772709" TargetMode="External"/><Relationship Id="rId10" Type="http://schemas.openxmlformats.org/officeDocument/2006/relationships/hyperlink" Target="http://www.berkeley.edu/news/berkeleyan/2000/04/05/death.html" TargetMode="External"/><Relationship Id="rId19" Type="http://schemas.openxmlformats.org/officeDocument/2006/relationships/hyperlink" Target="http://www.tate.org.uk/art/artworks/millais-ophelia-n01506/story-ophelia" TargetMode="External"/><Relationship Id="rId4" Type="http://schemas.openxmlformats.org/officeDocument/2006/relationships/image" Target="media/image1.png"/><Relationship Id="rId9" Type="http://schemas.openxmlformats.org/officeDocument/2006/relationships/hyperlink" Target="https://www.khanacademy.org/humanities/becoming-modern/victorian-art-architecture/pre-raphaelites/a/a-beginners-guide-to-the-pre-raphaelites" TargetMode="External"/><Relationship Id="rId14" Type="http://schemas.openxmlformats.org/officeDocument/2006/relationships/hyperlink" Target="https://hamletdramaturgy.wordpress.com/2013/02/20/ophelias-flowers/" TargetMode="External"/><Relationship Id="rId22" Type="http://schemas.openxmlformats.org/officeDocument/2006/relationships/hyperlink" Target="http://sleepinggardens.blogspot.co.uk/2013/04/infant-mortality-in-victorian-era.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7</Pages>
  <Words>2595</Words>
  <Characters>16013</Characters>
  <Application>Microsoft Office Word</Application>
  <DocSecurity>0</DocSecurity>
  <Lines>133</Lines>
  <Paragraphs>37</Paragraphs>
  <ScaleCrop>false</ScaleCrop>
  <Company/>
  <LinksUpToDate>false</LinksUpToDate>
  <CharactersWithSpaces>18571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Wappy</dc:creator>
  <cp:lastModifiedBy>Wappy</cp:lastModifiedBy>
  <cp:revision>2</cp:revision>
  <dcterms:created xsi:type="dcterms:W3CDTF">2017-12-14T10:41:00Z</dcterms:created>
  <dcterms:modified xsi:type="dcterms:W3CDTF">2017-12-14T10:41:00Z</dcterms:modified>
</cp:coreProperties>
</file>