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BCF1C" w14:textId="7EA66A7E" w:rsidR="00E91749" w:rsidRDefault="00B01B2F" w:rsidP="00B01B2F">
      <w:pPr>
        <w:jc w:val="center"/>
        <w:rPr>
          <w:b/>
          <w:bCs/>
          <w:color w:val="000000" w:themeColor="text1"/>
          <w:sz w:val="44"/>
          <w:szCs w:val="44"/>
        </w:rPr>
      </w:pPr>
      <w:r w:rsidRPr="00E91749">
        <w:rPr>
          <w:b/>
          <w:bCs/>
          <w:color w:val="000000" w:themeColor="text1"/>
          <w:sz w:val="44"/>
          <w:szCs w:val="44"/>
        </w:rPr>
        <w:t>SESSION 6 :</w:t>
      </w:r>
      <w:r w:rsidR="00E91749">
        <w:rPr>
          <w:b/>
          <w:bCs/>
          <w:color w:val="000000" w:themeColor="text1"/>
          <w:sz w:val="44"/>
          <w:szCs w:val="44"/>
        </w:rPr>
        <w:t xml:space="preserve"> PART 1</w:t>
      </w:r>
      <w:r w:rsidRPr="00E91749">
        <w:rPr>
          <w:b/>
          <w:bCs/>
          <w:color w:val="000000" w:themeColor="text1"/>
          <w:sz w:val="44"/>
          <w:szCs w:val="44"/>
        </w:rPr>
        <w:t xml:space="preserve"> </w:t>
      </w:r>
    </w:p>
    <w:p w14:paraId="4D40EFAB" w14:textId="77777777" w:rsidR="00E91749" w:rsidRDefault="00B01B2F" w:rsidP="00B01B2F">
      <w:pPr>
        <w:jc w:val="center"/>
        <w:rPr>
          <w:b/>
          <w:bCs/>
          <w:color w:val="000000" w:themeColor="text1"/>
          <w:sz w:val="44"/>
          <w:szCs w:val="44"/>
        </w:rPr>
      </w:pPr>
      <w:r w:rsidRPr="00E91749">
        <w:rPr>
          <w:b/>
          <w:bCs/>
          <w:color w:val="000000" w:themeColor="text1"/>
          <w:sz w:val="44"/>
          <w:szCs w:val="44"/>
        </w:rPr>
        <w:t>Overcoming discrimination and stigma :</w:t>
      </w:r>
    </w:p>
    <w:p w14:paraId="2061218A" w14:textId="4F374205" w:rsidR="00B01B2F" w:rsidRPr="00E91749" w:rsidRDefault="00B01B2F" w:rsidP="00B01B2F">
      <w:pPr>
        <w:jc w:val="center"/>
        <w:rPr>
          <w:b/>
          <w:bCs/>
          <w:color w:val="000000" w:themeColor="text1"/>
          <w:sz w:val="44"/>
          <w:szCs w:val="44"/>
        </w:rPr>
      </w:pPr>
      <w:r w:rsidRPr="00E91749">
        <w:rPr>
          <w:b/>
          <w:bCs/>
          <w:color w:val="000000" w:themeColor="text1"/>
          <w:sz w:val="44"/>
          <w:szCs w:val="44"/>
        </w:rPr>
        <w:t>Equality and dignity</w:t>
      </w:r>
    </w:p>
    <w:p w14:paraId="6D1BBD6E" w14:textId="77777777" w:rsidR="00B01B2F" w:rsidRDefault="00B01B2F" w:rsidP="00B01B2F">
      <w:pPr>
        <w:jc w:val="both"/>
        <w:rPr>
          <w:sz w:val="28"/>
          <w:szCs w:val="28"/>
        </w:rPr>
      </w:pPr>
      <w:r>
        <w:rPr>
          <w:sz w:val="28"/>
          <w:szCs w:val="28"/>
        </w:rPr>
        <w:t xml:space="preserve">In the context of service provision, equality and dignity are key drivers for how we deliver effect health and social care.  Equality relates to the concept of fairness and is enshrined in law, for example the UK Equality Act 2010.  This offers strong foundation for the way services are delivered, for example the sensory loss standards for Wales is a key policy to improve healthcare for people with hearing or sight loss.  Dignity is related to fairness and person-centred care.  </w:t>
      </w:r>
    </w:p>
    <w:p w14:paraId="0BF7BEF7" w14:textId="62D175D9" w:rsidR="00B72624" w:rsidRDefault="00B01B2F" w:rsidP="00B01B2F">
      <w:pPr>
        <w:jc w:val="both"/>
        <w:rPr>
          <w:sz w:val="28"/>
          <w:szCs w:val="28"/>
        </w:rPr>
      </w:pPr>
      <w:r>
        <w:rPr>
          <w:sz w:val="28"/>
          <w:szCs w:val="28"/>
        </w:rPr>
        <w:t>Sometime services may need to offer a reasonable adjustment, for example if a person has impaired hearing then we might offer options on how to improve communication.  This can help overcome discrimination which includes when a person receives a less fair service based on a particularly characteristic.  Stigma can arise if a service has a poor attitude to a group of individuals based on a characteristic.</w:t>
      </w:r>
      <w:r w:rsidR="00B72624">
        <w:rPr>
          <w:sz w:val="28"/>
          <w:szCs w:val="28"/>
        </w:rPr>
        <w:t xml:space="preserve">  Equality and dignity in care can therefore help to overcome it.</w:t>
      </w:r>
    </w:p>
    <w:p w14:paraId="18A2E717" w14:textId="709B6841" w:rsidR="00B72624" w:rsidRDefault="00B72624" w:rsidP="00B72624">
      <w:pPr>
        <w:jc w:val="center"/>
        <w:rPr>
          <w:b/>
          <w:bCs/>
          <w:sz w:val="28"/>
          <w:szCs w:val="28"/>
        </w:rPr>
      </w:pPr>
      <w:r>
        <w:rPr>
          <w:b/>
          <w:bCs/>
          <w:sz w:val="28"/>
          <w:szCs w:val="28"/>
        </w:rPr>
        <w:t>EXERCISE DURING THE SESSION : EITHER AS INDIVIDUALS OR GROUPS</w:t>
      </w:r>
    </w:p>
    <w:p w14:paraId="292902C4" w14:textId="77777777" w:rsidR="00E91749" w:rsidRDefault="00E91749" w:rsidP="00E91749">
      <w:pPr>
        <w:jc w:val="both"/>
        <w:rPr>
          <w:sz w:val="28"/>
          <w:szCs w:val="28"/>
        </w:rPr>
      </w:pPr>
      <w:r>
        <w:rPr>
          <w:sz w:val="28"/>
          <w:szCs w:val="28"/>
        </w:rPr>
        <w:t>Think about people who might experience barriers to accessing services.  For example, homeless people or people with visual impairment or elderly disabled individuals.  What barriers might they experience, for example digital exclusion.  Consider what reasonable adjustments can be made to improve their access.</w:t>
      </w:r>
    </w:p>
    <w:p w14:paraId="14FB73FC" w14:textId="483B5A57" w:rsidR="00E91749" w:rsidRPr="00E91749" w:rsidRDefault="00E91749" w:rsidP="00E91749">
      <w:pPr>
        <w:jc w:val="center"/>
        <w:rPr>
          <w:b/>
          <w:bCs/>
          <w:sz w:val="28"/>
          <w:szCs w:val="28"/>
        </w:rPr>
      </w:pPr>
      <w:r>
        <w:rPr>
          <w:b/>
          <w:bCs/>
          <w:sz w:val="28"/>
          <w:szCs w:val="28"/>
        </w:rPr>
        <w:t>SUGGESTED POST-SESSION WORK</w:t>
      </w:r>
    </w:p>
    <w:p w14:paraId="61F2FC95" w14:textId="52684817" w:rsidR="00E91749" w:rsidRPr="00E91749" w:rsidRDefault="00E91749" w:rsidP="00E91749">
      <w:pPr>
        <w:jc w:val="both"/>
        <w:rPr>
          <w:sz w:val="28"/>
          <w:szCs w:val="28"/>
        </w:rPr>
      </w:pPr>
      <w:r w:rsidRPr="00E91749">
        <w:rPr>
          <w:sz w:val="28"/>
          <w:szCs w:val="28"/>
        </w:rPr>
        <w:t>Extend the above</w:t>
      </w:r>
      <w:r>
        <w:rPr>
          <w:sz w:val="28"/>
          <w:szCs w:val="28"/>
        </w:rPr>
        <w:t xml:space="preserve"> exercise into a more detailed exploration of interface between health and social care.  For example, a homeless person may need access to primary care services such as the GP and dentist.  They may also have other needs, for example housing support, debt advice</w:t>
      </w:r>
      <w:r w:rsidR="00902004">
        <w:rPr>
          <w:sz w:val="28"/>
          <w:szCs w:val="28"/>
        </w:rPr>
        <w:t xml:space="preserve"> and access to employment.</w:t>
      </w:r>
      <w:r>
        <w:rPr>
          <w:sz w:val="28"/>
          <w:szCs w:val="28"/>
        </w:rPr>
        <w:t xml:space="preserve">    </w:t>
      </w:r>
    </w:p>
    <w:p w14:paraId="4491E564" w14:textId="4D8BC5B3" w:rsidR="00B72624" w:rsidRPr="00E91749" w:rsidRDefault="00B72624" w:rsidP="00B01B2F">
      <w:pPr>
        <w:jc w:val="both"/>
        <w:rPr>
          <w:sz w:val="28"/>
          <w:szCs w:val="28"/>
          <w:u w:val="single"/>
        </w:rPr>
      </w:pPr>
      <w:r w:rsidRPr="00E91749">
        <w:rPr>
          <w:sz w:val="28"/>
          <w:szCs w:val="28"/>
          <w:u w:val="single"/>
        </w:rPr>
        <w:t xml:space="preserve">Suggested reading : These references </w:t>
      </w:r>
      <w:r w:rsidR="00E91749" w:rsidRPr="00E91749">
        <w:rPr>
          <w:sz w:val="28"/>
          <w:szCs w:val="28"/>
          <w:u w:val="single"/>
        </w:rPr>
        <w:t>may</w:t>
      </w:r>
      <w:r w:rsidRPr="00E91749">
        <w:rPr>
          <w:sz w:val="28"/>
          <w:szCs w:val="28"/>
          <w:u w:val="single"/>
        </w:rPr>
        <w:t xml:space="preserve"> be a good start point for other </w:t>
      </w:r>
      <w:r w:rsidR="00E91749" w:rsidRPr="00E91749">
        <w:rPr>
          <w:sz w:val="28"/>
          <w:szCs w:val="28"/>
          <w:u w:val="single"/>
        </w:rPr>
        <w:t>papers</w:t>
      </w:r>
      <w:r w:rsidRPr="00E91749">
        <w:rPr>
          <w:sz w:val="28"/>
          <w:szCs w:val="28"/>
          <w:u w:val="single"/>
        </w:rPr>
        <w:t xml:space="preserve"> </w:t>
      </w:r>
    </w:p>
    <w:p w14:paraId="212AF86B" w14:textId="77777777" w:rsidR="00B72624" w:rsidRPr="00AD25B2" w:rsidRDefault="00B72624" w:rsidP="00E91749">
      <w:pPr>
        <w:pStyle w:val="ListParagraph"/>
        <w:ind w:left="0"/>
        <w:jc w:val="center"/>
        <w:rPr>
          <w:rFonts w:ascii="Arial" w:hAnsi="Arial" w:cs="Arial"/>
          <w:i/>
          <w:color w:val="000000" w:themeColor="text1"/>
          <w:sz w:val="24"/>
          <w:szCs w:val="24"/>
        </w:rPr>
      </w:pPr>
      <w:r w:rsidRPr="00AD25B2">
        <w:rPr>
          <w:rFonts w:ascii="Arial" w:hAnsi="Arial" w:cs="Arial"/>
          <w:color w:val="000000" w:themeColor="text1"/>
          <w:sz w:val="24"/>
          <w:szCs w:val="24"/>
        </w:rPr>
        <w:t xml:space="preserve">Morgan G. Quality of primary care for visually impaired patients in mid-Wales.  </w:t>
      </w:r>
      <w:r w:rsidRPr="00AD25B2">
        <w:rPr>
          <w:rFonts w:ascii="Arial" w:hAnsi="Arial" w:cs="Arial"/>
          <w:i/>
          <w:color w:val="000000" w:themeColor="text1"/>
          <w:sz w:val="24"/>
          <w:szCs w:val="24"/>
        </w:rPr>
        <w:t xml:space="preserve">Quality in Primary Care </w:t>
      </w:r>
      <w:r w:rsidRPr="00AD25B2">
        <w:rPr>
          <w:rFonts w:ascii="Arial" w:hAnsi="Arial" w:cs="Arial"/>
          <w:color w:val="000000" w:themeColor="text1"/>
          <w:sz w:val="24"/>
          <w:szCs w:val="24"/>
        </w:rPr>
        <w:t>2015;23(4):259-61.</w:t>
      </w:r>
    </w:p>
    <w:p w14:paraId="203953E8" w14:textId="41BD16E9" w:rsidR="00E91749" w:rsidRDefault="00B72624" w:rsidP="00E91749">
      <w:pPr>
        <w:pStyle w:val="ListParagraph"/>
        <w:ind w:left="0"/>
        <w:jc w:val="center"/>
        <w:rPr>
          <w:rFonts w:ascii="Arial" w:hAnsi="Arial" w:cs="Arial"/>
          <w:color w:val="000000" w:themeColor="text1"/>
          <w:sz w:val="24"/>
          <w:szCs w:val="24"/>
        </w:rPr>
      </w:pPr>
      <w:r w:rsidRPr="00AD25B2">
        <w:rPr>
          <w:rFonts w:ascii="Arial" w:hAnsi="Arial" w:cs="Arial"/>
          <w:color w:val="000000" w:themeColor="text1"/>
          <w:sz w:val="24"/>
          <w:szCs w:val="24"/>
        </w:rPr>
        <w:t xml:space="preserve">Morgan G, Murray D, Sullivan C, Walters P.  Achieving age-equality in Welsh health and social care services.  </w:t>
      </w:r>
      <w:r w:rsidRPr="00AD25B2">
        <w:rPr>
          <w:rFonts w:ascii="Arial" w:hAnsi="Arial" w:cs="Arial"/>
          <w:i/>
          <w:iCs/>
          <w:color w:val="000000" w:themeColor="text1"/>
          <w:sz w:val="24"/>
          <w:szCs w:val="24"/>
        </w:rPr>
        <w:t xml:space="preserve">Generations Review </w:t>
      </w:r>
      <w:r w:rsidRPr="00AD25B2">
        <w:rPr>
          <w:rFonts w:ascii="Arial" w:hAnsi="Arial" w:cs="Arial"/>
          <w:color w:val="000000" w:themeColor="text1"/>
          <w:sz w:val="24"/>
          <w:szCs w:val="24"/>
        </w:rPr>
        <w:t>2012;22(4):10-11.</w:t>
      </w:r>
    </w:p>
    <w:p w14:paraId="0E24CBDA" w14:textId="77777777" w:rsidR="00E91749" w:rsidRDefault="00E91749">
      <w:pPr>
        <w:rPr>
          <w:rFonts w:ascii="Arial" w:eastAsia="Times New Roman" w:hAnsi="Arial" w:cs="Arial"/>
          <w:color w:val="000000" w:themeColor="text1"/>
          <w:sz w:val="24"/>
          <w:szCs w:val="24"/>
          <w:lang w:bidi="th-TH"/>
        </w:rPr>
      </w:pPr>
      <w:r>
        <w:rPr>
          <w:rFonts w:ascii="Arial" w:hAnsi="Arial" w:cs="Arial"/>
          <w:color w:val="000000" w:themeColor="text1"/>
          <w:sz w:val="24"/>
          <w:szCs w:val="24"/>
        </w:rPr>
        <w:br w:type="page"/>
      </w:r>
    </w:p>
    <w:p w14:paraId="528B36AB" w14:textId="1BDE9FB2" w:rsidR="00B01B2F" w:rsidRDefault="00E91749" w:rsidP="00E91749">
      <w:pPr>
        <w:pStyle w:val="ListParagraph"/>
        <w:ind w:left="0"/>
        <w:jc w:val="center"/>
        <w:rPr>
          <w:b/>
          <w:bCs/>
          <w:color w:val="000000" w:themeColor="text1"/>
          <w:sz w:val="44"/>
          <w:szCs w:val="44"/>
        </w:rPr>
      </w:pPr>
      <w:r w:rsidRPr="00E91749">
        <w:rPr>
          <w:b/>
          <w:bCs/>
          <w:color w:val="000000" w:themeColor="text1"/>
          <w:sz w:val="44"/>
          <w:szCs w:val="44"/>
        </w:rPr>
        <w:lastRenderedPageBreak/>
        <w:t>SESSION 6 :</w:t>
      </w:r>
      <w:r>
        <w:rPr>
          <w:b/>
          <w:bCs/>
          <w:color w:val="000000" w:themeColor="text1"/>
          <w:sz w:val="44"/>
          <w:szCs w:val="44"/>
        </w:rPr>
        <w:t xml:space="preserve"> PART </w:t>
      </w:r>
      <w:r w:rsidR="00902004">
        <w:rPr>
          <w:b/>
          <w:bCs/>
          <w:color w:val="000000" w:themeColor="text1"/>
          <w:sz w:val="44"/>
          <w:szCs w:val="44"/>
        </w:rPr>
        <w:t>2</w:t>
      </w:r>
    </w:p>
    <w:p w14:paraId="4751E411" w14:textId="40727563" w:rsidR="00902004" w:rsidRDefault="00902004" w:rsidP="00902004">
      <w:pPr>
        <w:jc w:val="center"/>
        <w:rPr>
          <w:b/>
          <w:bCs/>
          <w:color w:val="000000" w:themeColor="text1"/>
          <w:sz w:val="44"/>
          <w:szCs w:val="44"/>
        </w:rPr>
      </w:pPr>
      <w:r>
        <w:rPr>
          <w:b/>
          <w:bCs/>
          <w:color w:val="000000" w:themeColor="text1"/>
          <w:sz w:val="44"/>
          <w:szCs w:val="44"/>
        </w:rPr>
        <w:t>Initial discussion on the assignment</w:t>
      </w:r>
    </w:p>
    <w:p w14:paraId="31F57371" w14:textId="77777777" w:rsidR="00902004" w:rsidRPr="00902004" w:rsidRDefault="00902004" w:rsidP="00902004">
      <w:pPr>
        <w:jc w:val="center"/>
        <w:rPr>
          <w:rFonts w:ascii="Arial" w:hAnsi="Arial" w:cs="Arial"/>
          <w:sz w:val="28"/>
          <w:szCs w:val="28"/>
        </w:rPr>
      </w:pPr>
      <w:r w:rsidRPr="00902004">
        <w:rPr>
          <w:rFonts w:ascii="Arial" w:hAnsi="Arial" w:cs="Arial"/>
          <w:sz w:val="28"/>
          <w:szCs w:val="28"/>
        </w:rPr>
        <w:t>You are required to examine the current agenda of change in the merging of health and social care in Wales.</w:t>
      </w:r>
    </w:p>
    <w:p w14:paraId="194CBDAC" w14:textId="77777777" w:rsidR="00902004" w:rsidRPr="00902004" w:rsidRDefault="00902004" w:rsidP="00902004">
      <w:pPr>
        <w:jc w:val="center"/>
        <w:rPr>
          <w:rFonts w:ascii="Arial" w:hAnsi="Arial" w:cs="Arial"/>
          <w:i/>
          <w:sz w:val="28"/>
          <w:szCs w:val="28"/>
        </w:rPr>
      </w:pPr>
      <w:r w:rsidRPr="00902004">
        <w:rPr>
          <w:rFonts w:ascii="Arial" w:hAnsi="Arial" w:cs="Arial"/>
          <w:sz w:val="28"/>
          <w:szCs w:val="28"/>
        </w:rPr>
        <w:t>Write an essay that critiques the current agenda for change within the NHS and Health and Social care. Consideration needs to be given to the Bevan commission paper ‘</w:t>
      </w:r>
      <w:r w:rsidRPr="00902004">
        <w:rPr>
          <w:rFonts w:ascii="Arial" w:hAnsi="Arial" w:cs="Arial"/>
          <w:i/>
          <w:sz w:val="28"/>
          <w:szCs w:val="28"/>
        </w:rPr>
        <w:t>Simply Prudent Healthcare- achieving better care and value for money in Wales’.</w:t>
      </w:r>
    </w:p>
    <w:p w14:paraId="37DC52AB" w14:textId="77777777" w:rsidR="00902004" w:rsidRPr="00902004" w:rsidRDefault="00902004" w:rsidP="00902004">
      <w:pPr>
        <w:jc w:val="center"/>
        <w:rPr>
          <w:rFonts w:ascii="Arial" w:hAnsi="Arial" w:cs="Arial"/>
          <w:iCs/>
          <w:sz w:val="28"/>
          <w:szCs w:val="28"/>
        </w:rPr>
      </w:pPr>
      <w:r w:rsidRPr="00902004">
        <w:rPr>
          <w:rFonts w:ascii="Arial" w:hAnsi="Arial" w:cs="Arial"/>
          <w:iCs/>
          <w:sz w:val="28"/>
          <w:szCs w:val="28"/>
        </w:rPr>
        <w:t>Consideration needs to be given to the rapid changes made due to the current Covid-19 pandemic and what implications these had for the current and future role of the NHS and social care services.</w:t>
      </w:r>
    </w:p>
    <w:p w14:paraId="5D3B4D7B" w14:textId="5B1F077D" w:rsidR="00902004" w:rsidRPr="00902004" w:rsidRDefault="00902004" w:rsidP="00902004">
      <w:pPr>
        <w:jc w:val="center"/>
        <w:rPr>
          <w:rFonts w:ascii="Arial" w:hAnsi="Arial" w:cs="Arial"/>
          <w:sz w:val="28"/>
          <w:szCs w:val="28"/>
        </w:rPr>
      </w:pPr>
      <w:r w:rsidRPr="00902004">
        <w:rPr>
          <w:rFonts w:ascii="Arial" w:hAnsi="Arial" w:cs="Arial"/>
          <w:sz w:val="28"/>
          <w:szCs w:val="28"/>
        </w:rPr>
        <w:t>You need to consider areas such as the changing role of GP’s and of community services such as pharmacies, dentist, opticians etc.</w:t>
      </w:r>
    </w:p>
    <w:p w14:paraId="0CE93191" w14:textId="1CB60B42" w:rsidR="00902004" w:rsidRPr="00902004" w:rsidRDefault="00902004" w:rsidP="00902004">
      <w:pPr>
        <w:jc w:val="center"/>
        <w:rPr>
          <w:rFonts w:ascii="Arial" w:hAnsi="Arial" w:cs="Arial"/>
          <w:sz w:val="28"/>
          <w:szCs w:val="28"/>
        </w:rPr>
      </w:pPr>
      <w:r w:rsidRPr="00902004">
        <w:rPr>
          <w:rFonts w:ascii="Arial" w:hAnsi="Arial" w:cs="Arial"/>
          <w:sz w:val="28"/>
          <w:szCs w:val="28"/>
        </w:rPr>
        <w:t>The issue of lack of staff and implications for the NHS and service users.</w:t>
      </w:r>
    </w:p>
    <w:p w14:paraId="6C0DD148" w14:textId="77777777" w:rsidR="00902004" w:rsidRPr="00902004" w:rsidRDefault="00902004" w:rsidP="00902004">
      <w:pPr>
        <w:jc w:val="center"/>
        <w:rPr>
          <w:rFonts w:ascii="Arial" w:hAnsi="Arial" w:cs="Arial"/>
          <w:sz w:val="28"/>
          <w:szCs w:val="28"/>
        </w:rPr>
      </w:pPr>
      <w:r w:rsidRPr="00902004">
        <w:rPr>
          <w:rFonts w:ascii="Arial" w:hAnsi="Arial" w:cs="Arial"/>
          <w:sz w:val="28"/>
          <w:szCs w:val="28"/>
        </w:rPr>
        <w:t>Discuss the impacts and benefits the change in services has for service users, workers and organisations (testing capacity for Covid-19 could be considered).</w:t>
      </w:r>
    </w:p>
    <w:p w14:paraId="6FCDA509" w14:textId="1A403B02" w:rsidR="00902004" w:rsidRPr="00902004" w:rsidRDefault="00902004" w:rsidP="00902004">
      <w:pPr>
        <w:jc w:val="center"/>
        <w:rPr>
          <w:rFonts w:ascii="Arial" w:hAnsi="Arial" w:cs="Arial"/>
          <w:sz w:val="28"/>
          <w:szCs w:val="28"/>
        </w:rPr>
      </w:pPr>
      <w:r w:rsidRPr="00902004">
        <w:rPr>
          <w:rFonts w:ascii="Arial" w:hAnsi="Arial" w:cs="Arial"/>
          <w:sz w:val="28"/>
          <w:szCs w:val="28"/>
        </w:rPr>
        <w:t>Consider the role that the third sector have within the changes being made within the merging of health and social care within Wales.</w:t>
      </w:r>
    </w:p>
    <w:p w14:paraId="46B8F6F1" w14:textId="2D248229" w:rsidR="00902004" w:rsidRPr="00902004" w:rsidRDefault="00902004" w:rsidP="00902004">
      <w:pPr>
        <w:jc w:val="center"/>
        <w:rPr>
          <w:rFonts w:ascii="Arial" w:hAnsi="Arial" w:cs="Arial"/>
          <w:sz w:val="28"/>
          <w:szCs w:val="28"/>
        </w:rPr>
      </w:pPr>
      <w:r w:rsidRPr="00902004">
        <w:rPr>
          <w:rFonts w:ascii="Arial" w:hAnsi="Arial" w:cs="Arial"/>
          <w:sz w:val="28"/>
          <w:szCs w:val="28"/>
        </w:rPr>
        <w:t>Discuss how the changes affect service provision for one aspect of care within the community, discussing the role and importance of person- centred care.</w:t>
      </w:r>
    </w:p>
    <w:p w14:paraId="613B39EB" w14:textId="6CA22ED7" w:rsidR="00902004" w:rsidRPr="00902004" w:rsidRDefault="00902004" w:rsidP="00902004">
      <w:pPr>
        <w:jc w:val="center"/>
        <w:rPr>
          <w:rFonts w:ascii="Arial" w:hAnsi="Arial" w:cs="Arial"/>
          <w:sz w:val="28"/>
          <w:szCs w:val="28"/>
        </w:rPr>
      </w:pPr>
      <w:r w:rsidRPr="00902004">
        <w:rPr>
          <w:rFonts w:ascii="Arial" w:hAnsi="Arial" w:cs="Arial"/>
          <w:sz w:val="28"/>
          <w:szCs w:val="28"/>
        </w:rPr>
        <w:t>Wide and up to date reading needs to be undertaken as the government and NHS announce and make changes on an ongoing basis.</w:t>
      </w:r>
    </w:p>
    <w:p w14:paraId="3866179B" w14:textId="77777777" w:rsidR="00902004" w:rsidRPr="00902004" w:rsidRDefault="00902004" w:rsidP="00902004">
      <w:pPr>
        <w:jc w:val="center"/>
        <w:rPr>
          <w:rFonts w:ascii="Arial" w:hAnsi="Arial" w:cs="Arial"/>
          <w:sz w:val="28"/>
          <w:szCs w:val="28"/>
        </w:rPr>
      </w:pPr>
      <w:r w:rsidRPr="00902004">
        <w:rPr>
          <w:rFonts w:ascii="Arial" w:hAnsi="Arial" w:cs="Arial"/>
          <w:sz w:val="28"/>
          <w:szCs w:val="28"/>
        </w:rPr>
        <w:t>There is extensive additional reading provided on Moodle you also need to be keeping up to date with current changes.</w:t>
      </w:r>
    </w:p>
    <w:p w14:paraId="0D4D115F" w14:textId="422A2513" w:rsidR="00E91749" w:rsidRPr="00902004" w:rsidRDefault="00902004" w:rsidP="00902004">
      <w:pPr>
        <w:jc w:val="center"/>
        <w:rPr>
          <w:b/>
          <w:bCs/>
          <w:sz w:val="28"/>
          <w:szCs w:val="28"/>
        </w:rPr>
      </w:pPr>
      <w:r w:rsidRPr="00902004">
        <w:rPr>
          <w:rFonts w:ascii="Arial" w:hAnsi="Arial" w:cs="Arial"/>
          <w:sz w:val="28"/>
          <w:szCs w:val="28"/>
        </w:rPr>
        <w:t>You are able to set your own direction for this piece of work but ensure that it is both analytical and evaluative throughout.</w:t>
      </w:r>
    </w:p>
    <w:sectPr w:rsidR="00E91749" w:rsidRPr="009020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260"/>
    <w:rsid w:val="00094530"/>
    <w:rsid w:val="001A7098"/>
    <w:rsid w:val="00371061"/>
    <w:rsid w:val="004250CA"/>
    <w:rsid w:val="005E7C7B"/>
    <w:rsid w:val="006F0260"/>
    <w:rsid w:val="0071693C"/>
    <w:rsid w:val="0074163C"/>
    <w:rsid w:val="00902004"/>
    <w:rsid w:val="009979B1"/>
    <w:rsid w:val="00A825AF"/>
    <w:rsid w:val="00B01B2F"/>
    <w:rsid w:val="00B260E0"/>
    <w:rsid w:val="00B4356A"/>
    <w:rsid w:val="00B72624"/>
    <w:rsid w:val="00CB1037"/>
    <w:rsid w:val="00E37A79"/>
    <w:rsid w:val="00E74D1C"/>
    <w:rsid w:val="00E91749"/>
    <w:rsid w:val="00F92F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140B3"/>
  <w15:chartTrackingRefBased/>
  <w15:docId w15:val="{68C7F37C-F0E1-4E0E-BB6B-241013C2C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624"/>
    <w:pPr>
      <w:spacing w:after="200" w:line="276" w:lineRule="auto"/>
      <w:ind w:left="720"/>
      <w:contextualSpacing/>
    </w:pPr>
    <w:rPr>
      <w:rFonts w:ascii="Calibri" w:eastAsia="Times New Roman" w:hAnsi="Calibri" w:cs="Cordia New"/>
      <w:szCs w:val="28"/>
      <w:lang w:bidi="th-T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425097">
      <w:bodyDiv w:val="1"/>
      <w:marLeft w:val="0"/>
      <w:marRight w:val="0"/>
      <w:marTop w:val="0"/>
      <w:marBottom w:val="0"/>
      <w:divBdr>
        <w:top w:val="none" w:sz="0" w:space="0" w:color="auto"/>
        <w:left w:val="none" w:sz="0" w:space="0" w:color="auto"/>
        <w:bottom w:val="none" w:sz="0" w:space="0" w:color="auto"/>
        <w:right w:val="none" w:sz="0" w:space="0" w:color="auto"/>
      </w:divBdr>
    </w:div>
    <w:div w:id="112578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556</Words>
  <Characters>3172</Characters>
  <Application>Microsoft Office Word</Application>
  <DocSecurity>4</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Morgan (Hywel Dda Health Board - Strategic Partnerships Manager)</dc:creator>
  <cp:keywords/>
  <dc:description/>
  <cp:lastModifiedBy>Donna Morgan</cp:lastModifiedBy>
  <cp:revision>2</cp:revision>
  <dcterms:created xsi:type="dcterms:W3CDTF">2021-11-08T14:55:00Z</dcterms:created>
  <dcterms:modified xsi:type="dcterms:W3CDTF">2021-11-08T14:55:00Z</dcterms:modified>
</cp:coreProperties>
</file>