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8F6E26" w14:textId="77777777" w:rsidR="00D21080" w:rsidRPr="00D21080" w:rsidRDefault="00D21080" w:rsidP="00D21080">
      <w:pPr>
        <w:rPr>
          <w:rFonts w:ascii="Arial" w:hAnsi="Arial" w:cs="Arial"/>
          <w:sz w:val="24"/>
          <w:szCs w:val="24"/>
        </w:rPr>
      </w:pPr>
      <w:r w:rsidRPr="00D21080">
        <w:rPr>
          <w:rFonts w:ascii="Arial" w:hAnsi="Arial" w:cs="Arial"/>
          <w:sz w:val="24"/>
          <w:szCs w:val="24"/>
        </w:rPr>
        <w:t>Student Number: 2246067</w:t>
      </w:r>
    </w:p>
    <w:p w14:paraId="4B817D13" w14:textId="77777777" w:rsidR="00D21080" w:rsidRPr="00D21080" w:rsidRDefault="00D21080" w:rsidP="00D21080">
      <w:pPr>
        <w:rPr>
          <w:rFonts w:ascii="Arial" w:hAnsi="Arial" w:cs="Arial"/>
          <w:sz w:val="24"/>
          <w:szCs w:val="24"/>
        </w:rPr>
      </w:pPr>
      <w:r w:rsidRPr="00D21080">
        <w:rPr>
          <w:rFonts w:ascii="Arial" w:hAnsi="Arial" w:cs="Arial"/>
          <w:sz w:val="24"/>
          <w:szCs w:val="24"/>
        </w:rPr>
        <w:t>Student name: Emma-Marie Linton</w:t>
      </w:r>
    </w:p>
    <w:p w14:paraId="41A81081" w14:textId="77777777" w:rsidR="00D21080" w:rsidRPr="00D21080" w:rsidRDefault="00D21080" w:rsidP="00D21080">
      <w:pPr>
        <w:rPr>
          <w:rFonts w:ascii="Arial" w:hAnsi="Arial" w:cs="Arial"/>
          <w:sz w:val="24"/>
          <w:szCs w:val="24"/>
        </w:rPr>
      </w:pPr>
    </w:p>
    <w:p w14:paraId="678DED18" w14:textId="77777777" w:rsidR="00D21080" w:rsidRPr="00D21080" w:rsidRDefault="00D21080" w:rsidP="00D21080">
      <w:pPr>
        <w:rPr>
          <w:rFonts w:ascii="Arial" w:hAnsi="Arial" w:cs="Arial"/>
          <w:sz w:val="24"/>
          <w:szCs w:val="24"/>
        </w:rPr>
      </w:pPr>
    </w:p>
    <w:p w14:paraId="4ACD8F74" w14:textId="77777777" w:rsidR="00D21080" w:rsidRPr="00D21080" w:rsidRDefault="00D21080" w:rsidP="00D21080">
      <w:pPr>
        <w:rPr>
          <w:rFonts w:ascii="Arial" w:hAnsi="Arial" w:cs="Arial"/>
          <w:sz w:val="24"/>
          <w:szCs w:val="24"/>
        </w:rPr>
      </w:pPr>
      <w:r w:rsidRPr="00D21080">
        <w:rPr>
          <w:rFonts w:ascii="Arial" w:hAnsi="Arial" w:cs="Arial"/>
          <w:sz w:val="24"/>
          <w:szCs w:val="24"/>
        </w:rPr>
        <w:t xml:space="preserve">Literature Review: </w:t>
      </w:r>
    </w:p>
    <w:p w14:paraId="4B0537E5" w14:textId="77777777" w:rsidR="00D21080" w:rsidRPr="00D21080" w:rsidRDefault="00D21080" w:rsidP="00D21080">
      <w:pPr>
        <w:rPr>
          <w:rFonts w:ascii="Arial" w:hAnsi="Arial" w:cs="Arial"/>
          <w:sz w:val="24"/>
          <w:szCs w:val="24"/>
        </w:rPr>
      </w:pPr>
    </w:p>
    <w:p w14:paraId="223E3578" w14:textId="77777777" w:rsidR="00D21080" w:rsidRPr="00D21080" w:rsidRDefault="00D21080" w:rsidP="00D21080">
      <w:pPr>
        <w:rPr>
          <w:rFonts w:ascii="Arial" w:hAnsi="Arial" w:cs="Arial"/>
          <w:sz w:val="24"/>
          <w:szCs w:val="24"/>
        </w:rPr>
      </w:pPr>
    </w:p>
    <w:p w14:paraId="243EFEB3" w14:textId="4795F7F0" w:rsidR="001E7E37" w:rsidRPr="00D21080" w:rsidRDefault="00D21080" w:rsidP="00D21080">
      <w:pPr>
        <w:rPr>
          <w:rFonts w:ascii="Arial" w:hAnsi="Arial" w:cs="Arial"/>
          <w:b/>
          <w:bCs/>
          <w:sz w:val="24"/>
          <w:szCs w:val="24"/>
          <w:u w:val="single"/>
        </w:rPr>
      </w:pPr>
      <w:r w:rsidRPr="00D21080">
        <w:rPr>
          <w:rFonts w:ascii="Arial" w:hAnsi="Arial" w:cs="Arial"/>
          <w:b/>
          <w:bCs/>
          <w:sz w:val="24"/>
          <w:szCs w:val="24"/>
          <w:u w:val="single"/>
        </w:rPr>
        <w:t>Do Children from Abusive Homes or with Criminal Parents End Up in the Criminal Justice System?</w:t>
      </w:r>
    </w:p>
    <w:p w14:paraId="6F1AC386" w14:textId="77777777" w:rsidR="00D21080" w:rsidRPr="00D21080" w:rsidRDefault="00D21080" w:rsidP="00D21080">
      <w:pPr>
        <w:rPr>
          <w:rFonts w:ascii="Arial" w:hAnsi="Arial" w:cs="Arial"/>
          <w:sz w:val="24"/>
          <w:szCs w:val="24"/>
        </w:rPr>
      </w:pPr>
    </w:p>
    <w:p w14:paraId="4AEB7850" w14:textId="0D9D624E" w:rsidR="00D21080" w:rsidRPr="00D21080" w:rsidRDefault="00D21080" w:rsidP="00D21080">
      <w:pPr>
        <w:rPr>
          <w:rFonts w:ascii="Arial" w:eastAsia="Times New Roman" w:hAnsi="Arial" w:cs="Arial"/>
          <w:sz w:val="24"/>
          <w:szCs w:val="24"/>
        </w:rPr>
      </w:pPr>
      <w:r w:rsidRPr="00D21080">
        <w:rPr>
          <w:rFonts w:ascii="Arial" w:eastAsia="Times New Roman" w:hAnsi="Arial" w:cs="Arial"/>
          <w:sz w:val="24"/>
          <w:szCs w:val="24"/>
        </w:rPr>
        <w:t>Introduction</w:t>
      </w:r>
    </w:p>
    <w:p w14:paraId="46735F8B" w14:textId="408479B7" w:rsidR="00D21080" w:rsidRPr="00D21080" w:rsidRDefault="00D21080" w:rsidP="00D21080">
      <w:pPr>
        <w:rPr>
          <w:rFonts w:ascii="Arial" w:eastAsia="Times New Roman" w:hAnsi="Arial" w:cs="Arial"/>
          <w:sz w:val="24"/>
          <w:szCs w:val="24"/>
        </w:rPr>
      </w:pPr>
      <w:r w:rsidRPr="00D21080">
        <w:rPr>
          <w:rFonts w:ascii="Arial" w:eastAsia="Times New Roman" w:hAnsi="Arial" w:cs="Arial"/>
          <w:sz w:val="24"/>
          <w:szCs w:val="24"/>
        </w:rPr>
        <w:t>The relationship between adverse childhood experiences (ACEs) and future interactions with the criminal justice system has been a central focus of research in criminology, psychology, and social work. Children who grow up in abusive households or have parents involved in criminal activities face significantly elevated risks of engaging in delinquent behaviour, substance use, school dropout, and incarceration. This literature review synthesizes findings from seminal and contemporary studies to explore the degree to which childhood abuse and parental criminality contribute to justice system involvement and what mediating or moderating factors might influence this trajectory.</w:t>
      </w:r>
    </w:p>
    <w:p w14:paraId="5325201A" w14:textId="77777777" w:rsidR="00D21080" w:rsidRPr="00D21080" w:rsidRDefault="00D21080" w:rsidP="00D21080">
      <w:pPr>
        <w:rPr>
          <w:rFonts w:ascii="Arial" w:eastAsia="Times New Roman" w:hAnsi="Arial" w:cs="Arial"/>
          <w:sz w:val="24"/>
          <w:szCs w:val="24"/>
        </w:rPr>
      </w:pPr>
    </w:p>
    <w:p w14:paraId="524D5FA8" w14:textId="77777777" w:rsidR="00D21080" w:rsidRPr="00D21080" w:rsidRDefault="00D21080" w:rsidP="00D21080">
      <w:pPr>
        <w:rPr>
          <w:rFonts w:ascii="Arial" w:eastAsia="Times New Roman" w:hAnsi="Arial" w:cs="Arial"/>
          <w:sz w:val="24"/>
          <w:szCs w:val="24"/>
        </w:rPr>
      </w:pPr>
      <w:r w:rsidRPr="00D21080">
        <w:rPr>
          <w:rFonts w:ascii="Arial" w:eastAsia="Times New Roman" w:hAnsi="Arial" w:cs="Arial"/>
          <w:sz w:val="24"/>
          <w:szCs w:val="24"/>
        </w:rPr>
        <w:t>Understanding these correlations is critical for designing preventive interventions, informing policy decisions, and disrupting cycles of intergenerational trauma and incarceration. While it is important to emphasize that not all children exposed to adversity will follow a path to crime, the literature strongly suggests a disproportionately higher risk in these populations.</w:t>
      </w:r>
    </w:p>
    <w:p w14:paraId="7D5BA48B" w14:textId="77777777" w:rsidR="00D21080" w:rsidRPr="00D21080" w:rsidRDefault="00D21080" w:rsidP="00D21080">
      <w:pPr>
        <w:rPr>
          <w:rFonts w:ascii="Arial" w:eastAsia="Times New Roman" w:hAnsi="Arial" w:cs="Arial"/>
          <w:sz w:val="24"/>
          <w:szCs w:val="24"/>
        </w:rPr>
      </w:pPr>
    </w:p>
    <w:p w14:paraId="3FC453A5" w14:textId="77777777" w:rsidR="00D21080" w:rsidRPr="00D21080" w:rsidRDefault="00D21080" w:rsidP="00D21080">
      <w:pPr>
        <w:rPr>
          <w:rFonts w:ascii="Arial" w:eastAsia="Times New Roman" w:hAnsi="Arial" w:cs="Arial"/>
          <w:sz w:val="24"/>
          <w:szCs w:val="24"/>
        </w:rPr>
      </w:pPr>
      <w:r w:rsidRPr="00D21080">
        <w:rPr>
          <w:rFonts w:ascii="Arial" w:eastAsia="Times New Roman" w:hAnsi="Arial" w:cs="Arial"/>
          <w:sz w:val="24"/>
          <w:szCs w:val="24"/>
        </w:rPr>
        <w:t>2. Theoretical Frameworks</w:t>
      </w:r>
    </w:p>
    <w:p w14:paraId="69C9B130" w14:textId="28BBBFA8" w:rsidR="00D21080" w:rsidRPr="00D21080" w:rsidRDefault="00D21080" w:rsidP="00D21080">
      <w:pPr>
        <w:rPr>
          <w:rFonts w:ascii="Arial" w:eastAsia="Times New Roman" w:hAnsi="Arial" w:cs="Arial"/>
          <w:sz w:val="24"/>
          <w:szCs w:val="24"/>
        </w:rPr>
      </w:pPr>
      <w:r w:rsidRPr="00D21080">
        <w:rPr>
          <w:rFonts w:ascii="Arial" w:eastAsia="Times New Roman" w:hAnsi="Arial" w:cs="Arial"/>
          <w:sz w:val="24"/>
          <w:szCs w:val="24"/>
        </w:rPr>
        <w:t>Several well-established theories provide conceptual frameworks for understanding how early familial environments can shape future behaviours:</w:t>
      </w:r>
    </w:p>
    <w:p w14:paraId="799F6CE1" w14:textId="77777777" w:rsidR="00D21080" w:rsidRPr="00D21080" w:rsidRDefault="00D21080" w:rsidP="00D21080">
      <w:pPr>
        <w:rPr>
          <w:rFonts w:ascii="Arial" w:eastAsia="Times New Roman" w:hAnsi="Arial" w:cs="Arial"/>
          <w:sz w:val="24"/>
          <w:szCs w:val="24"/>
        </w:rPr>
      </w:pPr>
    </w:p>
    <w:p w14:paraId="7420E9E6" w14:textId="77777777" w:rsidR="00D21080" w:rsidRPr="00D21080" w:rsidRDefault="00D21080" w:rsidP="00D21080">
      <w:pPr>
        <w:rPr>
          <w:rFonts w:ascii="Arial" w:eastAsia="Times New Roman" w:hAnsi="Arial" w:cs="Arial"/>
          <w:sz w:val="24"/>
          <w:szCs w:val="24"/>
        </w:rPr>
      </w:pPr>
      <w:r w:rsidRPr="00D21080">
        <w:rPr>
          <w:rFonts w:ascii="Arial" w:eastAsia="Times New Roman" w:hAnsi="Arial" w:cs="Arial"/>
          <w:sz w:val="24"/>
          <w:szCs w:val="24"/>
        </w:rPr>
        <w:t>2.1 Social Learning Theory (Bandura, 1977)</w:t>
      </w:r>
    </w:p>
    <w:p w14:paraId="2DBA07A1" w14:textId="7ED899C1" w:rsidR="00D21080" w:rsidRPr="00D21080" w:rsidRDefault="00D21080" w:rsidP="00D21080">
      <w:pPr>
        <w:rPr>
          <w:rFonts w:ascii="Arial" w:eastAsia="Times New Roman" w:hAnsi="Arial" w:cs="Arial"/>
          <w:sz w:val="24"/>
          <w:szCs w:val="24"/>
        </w:rPr>
      </w:pPr>
      <w:r w:rsidRPr="00D21080">
        <w:rPr>
          <w:rFonts w:ascii="Arial" w:eastAsia="Times New Roman" w:hAnsi="Arial" w:cs="Arial"/>
          <w:sz w:val="24"/>
          <w:szCs w:val="24"/>
        </w:rPr>
        <w:t>This theory posits that individuals learn behaviours by observing others, particularly those they perceive as role models. In households where criminal or violent behaviour is normalized by parents, children may adopt these behaviours as acceptable ways to navigate conflict, frustration, or power dynamics.</w:t>
      </w:r>
    </w:p>
    <w:p w14:paraId="54C374B1" w14:textId="77777777" w:rsidR="00D21080" w:rsidRPr="00D21080" w:rsidRDefault="00D21080" w:rsidP="00D21080">
      <w:pPr>
        <w:rPr>
          <w:rFonts w:ascii="Arial" w:eastAsia="Times New Roman" w:hAnsi="Arial" w:cs="Arial"/>
          <w:sz w:val="24"/>
          <w:szCs w:val="24"/>
        </w:rPr>
      </w:pPr>
    </w:p>
    <w:p w14:paraId="696095E5" w14:textId="77777777" w:rsidR="00D21080" w:rsidRPr="00D21080" w:rsidRDefault="00D21080" w:rsidP="00D21080">
      <w:pPr>
        <w:rPr>
          <w:rFonts w:ascii="Arial" w:eastAsia="Times New Roman" w:hAnsi="Arial" w:cs="Arial"/>
          <w:sz w:val="24"/>
          <w:szCs w:val="24"/>
        </w:rPr>
      </w:pPr>
      <w:r w:rsidRPr="00D21080">
        <w:rPr>
          <w:rFonts w:ascii="Arial" w:eastAsia="Times New Roman" w:hAnsi="Arial" w:cs="Arial"/>
          <w:sz w:val="24"/>
          <w:szCs w:val="24"/>
        </w:rPr>
        <w:t>2.2 Strain Theory (Agnew, 1992)</w:t>
      </w:r>
    </w:p>
    <w:p w14:paraId="39636C1A" w14:textId="77777777" w:rsidR="00D21080" w:rsidRPr="00D21080" w:rsidRDefault="00D21080" w:rsidP="00D21080">
      <w:pPr>
        <w:rPr>
          <w:rFonts w:ascii="Arial" w:eastAsia="Times New Roman" w:hAnsi="Arial" w:cs="Arial"/>
          <w:sz w:val="24"/>
          <w:szCs w:val="24"/>
        </w:rPr>
      </w:pPr>
      <w:r w:rsidRPr="00D21080">
        <w:rPr>
          <w:rFonts w:ascii="Arial" w:eastAsia="Times New Roman" w:hAnsi="Arial" w:cs="Arial"/>
          <w:sz w:val="24"/>
          <w:szCs w:val="24"/>
        </w:rPr>
        <w:t>Agnew extended traditional strain theory by suggesting that negative emotional states resulting from abuse, neglect, or social disadvantage can create pressure that leads individuals to deviate from norms. For children in abusive homes, crime can become a maladaptive coping mechanism in response to chronic stress and trauma.</w:t>
      </w:r>
    </w:p>
    <w:p w14:paraId="3636E93A" w14:textId="77777777" w:rsidR="00D21080" w:rsidRPr="00D21080" w:rsidRDefault="00D21080" w:rsidP="00D21080">
      <w:pPr>
        <w:rPr>
          <w:rFonts w:ascii="Arial" w:eastAsia="Times New Roman" w:hAnsi="Arial" w:cs="Arial"/>
          <w:sz w:val="24"/>
          <w:szCs w:val="24"/>
        </w:rPr>
      </w:pPr>
    </w:p>
    <w:p w14:paraId="739E305B" w14:textId="77777777" w:rsidR="00D21080" w:rsidRPr="00D21080" w:rsidRDefault="00D21080" w:rsidP="00D21080">
      <w:pPr>
        <w:rPr>
          <w:rFonts w:ascii="Arial" w:eastAsia="Times New Roman" w:hAnsi="Arial" w:cs="Arial"/>
          <w:sz w:val="24"/>
          <w:szCs w:val="24"/>
        </w:rPr>
      </w:pPr>
      <w:r w:rsidRPr="00D21080">
        <w:rPr>
          <w:rFonts w:ascii="Arial" w:eastAsia="Times New Roman" w:hAnsi="Arial" w:cs="Arial"/>
          <w:sz w:val="24"/>
          <w:szCs w:val="24"/>
        </w:rPr>
        <w:t>2.3 Attachment Theory (Bowlby, 1969)</w:t>
      </w:r>
    </w:p>
    <w:p w14:paraId="16B20E8B" w14:textId="2440C8A2" w:rsidR="00D21080" w:rsidRPr="00D21080" w:rsidRDefault="00D21080" w:rsidP="00D21080">
      <w:pPr>
        <w:rPr>
          <w:rFonts w:ascii="Arial" w:eastAsia="Times New Roman" w:hAnsi="Arial" w:cs="Arial"/>
          <w:sz w:val="24"/>
          <w:szCs w:val="24"/>
        </w:rPr>
      </w:pPr>
      <w:r w:rsidRPr="00D21080">
        <w:rPr>
          <w:rFonts w:ascii="Arial" w:eastAsia="Times New Roman" w:hAnsi="Arial" w:cs="Arial"/>
          <w:sz w:val="24"/>
          <w:szCs w:val="24"/>
        </w:rPr>
        <w:t>Children who experience inconsistent, neglectful, or abusive caregiving may fail to develop secure emotional attachments, impairing their ability to form healthy relationships or regulate emotions. These deficits are frequently observed in juveniles with a history of violent or impulsive behaviour.</w:t>
      </w:r>
    </w:p>
    <w:p w14:paraId="47E4AB29" w14:textId="77777777" w:rsidR="00D21080" w:rsidRPr="00D21080" w:rsidRDefault="00D21080" w:rsidP="00D21080">
      <w:pPr>
        <w:rPr>
          <w:rFonts w:ascii="Arial" w:eastAsia="Times New Roman" w:hAnsi="Arial" w:cs="Arial"/>
          <w:sz w:val="24"/>
          <w:szCs w:val="24"/>
        </w:rPr>
      </w:pPr>
    </w:p>
    <w:p w14:paraId="2A87145F" w14:textId="77777777" w:rsidR="00D21080" w:rsidRPr="00D21080" w:rsidRDefault="00D21080" w:rsidP="00D21080">
      <w:pPr>
        <w:rPr>
          <w:rFonts w:ascii="Arial" w:eastAsia="Times New Roman" w:hAnsi="Arial" w:cs="Arial"/>
          <w:sz w:val="24"/>
          <w:szCs w:val="24"/>
        </w:rPr>
      </w:pPr>
      <w:r w:rsidRPr="00D21080">
        <w:rPr>
          <w:rFonts w:ascii="Arial" w:eastAsia="Times New Roman" w:hAnsi="Arial" w:cs="Arial"/>
          <w:sz w:val="24"/>
          <w:szCs w:val="24"/>
        </w:rPr>
        <w:t>2.4 The Cycle of Violence Hypothesis (Widom, 1989)</w:t>
      </w:r>
    </w:p>
    <w:p w14:paraId="1B253723" w14:textId="77777777" w:rsidR="00D21080" w:rsidRPr="00D21080" w:rsidRDefault="00D21080" w:rsidP="00D21080">
      <w:pPr>
        <w:rPr>
          <w:rFonts w:ascii="Arial" w:eastAsia="Times New Roman" w:hAnsi="Arial" w:cs="Arial"/>
          <w:sz w:val="24"/>
          <w:szCs w:val="24"/>
        </w:rPr>
      </w:pPr>
      <w:r w:rsidRPr="00D21080">
        <w:rPr>
          <w:rFonts w:ascii="Arial" w:eastAsia="Times New Roman" w:hAnsi="Arial" w:cs="Arial"/>
          <w:sz w:val="24"/>
          <w:szCs w:val="24"/>
        </w:rPr>
        <w:t>Widom’s hypothesis contends that individuals who are abused or neglected as children are at significantly increased risk of becoming perpetrators of violence in adolescence or adulthood. Her empirical research, among others, supports this cyclical model of victimization and offending.</w:t>
      </w:r>
    </w:p>
    <w:p w14:paraId="7DC0FD26" w14:textId="77777777" w:rsidR="00D21080" w:rsidRPr="00D21080" w:rsidRDefault="00D21080" w:rsidP="00D21080">
      <w:pPr>
        <w:rPr>
          <w:rFonts w:ascii="Arial" w:eastAsia="Times New Roman" w:hAnsi="Arial" w:cs="Arial"/>
          <w:sz w:val="24"/>
          <w:szCs w:val="24"/>
        </w:rPr>
      </w:pPr>
    </w:p>
    <w:p w14:paraId="6FBC86EC" w14:textId="77777777" w:rsidR="00D21080" w:rsidRPr="00D21080" w:rsidRDefault="00D21080" w:rsidP="00D21080">
      <w:pPr>
        <w:rPr>
          <w:rFonts w:ascii="Arial" w:eastAsia="Times New Roman" w:hAnsi="Arial" w:cs="Arial"/>
          <w:sz w:val="24"/>
          <w:szCs w:val="24"/>
        </w:rPr>
      </w:pPr>
      <w:r w:rsidRPr="00D21080">
        <w:rPr>
          <w:rFonts w:ascii="Arial" w:eastAsia="Times New Roman" w:hAnsi="Arial" w:cs="Arial"/>
          <w:sz w:val="24"/>
          <w:szCs w:val="24"/>
        </w:rPr>
        <w:t>3. Empirical Evidence: Childhood Abuse and Criminal Justice Involvement</w:t>
      </w:r>
    </w:p>
    <w:p w14:paraId="2E911022" w14:textId="1FBBB7F0" w:rsidR="00D21080" w:rsidRPr="00D21080" w:rsidRDefault="00D21080" w:rsidP="00D21080">
      <w:pPr>
        <w:rPr>
          <w:rFonts w:ascii="Arial" w:eastAsia="Times New Roman" w:hAnsi="Arial" w:cs="Arial"/>
          <w:sz w:val="24"/>
          <w:szCs w:val="24"/>
        </w:rPr>
      </w:pPr>
      <w:r w:rsidRPr="00D21080">
        <w:rPr>
          <w:rFonts w:ascii="Arial" w:eastAsia="Times New Roman" w:hAnsi="Arial" w:cs="Arial"/>
          <w:sz w:val="24"/>
          <w:szCs w:val="24"/>
        </w:rPr>
        <w:t>Research over the past four decades has provided consistent and compelling evidence that child abuse and neglect significantly increase the likelihood of later criminal behaviour:</w:t>
      </w:r>
    </w:p>
    <w:p w14:paraId="0E24C0B2" w14:textId="77777777" w:rsidR="00D21080" w:rsidRPr="00D21080" w:rsidRDefault="00D21080" w:rsidP="00D21080">
      <w:pPr>
        <w:rPr>
          <w:rFonts w:ascii="Arial" w:eastAsia="Times New Roman" w:hAnsi="Arial" w:cs="Arial"/>
          <w:sz w:val="24"/>
          <w:szCs w:val="24"/>
        </w:rPr>
      </w:pPr>
    </w:p>
    <w:p w14:paraId="3301260F" w14:textId="77777777" w:rsidR="00D21080" w:rsidRPr="00D21080" w:rsidRDefault="00D21080" w:rsidP="00D21080">
      <w:pPr>
        <w:rPr>
          <w:rFonts w:ascii="Arial" w:eastAsia="Times New Roman" w:hAnsi="Arial" w:cs="Arial"/>
          <w:sz w:val="24"/>
          <w:szCs w:val="24"/>
        </w:rPr>
      </w:pPr>
      <w:r w:rsidRPr="00D21080">
        <w:rPr>
          <w:rFonts w:ascii="Arial" w:eastAsia="Times New Roman" w:hAnsi="Arial" w:cs="Arial"/>
          <w:sz w:val="24"/>
          <w:szCs w:val="24"/>
        </w:rPr>
        <w:t>Widom (1989) used a matched control design to compare abused and non-abused children and found that abuse victims were 38% more likely to be arrested as juveniles and 53% more likely to be arrested as adults.</w:t>
      </w:r>
    </w:p>
    <w:p w14:paraId="4E1DEC88" w14:textId="77777777" w:rsidR="00D21080" w:rsidRPr="00D21080" w:rsidRDefault="00D21080" w:rsidP="00D21080">
      <w:pPr>
        <w:rPr>
          <w:rFonts w:ascii="Arial" w:eastAsia="Times New Roman" w:hAnsi="Arial" w:cs="Arial"/>
          <w:sz w:val="24"/>
          <w:szCs w:val="24"/>
        </w:rPr>
      </w:pPr>
    </w:p>
    <w:p w14:paraId="6D080A80" w14:textId="77777777" w:rsidR="00D21080" w:rsidRPr="00D21080" w:rsidRDefault="00D21080" w:rsidP="00D21080">
      <w:pPr>
        <w:rPr>
          <w:rFonts w:ascii="Arial" w:eastAsia="Times New Roman" w:hAnsi="Arial" w:cs="Arial"/>
          <w:sz w:val="24"/>
          <w:szCs w:val="24"/>
        </w:rPr>
      </w:pPr>
      <w:r w:rsidRPr="00D21080">
        <w:rPr>
          <w:rFonts w:ascii="Arial" w:eastAsia="Times New Roman" w:hAnsi="Arial" w:cs="Arial"/>
          <w:sz w:val="24"/>
          <w:szCs w:val="24"/>
        </w:rPr>
        <w:t>Currie &amp; Tekin (2012) found that children who experience physical or emotional abuse are significantly more likely to engage in violent crimes later in life. The researchers linked abuse to poor impulse control, mental health problems, and substance use—all predictors of criminality.</w:t>
      </w:r>
    </w:p>
    <w:p w14:paraId="6887BC52" w14:textId="77777777" w:rsidR="00D21080" w:rsidRPr="00D21080" w:rsidRDefault="00D21080" w:rsidP="00D21080">
      <w:pPr>
        <w:rPr>
          <w:rFonts w:ascii="Arial" w:eastAsia="Times New Roman" w:hAnsi="Arial" w:cs="Arial"/>
          <w:sz w:val="24"/>
          <w:szCs w:val="24"/>
        </w:rPr>
      </w:pPr>
    </w:p>
    <w:p w14:paraId="3A507E51" w14:textId="77777777" w:rsidR="00D21080" w:rsidRPr="00D21080" w:rsidRDefault="00D21080" w:rsidP="00D21080">
      <w:pPr>
        <w:rPr>
          <w:rFonts w:ascii="Arial" w:eastAsia="Times New Roman" w:hAnsi="Arial" w:cs="Arial"/>
          <w:sz w:val="24"/>
          <w:szCs w:val="24"/>
        </w:rPr>
      </w:pPr>
      <w:r w:rsidRPr="00D21080">
        <w:rPr>
          <w:rFonts w:ascii="Arial" w:eastAsia="Times New Roman" w:hAnsi="Arial" w:cs="Arial"/>
          <w:sz w:val="24"/>
          <w:szCs w:val="24"/>
        </w:rPr>
        <w:t>Mersky, Topitzes, &amp; Reynolds (2012) used longitudinal data to show that childhood maltreatment predicts juvenile arrest, adult criminal convictions, and incarceration, with effects lasting well into adulthood.</w:t>
      </w:r>
    </w:p>
    <w:p w14:paraId="3D0AABD0" w14:textId="77777777" w:rsidR="00D21080" w:rsidRPr="00D21080" w:rsidRDefault="00D21080" w:rsidP="00D21080">
      <w:pPr>
        <w:rPr>
          <w:rFonts w:ascii="Arial" w:eastAsia="Times New Roman" w:hAnsi="Arial" w:cs="Arial"/>
          <w:sz w:val="24"/>
          <w:szCs w:val="24"/>
        </w:rPr>
      </w:pPr>
    </w:p>
    <w:p w14:paraId="5D6E21DA" w14:textId="77777777" w:rsidR="00D21080" w:rsidRPr="00D21080" w:rsidRDefault="00D21080" w:rsidP="00D21080">
      <w:pPr>
        <w:rPr>
          <w:rFonts w:ascii="Arial" w:eastAsia="Times New Roman" w:hAnsi="Arial" w:cs="Arial"/>
          <w:sz w:val="24"/>
          <w:szCs w:val="24"/>
        </w:rPr>
      </w:pPr>
      <w:r w:rsidRPr="00D21080">
        <w:rPr>
          <w:rFonts w:ascii="Arial" w:eastAsia="Times New Roman" w:hAnsi="Arial" w:cs="Arial"/>
          <w:sz w:val="24"/>
          <w:szCs w:val="24"/>
        </w:rPr>
        <w:lastRenderedPageBreak/>
        <w:t>Childhood trauma and neglect have also been associated with increased risk of school expulsion, poor academic achievement, and youth homelessness, all of which are risk factors for later justice involvement (Sedlak et al., 2010).</w:t>
      </w:r>
    </w:p>
    <w:p w14:paraId="6515997C" w14:textId="77777777" w:rsidR="00D21080" w:rsidRPr="00D21080" w:rsidRDefault="00D21080" w:rsidP="00D21080">
      <w:pPr>
        <w:rPr>
          <w:rFonts w:ascii="Arial" w:eastAsia="Times New Roman" w:hAnsi="Arial" w:cs="Arial"/>
          <w:sz w:val="24"/>
          <w:szCs w:val="24"/>
        </w:rPr>
      </w:pPr>
    </w:p>
    <w:p w14:paraId="08AE1C77" w14:textId="77777777" w:rsidR="00D21080" w:rsidRPr="00D21080" w:rsidRDefault="00D21080" w:rsidP="00D21080">
      <w:pPr>
        <w:rPr>
          <w:rFonts w:ascii="Arial" w:eastAsia="Times New Roman" w:hAnsi="Arial" w:cs="Arial"/>
          <w:sz w:val="24"/>
          <w:szCs w:val="24"/>
        </w:rPr>
      </w:pPr>
      <w:r w:rsidRPr="00D21080">
        <w:rPr>
          <w:rFonts w:ascii="Arial" w:eastAsia="Times New Roman" w:hAnsi="Arial" w:cs="Arial"/>
          <w:sz w:val="24"/>
          <w:szCs w:val="24"/>
        </w:rPr>
        <w:t>4. The Role of Parental Criminality</w:t>
      </w:r>
    </w:p>
    <w:p w14:paraId="1A86C2B8" w14:textId="77777777" w:rsidR="00D21080" w:rsidRPr="00D21080" w:rsidRDefault="00D21080" w:rsidP="00D21080">
      <w:pPr>
        <w:rPr>
          <w:rFonts w:ascii="Arial" w:eastAsia="Times New Roman" w:hAnsi="Arial" w:cs="Arial"/>
          <w:sz w:val="24"/>
          <w:szCs w:val="24"/>
        </w:rPr>
      </w:pPr>
      <w:r w:rsidRPr="00D21080">
        <w:rPr>
          <w:rFonts w:ascii="Arial" w:eastAsia="Times New Roman" w:hAnsi="Arial" w:cs="Arial"/>
          <w:sz w:val="24"/>
          <w:szCs w:val="24"/>
        </w:rPr>
        <w:t>Children of incarcerated or criminal parents face compounded adversity due to disrupted family dynamics, social stigma, and economic instability.</w:t>
      </w:r>
    </w:p>
    <w:p w14:paraId="3EE8DD3E" w14:textId="77777777" w:rsidR="00D21080" w:rsidRPr="00D21080" w:rsidRDefault="00D21080" w:rsidP="00D21080">
      <w:pPr>
        <w:rPr>
          <w:rFonts w:ascii="Arial" w:eastAsia="Times New Roman" w:hAnsi="Arial" w:cs="Arial"/>
          <w:sz w:val="24"/>
          <w:szCs w:val="24"/>
        </w:rPr>
      </w:pPr>
    </w:p>
    <w:p w14:paraId="067C698C" w14:textId="0FCF56F5" w:rsidR="00D21080" w:rsidRPr="00D21080" w:rsidRDefault="00D21080" w:rsidP="00D21080">
      <w:pPr>
        <w:rPr>
          <w:rFonts w:ascii="Arial" w:eastAsia="Times New Roman" w:hAnsi="Arial" w:cs="Arial"/>
          <w:sz w:val="24"/>
          <w:szCs w:val="24"/>
        </w:rPr>
      </w:pPr>
      <w:r w:rsidRPr="00D21080">
        <w:rPr>
          <w:rFonts w:ascii="Arial" w:eastAsia="Times New Roman" w:hAnsi="Arial" w:cs="Arial"/>
          <w:sz w:val="24"/>
          <w:szCs w:val="24"/>
        </w:rPr>
        <w:t>Farrington et al. (2001) found that boys with criminal fathers were over twice as likely to become offenders themselves. In many cases, this is due to both direct modelling of criminal behaviour and indirect effects, such as poverty or parental absence.</w:t>
      </w:r>
    </w:p>
    <w:p w14:paraId="6DE9C10D" w14:textId="77777777" w:rsidR="00D21080" w:rsidRPr="00D21080" w:rsidRDefault="00D21080" w:rsidP="00D21080">
      <w:pPr>
        <w:rPr>
          <w:rFonts w:ascii="Arial" w:eastAsia="Times New Roman" w:hAnsi="Arial" w:cs="Arial"/>
          <w:sz w:val="24"/>
          <w:szCs w:val="24"/>
        </w:rPr>
      </w:pPr>
    </w:p>
    <w:p w14:paraId="3B9FFB78" w14:textId="2A8AF842" w:rsidR="00D21080" w:rsidRPr="00D21080" w:rsidRDefault="00D21080" w:rsidP="00D21080">
      <w:pPr>
        <w:rPr>
          <w:rFonts w:ascii="Arial" w:eastAsia="Times New Roman" w:hAnsi="Arial" w:cs="Arial"/>
          <w:sz w:val="24"/>
          <w:szCs w:val="24"/>
        </w:rPr>
      </w:pPr>
      <w:r w:rsidRPr="00D21080">
        <w:rPr>
          <w:rFonts w:ascii="Arial" w:eastAsia="Times New Roman" w:hAnsi="Arial" w:cs="Arial"/>
          <w:sz w:val="24"/>
          <w:szCs w:val="24"/>
        </w:rPr>
        <w:t>Murray &amp; Farrington (2005), in a comprehensive meta-analysis, concluded that children of incarcerated parents are significantly more likely to experience behavioural problems, substance use, and future incarceration. The trauma of separation and instability during a parent's imprisonment further exacerbates risk.</w:t>
      </w:r>
    </w:p>
    <w:p w14:paraId="037F0C3B" w14:textId="77777777" w:rsidR="00D21080" w:rsidRPr="00D21080" w:rsidRDefault="00D21080" w:rsidP="00D21080">
      <w:pPr>
        <w:rPr>
          <w:rFonts w:ascii="Arial" w:eastAsia="Times New Roman" w:hAnsi="Arial" w:cs="Arial"/>
          <w:sz w:val="24"/>
          <w:szCs w:val="24"/>
        </w:rPr>
      </w:pPr>
    </w:p>
    <w:p w14:paraId="3C04DA8C" w14:textId="77777777" w:rsidR="00D21080" w:rsidRPr="00D21080" w:rsidRDefault="00D21080" w:rsidP="00D21080">
      <w:pPr>
        <w:rPr>
          <w:rFonts w:ascii="Arial" w:eastAsia="Times New Roman" w:hAnsi="Arial" w:cs="Arial"/>
          <w:sz w:val="24"/>
          <w:szCs w:val="24"/>
        </w:rPr>
      </w:pPr>
      <w:r w:rsidRPr="00D21080">
        <w:rPr>
          <w:rFonts w:ascii="Arial" w:eastAsia="Times New Roman" w:hAnsi="Arial" w:cs="Arial"/>
          <w:sz w:val="24"/>
          <w:szCs w:val="24"/>
        </w:rPr>
        <w:t>Dannerbeck (2005) emphasized that children in such environments often lack stable caregiving and are frequently exposed to multiple risk factors such as parental substance abuse, domestic violence, and community-level crime.</w:t>
      </w:r>
    </w:p>
    <w:p w14:paraId="2140FFA8" w14:textId="77777777" w:rsidR="00D21080" w:rsidRPr="00D21080" w:rsidRDefault="00D21080" w:rsidP="00D21080">
      <w:pPr>
        <w:rPr>
          <w:rFonts w:ascii="Arial" w:eastAsia="Times New Roman" w:hAnsi="Arial" w:cs="Arial"/>
          <w:sz w:val="24"/>
          <w:szCs w:val="24"/>
        </w:rPr>
      </w:pPr>
    </w:p>
    <w:p w14:paraId="559C9EDB" w14:textId="77777777" w:rsidR="00D21080" w:rsidRPr="00D21080" w:rsidRDefault="00D21080" w:rsidP="00D21080">
      <w:pPr>
        <w:rPr>
          <w:rFonts w:ascii="Arial" w:eastAsia="Times New Roman" w:hAnsi="Arial" w:cs="Arial"/>
          <w:sz w:val="24"/>
          <w:szCs w:val="24"/>
        </w:rPr>
      </w:pPr>
      <w:r w:rsidRPr="00D21080">
        <w:rPr>
          <w:rFonts w:ascii="Arial" w:eastAsia="Times New Roman" w:hAnsi="Arial" w:cs="Arial"/>
          <w:sz w:val="24"/>
          <w:szCs w:val="24"/>
        </w:rPr>
        <w:t>Phillips &amp; Gleeson (2007) noted that incarceration often leads to foster care placement or unstable custody arrangements, which disrupt a child’s development and further diminish protective factors.</w:t>
      </w:r>
    </w:p>
    <w:p w14:paraId="748714B1" w14:textId="77777777" w:rsidR="00D21080" w:rsidRPr="00D21080" w:rsidRDefault="00D21080" w:rsidP="00D21080">
      <w:pPr>
        <w:rPr>
          <w:rFonts w:ascii="Arial" w:eastAsia="Times New Roman" w:hAnsi="Arial" w:cs="Arial"/>
          <w:sz w:val="24"/>
          <w:szCs w:val="24"/>
        </w:rPr>
      </w:pPr>
    </w:p>
    <w:p w14:paraId="7D31C208" w14:textId="77777777" w:rsidR="00D21080" w:rsidRPr="00D21080" w:rsidRDefault="00D21080" w:rsidP="00D21080">
      <w:pPr>
        <w:rPr>
          <w:rFonts w:ascii="Arial" w:eastAsia="Times New Roman" w:hAnsi="Arial" w:cs="Arial"/>
          <w:sz w:val="24"/>
          <w:szCs w:val="24"/>
        </w:rPr>
      </w:pPr>
      <w:r w:rsidRPr="00D21080">
        <w:rPr>
          <w:rFonts w:ascii="Arial" w:eastAsia="Times New Roman" w:hAnsi="Arial" w:cs="Arial"/>
          <w:sz w:val="24"/>
          <w:szCs w:val="24"/>
        </w:rPr>
        <w:t>5. Overlap of Abuse and Criminal Parenting: A Toxic Mix</w:t>
      </w:r>
    </w:p>
    <w:p w14:paraId="78EDB74C" w14:textId="77777777" w:rsidR="00D21080" w:rsidRPr="00D21080" w:rsidRDefault="00D21080" w:rsidP="00D21080">
      <w:pPr>
        <w:rPr>
          <w:rFonts w:ascii="Arial" w:eastAsia="Times New Roman" w:hAnsi="Arial" w:cs="Arial"/>
          <w:sz w:val="24"/>
          <w:szCs w:val="24"/>
        </w:rPr>
      </w:pPr>
      <w:r w:rsidRPr="00D21080">
        <w:rPr>
          <w:rFonts w:ascii="Arial" w:eastAsia="Times New Roman" w:hAnsi="Arial" w:cs="Arial"/>
          <w:sz w:val="24"/>
          <w:szCs w:val="24"/>
        </w:rPr>
        <w:t>Many children experience both abuse and parental criminality simultaneously, compounding the developmental risks:</w:t>
      </w:r>
    </w:p>
    <w:p w14:paraId="529DCB54" w14:textId="77777777" w:rsidR="00D21080" w:rsidRPr="00D21080" w:rsidRDefault="00D21080" w:rsidP="00D21080">
      <w:pPr>
        <w:rPr>
          <w:rFonts w:ascii="Arial" w:eastAsia="Times New Roman" w:hAnsi="Arial" w:cs="Arial"/>
          <w:sz w:val="24"/>
          <w:szCs w:val="24"/>
        </w:rPr>
      </w:pPr>
    </w:p>
    <w:p w14:paraId="0A8E44F0" w14:textId="6952D82B" w:rsidR="00D21080" w:rsidRPr="00D21080" w:rsidRDefault="00D21080" w:rsidP="00D21080">
      <w:pPr>
        <w:rPr>
          <w:rFonts w:ascii="Arial" w:eastAsia="Times New Roman" w:hAnsi="Arial" w:cs="Arial"/>
          <w:sz w:val="24"/>
          <w:szCs w:val="24"/>
        </w:rPr>
      </w:pPr>
      <w:r w:rsidRPr="00D21080">
        <w:rPr>
          <w:rFonts w:ascii="Arial" w:eastAsia="Times New Roman" w:hAnsi="Arial" w:cs="Arial"/>
          <w:sz w:val="24"/>
          <w:szCs w:val="24"/>
        </w:rPr>
        <w:t>Smith &amp; Thornberry (1995) found that the combination of experiencing child abuse and having a criminal parent had a synergistic effect, creating a “dual risk” profile. Youth in these situations were found to be at a significantly higher risk for both violent and non-violent criminal behaviour.</w:t>
      </w:r>
    </w:p>
    <w:p w14:paraId="0EF7627D" w14:textId="77777777" w:rsidR="00D21080" w:rsidRPr="00D21080" w:rsidRDefault="00D21080" w:rsidP="00D21080">
      <w:pPr>
        <w:rPr>
          <w:rFonts w:ascii="Arial" w:eastAsia="Times New Roman" w:hAnsi="Arial" w:cs="Arial"/>
          <w:sz w:val="24"/>
          <w:szCs w:val="24"/>
        </w:rPr>
      </w:pPr>
    </w:p>
    <w:p w14:paraId="438A0AD6" w14:textId="58A65C22" w:rsidR="00D21080" w:rsidRPr="00D21080" w:rsidRDefault="00D21080" w:rsidP="00D21080">
      <w:pPr>
        <w:rPr>
          <w:rFonts w:ascii="Arial" w:eastAsia="Times New Roman" w:hAnsi="Arial" w:cs="Arial"/>
          <w:sz w:val="24"/>
          <w:szCs w:val="24"/>
        </w:rPr>
      </w:pPr>
      <w:r w:rsidRPr="00D21080">
        <w:rPr>
          <w:rFonts w:ascii="Arial" w:eastAsia="Times New Roman" w:hAnsi="Arial" w:cs="Arial"/>
          <w:sz w:val="24"/>
          <w:szCs w:val="24"/>
        </w:rPr>
        <w:t xml:space="preserve">Font &amp; Maguire-Jack (2020) analysed national child welfare data and concluded that cumulative exposure to multiple ACEs—including abuse, household substance use, </w:t>
      </w:r>
      <w:r w:rsidRPr="00D21080">
        <w:rPr>
          <w:rFonts w:ascii="Arial" w:eastAsia="Times New Roman" w:hAnsi="Arial" w:cs="Arial"/>
          <w:sz w:val="24"/>
          <w:szCs w:val="24"/>
        </w:rPr>
        <w:lastRenderedPageBreak/>
        <w:t>and parental incarceration—produced an exponential increase in risk for justice involvement.</w:t>
      </w:r>
    </w:p>
    <w:p w14:paraId="21CE7AC7" w14:textId="77777777" w:rsidR="00D21080" w:rsidRPr="00D21080" w:rsidRDefault="00D21080" w:rsidP="00D21080">
      <w:pPr>
        <w:rPr>
          <w:rFonts w:ascii="Arial" w:eastAsia="Times New Roman" w:hAnsi="Arial" w:cs="Arial"/>
          <w:sz w:val="24"/>
          <w:szCs w:val="24"/>
        </w:rPr>
      </w:pPr>
    </w:p>
    <w:p w14:paraId="0948DF44" w14:textId="77777777" w:rsidR="00D21080" w:rsidRPr="00D21080" w:rsidRDefault="00D21080" w:rsidP="00D21080">
      <w:pPr>
        <w:rPr>
          <w:rFonts w:ascii="Arial" w:eastAsia="Times New Roman" w:hAnsi="Arial" w:cs="Arial"/>
          <w:sz w:val="24"/>
          <w:szCs w:val="24"/>
        </w:rPr>
      </w:pPr>
      <w:r w:rsidRPr="00D21080">
        <w:rPr>
          <w:rFonts w:ascii="Arial" w:eastAsia="Times New Roman" w:hAnsi="Arial" w:cs="Arial"/>
          <w:sz w:val="24"/>
          <w:szCs w:val="24"/>
        </w:rPr>
        <w:t>6. Moderating and Protective Factors</w:t>
      </w:r>
    </w:p>
    <w:p w14:paraId="4BA9E54E" w14:textId="77777777" w:rsidR="00D21080" w:rsidRPr="00D21080" w:rsidRDefault="00D21080" w:rsidP="00D21080">
      <w:pPr>
        <w:rPr>
          <w:rFonts w:ascii="Arial" w:eastAsia="Times New Roman" w:hAnsi="Arial" w:cs="Arial"/>
          <w:sz w:val="24"/>
          <w:szCs w:val="24"/>
        </w:rPr>
      </w:pPr>
      <w:r w:rsidRPr="00D21080">
        <w:rPr>
          <w:rFonts w:ascii="Arial" w:eastAsia="Times New Roman" w:hAnsi="Arial" w:cs="Arial"/>
          <w:sz w:val="24"/>
          <w:szCs w:val="24"/>
        </w:rPr>
        <w:t>While the research clearly shows increased risk, not all children from abusive or criminally involved homes end up in the criminal justice system. Several protective and moderating factors can buffer these adverse effects:</w:t>
      </w:r>
    </w:p>
    <w:p w14:paraId="4FCEC49E" w14:textId="77777777" w:rsidR="00D21080" w:rsidRPr="00D21080" w:rsidRDefault="00D21080" w:rsidP="00D21080">
      <w:pPr>
        <w:rPr>
          <w:rFonts w:ascii="Arial" w:eastAsia="Times New Roman" w:hAnsi="Arial" w:cs="Arial"/>
          <w:sz w:val="24"/>
          <w:szCs w:val="24"/>
        </w:rPr>
      </w:pPr>
    </w:p>
    <w:p w14:paraId="4A59AEB9" w14:textId="77777777" w:rsidR="00D21080" w:rsidRPr="00D21080" w:rsidRDefault="00D21080" w:rsidP="00D21080">
      <w:pPr>
        <w:rPr>
          <w:rFonts w:ascii="Arial" w:eastAsia="Times New Roman" w:hAnsi="Arial" w:cs="Arial"/>
          <w:sz w:val="24"/>
          <w:szCs w:val="24"/>
        </w:rPr>
      </w:pPr>
      <w:r w:rsidRPr="00D21080">
        <w:rPr>
          <w:rFonts w:ascii="Arial" w:eastAsia="Times New Roman" w:hAnsi="Arial" w:cs="Arial"/>
          <w:sz w:val="24"/>
          <w:szCs w:val="24"/>
        </w:rPr>
        <w:t>6.1 Supportive Adult Relationships</w:t>
      </w:r>
    </w:p>
    <w:p w14:paraId="6D90DA6D" w14:textId="77777777" w:rsidR="00D21080" w:rsidRPr="00D21080" w:rsidRDefault="00D21080" w:rsidP="00D21080">
      <w:pPr>
        <w:rPr>
          <w:rFonts w:ascii="Arial" w:eastAsia="Times New Roman" w:hAnsi="Arial" w:cs="Arial"/>
          <w:sz w:val="24"/>
          <w:szCs w:val="24"/>
        </w:rPr>
      </w:pPr>
      <w:r w:rsidRPr="00D21080">
        <w:rPr>
          <w:rFonts w:ascii="Arial" w:eastAsia="Times New Roman" w:hAnsi="Arial" w:cs="Arial"/>
          <w:sz w:val="24"/>
          <w:szCs w:val="24"/>
        </w:rPr>
        <w:t>Mentorship, involvement in pro-social activities, and stable relationships with caregivers or teachers can help develop resilience in high-risk youth (Werner, 1995).</w:t>
      </w:r>
    </w:p>
    <w:p w14:paraId="69188507" w14:textId="77777777" w:rsidR="00D21080" w:rsidRPr="00D21080" w:rsidRDefault="00D21080" w:rsidP="00D21080">
      <w:pPr>
        <w:rPr>
          <w:rFonts w:ascii="Arial" w:eastAsia="Times New Roman" w:hAnsi="Arial" w:cs="Arial"/>
          <w:sz w:val="24"/>
          <w:szCs w:val="24"/>
        </w:rPr>
      </w:pPr>
    </w:p>
    <w:p w14:paraId="6CB43A14" w14:textId="77777777" w:rsidR="00D21080" w:rsidRPr="00D21080" w:rsidRDefault="00D21080" w:rsidP="00D21080">
      <w:pPr>
        <w:rPr>
          <w:rFonts w:ascii="Arial" w:eastAsia="Times New Roman" w:hAnsi="Arial" w:cs="Arial"/>
          <w:sz w:val="24"/>
          <w:szCs w:val="24"/>
        </w:rPr>
      </w:pPr>
      <w:r w:rsidRPr="00D21080">
        <w:rPr>
          <w:rFonts w:ascii="Arial" w:eastAsia="Times New Roman" w:hAnsi="Arial" w:cs="Arial"/>
          <w:sz w:val="24"/>
          <w:szCs w:val="24"/>
        </w:rPr>
        <w:t>6.2 Educational Engagement</w:t>
      </w:r>
    </w:p>
    <w:p w14:paraId="5924F79E" w14:textId="77777777" w:rsidR="00D21080" w:rsidRPr="00D21080" w:rsidRDefault="00D21080" w:rsidP="00D21080">
      <w:pPr>
        <w:rPr>
          <w:rFonts w:ascii="Arial" w:eastAsia="Times New Roman" w:hAnsi="Arial" w:cs="Arial"/>
          <w:sz w:val="24"/>
          <w:szCs w:val="24"/>
        </w:rPr>
      </w:pPr>
      <w:r w:rsidRPr="00D21080">
        <w:rPr>
          <w:rFonts w:ascii="Arial" w:eastAsia="Times New Roman" w:hAnsi="Arial" w:cs="Arial"/>
          <w:sz w:val="24"/>
          <w:szCs w:val="24"/>
        </w:rPr>
        <w:t>Positive school experiences and academic success serve as strong protective factors. Children who stay engaged in school are significantly less likely to be involved in criminal activity.</w:t>
      </w:r>
    </w:p>
    <w:p w14:paraId="7A3C4708" w14:textId="77777777" w:rsidR="00D21080" w:rsidRPr="00D21080" w:rsidRDefault="00D21080" w:rsidP="00D21080">
      <w:pPr>
        <w:rPr>
          <w:rFonts w:ascii="Arial" w:eastAsia="Times New Roman" w:hAnsi="Arial" w:cs="Arial"/>
          <w:sz w:val="24"/>
          <w:szCs w:val="24"/>
        </w:rPr>
      </w:pPr>
    </w:p>
    <w:p w14:paraId="757DE78D" w14:textId="77777777" w:rsidR="00D21080" w:rsidRPr="00D21080" w:rsidRDefault="00D21080" w:rsidP="00D21080">
      <w:pPr>
        <w:rPr>
          <w:rFonts w:ascii="Arial" w:eastAsia="Times New Roman" w:hAnsi="Arial" w:cs="Arial"/>
          <w:sz w:val="24"/>
          <w:szCs w:val="24"/>
        </w:rPr>
      </w:pPr>
      <w:r w:rsidRPr="00D21080">
        <w:rPr>
          <w:rFonts w:ascii="Arial" w:eastAsia="Times New Roman" w:hAnsi="Arial" w:cs="Arial"/>
          <w:sz w:val="24"/>
          <w:szCs w:val="24"/>
        </w:rPr>
        <w:t>6.3 Early Intervention Programs</w:t>
      </w:r>
    </w:p>
    <w:p w14:paraId="7A2910EB" w14:textId="68B9CBE5" w:rsidR="00D21080" w:rsidRPr="00D21080" w:rsidRDefault="00D21080" w:rsidP="00D21080">
      <w:pPr>
        <w:rPr>
          <w:rFonts w:ascii="Arial" w:eastAsia="Times New Roman" w:hAnsi="Arial" w:cs="Arial"/>
          <w:sz w:val="24"/>
          <w:szCs w:val="24"/>
        </w:rPr>
      </w:pPr>
      <w:r w:rsidRPr="00D21080">
        <w:rPr>
          <w:rFonts w:ascii="Arial" w:eastAsia="Times New Roman" w:hAnsi="Arial" w:cs="Arial"/>
          <w:sz w:val="24"/>
          <w:szCs w:val="24"/>
        </w:rPr>
        <w:t>Programs such as Head Start, Nurse-Family Partnership, and Trauma-Focused Cognitive Behavioural Therapy (TF-CBT) have shown positive outcomes in reducing the risk of antisocial behaviour among at-risk youth.</w:t>
      </w:r>
    </w:p>
    <w:p w14:paraId="147AFB96" w14:textId="77777777" w:rsidR="00D21080" w:rsidRPr="00D21080" w:rsidRDefault="00D21080" w:rsidP="00D21080">
      <w:pPr>
        <w:rPr>
          <w:rFonts w:ascii="Arial" w:eastAsia="Times New Roman" w:hAnsi="Arial" w:cs="Arial"/>
          <w:sz w:val="24"/>
          <w:szCs w:val="24"/>
        </w:rPr>
      </w:pPr>
    </w:p>
    <w:p w14:paraId="4D1278D7" w14:textId="77777777" w:rsidR="00D21080" w:rsidRPr="00D21080" w:rsidRDefault="00D21080" w:rsidP="00D21080">
      <w:pPr>
        <w:rPr>
          <w:rFonts w:ascii="Arial" w:eastAsia="Times New Roman" w:hAnsi="Arial" w:cs="Arial"/>
          <w:sz w:val="24"/>
          <w:szCs w:val="24"/>
        </w:rPr>
      </w:pPr>
      <w:r w:rsidRPr="00D21080">
        <w:rPr>
          <w:rFonts w:ascii="Arial" w:eastAsia="Times New Roman" w:hAnsi="Arial" w:cs="Arial"/>
          <w:sz w:val="24"/>
          <w:szCs w:val="24"/>
        </w:rPr>
        <w:t>6.4 Policy Interventions</w:t>
      </w:r>
    </w:p>
    <w:p w14:paraId="58B2B7A8" w14:textId="77777777" w:rsidR="00D21080" w:rsidRPr="00D21080" w:rsidRDefault="00D21080" w:rsidP="00D21080">
      <w:pPr>
        <w:rPr>
          <w:rFonts w:ascii="Arial" w:eastAsia="Times New Roman" w:hAnsi="Arial" w:cs="Arial"/>
          <w:sz w:val="24"/>
          <w:szCs w:val="24"/>
        </w:rPr>
      </w:pPr>
      <w:r w:rsidRPr="00D21080">
        <w:rPr>
          <w:rFonts w:ascii="Arial" w:eastAsia="Times New Roman" w:hAnsi="Arial" w:cs="Arial"/>
          <w:sz w:val="24"/>
          <w:szCs w:val="24"/>
        </w:rPr>
        <w:t>Policies aimed at reducing the incarceration of non-violent offenders—especially mothers—have demonstrated benefits in reducing the collateral damage to children. Family reunification programs and in-prison parenting courses also show promise.</w:t>
      </w:r>
    </w:p>
    <w:p w14:paraId="5B3C82EB" w14:textId="77777777" w:rsidR="00D21080" w:rsidRPr="00D21080" w:rsidRDefault="00D21080" w:rsidP="00D21080">
      <w:pPr>
        <w:rPr>
          <w:rFonts w:ascii="Arial" w:eastAsia="Times New Roman" w:hAnsi="Arial" w:cs="Arial"/>
          <w:sz w:val="24"/>
          <w:szCs w:val="24"/>
        </w:rPr>
      </w:pPr>
    </w:p>
    <w:p w14:paraId="3B7757E0" w14:textId="77777777" w:rsidR="00D21080" w:rsidRPr="00D21080" w:rsidRDefault="00D21080" w:rsidP="00D21080">
      <w:pPr>
        <w:rPr>
          <w:rFonts w:ascii="Arial" w:eastAsia="Times New Roman" w:hAnsi="Arial" w:cs="Arial"/>
          <w:sz w:val="24"/>
          <w:szCs w:val="24"/>
        </w:rPr>
      </w:pPr>
      <w:r w:rsidRPr="00D21080">
        <w:rPr>
          <w:rFonts w:ascii="Arial" w:eastAsia="Times New Roman" w:hAnsi="Arial" w:cs="Arial"/>
          <w:sz w:val="24"/>
          <w:szCs w:val="24"/>
        </w:rPr>
        <w:t>7. Implications for Policy and Practice</w:t>
      </w:r>
    </w:p>
    <w:p w14:paraId="6C72F26E" w14:textId="77777777" w:rsidR="00D21080" w:rsidRPr="00D21080" w:rsidRDefault="00D21080" w:rsidP="00D21080">
      <w:pPr>
        <w:rPr>
          <w:rFonts w:ascii="Arial" w:eastAsia="Times New Roman" w:hAnsi="Arial" w:cs="Arial"/>
          <w:sz w:val="24"/>
          <w:szCs w:val="24"/>
        </w:rPr>
      </w:pPr>
      <w:r w:rsidRPr="00D21080">
        <w:rPr>
          <w:rFonts w:ascii="Arial" w:eastAsia="Times New Roman" w:hAnsi="Arial" w:cs="Arial"/>
          <w:sz w:val="24"/>
          <w:szCs w:val="24"/>
        </w:rPr>
        <w:t>The evidence base supports the need for trauma-informed approaches across the child welfare, education, and juvenile justice systems. Recommended interventions include:</w:t>
      </w:r>
    </w:p>
    <w:p w14:paraId="10CB5FCC" w14:textId="77777777" w:rsidR="00D21080" w:rsidRPr="00D21080" w:rsidRDefault="00D21080" w:rsidP="00D21080">
      <w:pPr>
        <w:rPr>
          <w:rFonts w:ascii="Arial" w:eastAsia="Times New Roman" w:hAnsi="Arial" w:cs="Arial"/>
          <w:sz w:val="24"/>
          <w:szCs w:val="24"/>
        </w:rPr>
      </w:pPr>
    </w:p>
    <w:p w14:paraId="6526D612" w14:textId="77777777" w:rsidR="00D21080" w:rsidRPr="00D21080" w:rsidRDefault="00D21080" w:rsidP="00D21080">
      <w:pPr>
        <w:rPr>
          <w:rFonts w:ascii="Arial" w:eastAsia="Times New Roman" w:hAnsi="Arial" w:cs="Arial"/>
          <w:sz w:val="24"/>
          <w:szCs w:val="24"/>
        </w:rPr>
      </w:pPr>
      <w:r w:rsidRPr="00D21080">
        <w:rPr>
          <w:rFonts w:ascii="Arial" w:eastAsia="Times New Roman" w:hAnsi="Arial" w:cs="Arial"/>
          <w:sz w:val="24"/>
          <w:szCs w:val="24"/>
        </w:rPr>
        <w:t>Integrated Data Systems: Sharing information across agencies can identify high-risk children early.</w:t>
      </w:r>
    </w:p>
    <w:p w14:paraId="1DEF5CE3" w14:textId="77777777" w:rsidR="00D21080" w:rsidRPr="00D21080" w:rsidRDefault="00D21080" w:rsidP="00D21080">
      <w:pPr>
        <w:rPr>
          <w:rFonts w:ascii="Arial" w:eastAsia="Times New Roman" w:hAnsi="Arial" w:cs="Arial"/>
          <w:sz w:val="24"/>
          <w:szCs w:val="24"/>
        </w:rPr>
      </w:pPr>
    </w:p>
    <w:p w14:paraId="02CB3CF8" w14:textId="77777777" w:rsidR="00D21080" w:rsidRPr="00D21080" w:rsidRDefault="00D21080" w:rsidP="00D21080">
      <w:pPr>
        <w:rPr>
          <w:rFonts w:ascii="Arial" w:eastAsia="Times New Roman" w:hAnsi="Arial" w:cs="Arial"/>
          <w:sz w:val="24"/>
          <w:szCs w:val="24"/>
        </w:rPr>
      </w:pPr>
      <w:r w:rsidRPr="00D21080">
        <w:rPr>
          <w:rFonts w:ascii="Arial" w:eastAsia="Times New Roman" w:hAnsi="Arial" w:cs="Arial"/>
          <w:sz w:val="24"/>
          <w:szCs w:val="24"/>
        </w:rPr>
        <w:lastRenderedPageBreak/>
        <w:t>Trauma-Informed Juvenile Justice Systems: Courts and detention centers should adopt trauma screening and therapeutic models over punitive approaches.</w:t>
      </w:r>
    </w:p>
    <w:p w14:paraId="49EEBB07" w14:textId="77777777" w:rsidR="00D21080" w:rsidRPr="00D21080" w:rsidRDefault="00D21080" w:rsidP="00D21080">
      <w:pPr>
        <w:rPr>
          <w:rFonts w:ascii="Arial" w:eastAsia="Times New Roman" w:hAnsi="Arial" w:cs="Arial"/>
          <w:sz w:val="24"/>
          <w:szCs w:val="24"/>
        </w:rPr>
      </w:pPr>
    </w:p>
    <w:p w14:paraId="6689D994" w14:textId="77777777" w:rsidR="00D21080" w:rsidRPr="00D21080" w:rsidRDefault="00D21080" w:rsidP="00D21080">
      <w:pPr>
        <w:rPr>
          <w:rFonts w:ascii="Arial" w:eastAsia="Times New Roman" w:hAnsi="Arial" w:cs="Arial"/>
          <w:sz w:val="24"/>
          <w:szCs w:val="24"/>
        </w:rPr>
      </w:pPr>
      <w:r w:rsidRPr="00D21080">
        <w:rPr>
          <w:rFonts w:ascii="Arial" w:eastAsia="Times New Roman" w:hAnsi="Arial" w:cs="Arial"/>
          <w:sz w:val="24"/>
          <w:szCs w:val="24"/>
        </w:rPr>
        <w:t>Rehabilitation for Criminal Parents: Investing in mental health, substance use treatment, and parenting skills for incarcerated or formerly incarcerated parents can reduce intergenerational transmission of criminality.</w:t>
      </w:r>
    </w:p>
    <w:p w14:paraId="516CF209" w14:textId="77777777" w:rsidR="00D21080" w:rsidRPr="00D21080" w:rsidRDefault="00D21080" w:rsidP="00D21080">
      <w:pPr>
        <w:rPr>
          <w:rFonts w:ascii="Arial" w:eastAsia="Times New Roman" w:hAnsi="Arial" w:cs="Arial"/>
          <w:sz w:val="24"/>
          <w:szCs w:val="24"/>
        </w:rPr>
      </w:pPr>
    </w:p>
    <w:p w14:paraId="5B8E12FE" w14:textId="77777777" w:rsidR="00D21080" w:rsidRPr="00D21080" w:rsidRDefault="00D21080" w:rsidP="00D21080">
      <w:pPr>
        <w:rPr>
          <w:rFonts w:ascii="Arial" w:eastAsia="Times New Roman" w:hAnsi="Arial" w:cs="Arial"/>
          <w:sz w:val="24"/>
          <w:szCs w:val="24"/>
        </w:rPr>
      </w:pPr>
      <w:r w:rsidRPr="00D21080">
        <w:rPr>
          <w:rFonts w:ascii="Arial" w:eastAsia="Times New Roman" w:hAnsi="Arial" w:cs="Arial"/>
          <w:sz w:val="24"/>
          <w:szCs w:val="24"/>
        </w:rPr>
        <w:t>Community-Based Supports: Expanding access to mentoring, youth programs, and social-emotional learning in schools can buffer high-risk youth.</w:t>
      </w:r>
    </w:p>
    <w:p w14:paraId="747B7E4D" w14:textId="77777777" w:rsidR="00D21080" w:rsidRPr="00D21080" w:rsidRDefault="00D21080" w:rsidP="00D21080">
      <w:pPr>
        <w:rPr>
          <w:rFonts w:ascii="Arial" w:eastAsia="Times New Roman" w:hAnsi="Arial" w:cs="Arial"/>
          <w:sz w:val="24"/>
          <w:szCs w:val="24"/>
        </w:rPr>
      </w:pPr>
    </w:p>
    <w:p w14:paraId="40A93C9E" w14:textId="77777777" w:rsidR="00D21080" w:rsidRPr="00D21080" w:rsidRDefault="00D21080" w:rsidP="00D21080">
      <w:pPr>
        <w:rPr>
          <w:rFonts w:ascii="Arial" w:eastAsia="Times New Roman" w:hAnsi="Arial" w:cs="Arial"/>
          <w:sz w:val="24"/>
          <w:szCs w:val="24"/>
        </w:rPr>
      </w:pPr>
      <w:r w:rsidRPr="00D21080">
        <w:rPr>
          <w:rFonts w:ascii="Arial" w:eastAsia="Times New Roman" w:hAnsi="Arial" w:cs="Arial"/>
          <w:sz w:val="24"/>
          <w:szCs w:val="24"/>
        </w:rPr>
        <w:t>8. Conclusion</w:t>
      </w:r>
    </w:p>
    <w:p w14:paraId="378761ED" w14:textId="02264788" w:rsidR="00D21080" w:rsidRPr="00D21080" w:rsidRDefault="00D21080" w:rsidP="00D21080">
      <w:pPr>
        <w:rPr>
          <w:rFonts w:ascii="Arial" w:eastAsia="Times New Roman" w:hAnsi="Arial" w:cs="Arial"/>
          <w:sz w:val="24"/>
          <w:szCs w:val="24"/>
        </w:rPr>
      </w:pPr>
      <w:r w:rsidRPr="00D21080">
        <w:rPr>
          <w:rFonts w:ascii="Arial" w:eastAsia="Times New Roman" w:hAnsi="Arial" w:cs="Arial"/>
          <w:sz w:val="24"/>
          <w:szCs w:val="24"/>
        </w:rPr>
        <w:t>The relationship between early family adversity and later criminal justice involvement is well documented and multifaceted. Children from abusive households or with criminal parents face significantly heightened risks of engaging in criminal behaviour themselves. These risks are not deterministic but are shaped by the presence or absence of protective factors and the systems meant to support vulnerable youth. Preventing the intergenerational cycle of criminality will require an integrated, trauma-informed, and child-centred approach across public systems.</w:t>
      </w:r>
    </w:p>
    <w:p w14:paraId="5FC4837C" w14:textId="77777777" w:rsidR="00D21080" w:rsidRPr="00D21080" w:rsidRDefault="00D21080" w:rsidP="00D21080">
      <w:pPr>
        <w:rPr>
          <w:rFonts w:ascii="Arial" w:eastAsia="Times New Roman" w:hAnsi="Arial" w:cs="Arial"/>
          <w:sz w:val="24"/>
          <w:szCs w:val="24"/>
        </w:rPr>
      </w:pPr>
    </w:p>
    <w:p w14:paraId="10F50357" w14:textId="77777777" w:rsidR="00D21080" w:rsidRPr="00D21080" w:rsidRDefault="00D21080" w:rsidP="00D21080">
      <w:pPr>
        <w:rPr>
          <w:rFonts w:ascii="Arial" w:eastAsia="Times New Roman" w:hAnsi="Arial" w:cs="Arial"/>
          <w:sz w:val="24"/>
          <w:szCs w:val="24"/>
        </w:rPr>
      </w:pPr>
      <w:r w:rsidRPr="00D21080">
        <w:rPr>
          <w:rFonts w:ascii="Arial" w:eastAsia="Times New Roman" w:hAnsi="Arial" w:cs="Arial"/>
          <w:sz w:val="24"/>
          <w:szCs w:val="24"/>
        </w:rPr>
        <w:t>References</w:t>
      </w:r>
    </w:p>
    <w:p w14:paraId="228DEB89" w14:textId="77777777" w:rsidR="00D21080" w:rsidRPr="00D21080" w:rsidRDefault="00D21080" w:rsidP="00D21080">
      <w:pPr>
        <w:rPr>
          <w:rFonts w:ascii="Arial" w:eastAsia="Times New Roman" w:hAnsi="Arial" w:cs="Arial"/>
          <w:sz w:val="24"/>
          <w:szCs w:val="24"/>
        </w:rPr>
      </w:pPr>
      <w:r w:rsidRPr="00D21080">
        <w:rPr>
          <w:rFonts w:ascii="Arial" w:eastAsia="Times New Roman" w:hAnsi="Arial" w:cs="Arial"/>
          <w:sz w:val="24"/>
          <w:szCs w:val="24"/>
        </w:rPr>
        <w:t>Bandura, A. (1977). Social Learning Theory. Prentice Hall.</w:t>
      </w:r>
    </w:p>
    <w:p w14:paraId="3991B2D3" w14:textId="77777777" w:rsidR="00D21080" w:rsidRPr="00D21080" w:rsidRDefault="00D21080" w:rsidP="00D21080">
      <w:pPr>
        <w:rPr>
          <w:rFonts w:ascii="Arial" w:eastAsia="Times New Roman" w:hAnsi="Arial" w:cs="Arial"/>
          <w:sz w:val="24"/>
          <w:szCs w:val="24"/>
        </w:rPr>
      </w:pPr>
    </w:p>
    <w:p w14:paraId="25860A24" w14:textId="77777777" w:rsidR="00D21080" w:rsidRPr="00D21080" w:rsidRDefault="00D21080" w:rsidP="00D21080">
      <w:pPr>
        <w:rPr>
          <w:rFonts w:ascii="Arial" w:eastAsia="Times New Roman" w:hAnsi="Arial" w:cs="Arial"/>
          <w:sz w:val="24"/>
          <w:szCs w:val="24"/>
        </w:rPr>
      </w:pPr>
      <w:r w:rsidRPr="00D21080">
        <w:rPr>
          <w:rFonts w:ascii="Arial" w:eastAsia="Times New Roman" w:hAnsi="Arial" w:cs="Arial"/>
          <w:sz w:val="24"/>
          <w:szCs w:val="24"/>
        </w:rPr>
        <w:t>Bowlby, J. (1969). Attachment and Loss. Vol. 1. Basic Books.</w:t>
      </w:r>
    </w:p>
    <w:p w14:paraId="223FD77A" w14:textId="77777777" w:rsidR="00D21080" w:rsidRPr="00D21080" w:rsidRDefault="00D21080" w:rsidP="00D21080">
      <w:pPr>
        <w:rPr>
          <w:rFonts w:ascii="Arial" w:eastAsia="Times New Roman" w:hAnsi="Arial" w:cs="Arial"/>
          <w:sz w:val="24"/>
          <w:szCs w:val="24"/>
        </w:rPr>
      </w:pPr>
    </w:p>
    <w:p w14:paraId="063A3958" w14:textId="77777777" w:rsidR="00D21080" w:rsidRPr="00D21080" w:rsidRDefault="00D21080" w:rsidP="00D21080">
      <w:pPr>
        <w:rPr>
          <w:rFonts w:ascii="Arial" w:eastAsia="Times New Roman" w:hAnsi="Arial" w:cs="Arial"/>
          <w:sz w:val="24"/>
          <w:szCs w:val="24"/>
        </w:rPr>
      </w:pPr>
      <w:r w:rsidRPr="00D21080">
        <w:rPr>
          <w:rFonts w:ascii="Arial" w:eastAsia="Times New Roman" w:hAnsi="Arial" w:cs="Arial"/>
          <w:sz w:val="24"/>
          <w:szCs w:val="24"/>
        </w:rPr>
        <w:t>Currie, J., &amp; Tekin, E. (2012). Understanding the cycle: Childhood maltreatment and future crime. Journal of Human Resources, 47(2), 509–549.</w:t>
      </w:r>
    </w:p>
    <w:p w14:paraId="02B6862B" w14:textId="77777777" w:rsidR="00D21080" w:rsidRPr="00D21080" w:rsidRDefault="00D21080" w:rsidP="00D21080">
      <w:pPr>
        <w:rPr>
          <w:rFonts w:ascii="Arial" w:eastAsia="Times New Roman" w:hAnsi="Arial" w:cs="Arial"/>
          <w:sz w:val="24"/>
          <w:szCs w:val="24"/>
        </w:rPr>
      </w:pPr>
    </w:p>
    <w:p w14:paraId="2F45BEA5" w14:textId="77777777" w:rsidR="00D21080" w:rsidRPr="00D21080" w:rsidRDefault="00D21080" w:rsidP="00D21080">
      <w:pPr>
        <w:rPr>
          <w:rFonts w:ascii="Arial" w:eastAsia="Times New Roman" w:hAnsi="Arial" w:cs="Arial"/>
          <w:sz w:val="24"/>
          <w:szCs w:val="24"/>
        </w:rPr>
      </w:pPr>
      <w:r w:rsidRPr="00D21080">
        <w:rPr>
          <w:rFonts w:ascii="Arial" w:eastAsia="Times New Roman" w:hAnsi="Arial" w:cs="Arial"/>
          <w:sz w:val="24"/>
          <w:szCs w:val="24"/>
        </w:rPr>
        <w:t>Dannerbeck, A. M. (2005). Differences in parenting attributes, experiences, and behaviors of delinquent youth with and without parental incarceration. Youth Violence and Juvenile Justice, 3(3), 199–213.</w:t>
      </w:r>
    </w:p>
    <w:p w14:paraId="21AF7B10" w14:textId="77777777" w:rsidR="00D21080" w:rsidRPr="00D21080" w:rsidRDefault="00D21080" w:rsidP="00D21080">
      <w:pPr>
        <w:rPr>
          <w:rFonts w:ascii="Arial" w:eastAsia="Times New Roman" w:hAnsi="Arial" w:cs="Arial"/>
          <w:sz w:val="24"/>
          <w:szCs w:val="24"/>
        </w:rPr>
      </w:pPr>
    </w:p>
    <w:p w14:paraId="6410EB5A" w14:textId="77777777" w:rsidR="00D21080" w:rsidRPr="00D21080" w:rsidRDefault="00D21080" w:rsidP="00D21080">
      <w:pPr>
        <w:rPr>
          <w:rFonts w:ascii="Arial" w:eastAsia="Times New Roman" w:hAnsi="Arial" w:cs="Arial"/>
          <w:sz w:val="24"/>
          <w:szCs w:val="24"/>
        </w:rPr>
      </w:pPr>
      <w:r w:rsidRPr="00D21080">
        <w:rPr>
          <w:rFonts w:ascii="Arial" w:eastAsia="Times New Roman" w:hAnsi="Arial" w:cs="Arial"/>
          <w:sz w:val="24"/>
          <w:szCs w:val="24"/>
        </w:rPr>
        <w:t>Farrington, D. P., et al. (2001). The concentration of offenders in families. Legal and Criminological Psychology, 6(1), 47–63.</w:t>
      </w:r>
    </w:p>
    <w:p w14:paraId="7821D407" w14:textId="77777777" w:rsidR="00D21080" w:rsidRPr="00D21080" w:rsidRDefault="00D21080" w:rsidP="00D21080">
      <w:pPr>
        <w:rPr>
          <w:rFonts w:ascii="Arial" w:eastAsia="Times New Roman" w:hAnsi="Arial" w:cs="Arial"/>
          <w:sz w:val="24"/>
          <w:szCs w:val="24"/>
        </w:rPr>
      </w:pPr>
    </w:p>
    <w:p w14:paraId="44D005CE" w14:textId="77777777" w:rsidR="00D21080" w:rsidRPr="00D21080" w:rsidRDefault="00D21080" w:rsidP="00D21080">
      <w:pPr>
        <w:rPr>
          <w:rFonts w:ascii="Arial" w:eastAsia="Times New Roman" w:hAnsi="Arial" w:cs="Arial"/>
          <w:sz w:val="24"/>
          <w:szCs w:val="24"/>
        </w:rPr>
      </w:pPr>
      <w:r w:rsidRPr="00D21080">
        <w:rPr>
          <w:rFonts w:ascii="Arial" w:eastAsia="Times New Roman" w:hAnsi="Arial" w:cs="Arial"/>
          <w:sz w:val="24"/>
          <w:szCs w:val="24"/>
        </w:rPr>
        <w:t>Font, S. A., &amp; Maguire-Jack, K. (2020). Pathways from childhood abuse and other adversities to adult criminal involvement. Child Abuse &amp; Neglect, 107, 104564.</w:t>
      </w:r>
    </w:p>
    <w:p w14:paraId="7B7B9403" w14:textId="77777777" w:rsidR="00D21080" w:rsidRPr="00D21080" w:rsidRDefault="00D21080" w:rsidP="00D21080">
      <w:pPr>
        <w:rPr>
          <w:rFonts w:ascii="Arial" w:eastAsia="Times New Roman" w:hAnsi="Arial" w:cs="Arial"/>
          <w:sz w:val="24"/>
          <w:szCs w:val="24"/>
        </w:rPr>
      </w:pPr>
    </w:p>
    <w:p w14:paraId="4EEA31AC" w14:textId="77777777" w:rsidR="00D21080" w:rsidRPr="00D21080" w:rsidRDefault="00D21080" w:rsidP="00D21080">
      <w:pPr>
        <w:rPr>
          <w:rFonts w:ascii="Arial" w:eastAsia="Times New Roman" w:hAnsi="Arial" w:cs="Arial"/>
          <w:sz w:val="24"/>
          <w:szCs w:val="24"/>
        </w:rPr>
      </w:pPr>
      <w:r w:rsidRPr="00D21080">
        <w:rPr>
          <w:rFonts w:ascii="Arial" w:eastAsia="Times New Roman" w:hAnsi="Arial" w:cs="Arial"/>
          <w:sz w:val="24"/>
          <w:szCs w:val="24"/>
        </w:rPr>
        <w:t>Ko, S. J., et al. (2008). Creating trauma-informed systems. Child Welfare, 87(6), 123–142.</w:t>
      </w:r>
    </w:p>
    <w:p w14:paraId="0980739F" w14:textId="77777777" w:rsidR="00D21080" w:rsidRPr="00D21080" w:rsidRDefault="00D21080" w:rsidP="00D21080">
      <w:pPr>
        <w:rPr>
          <w:rFonts w:ascii="Arial" w:eastAsia="Times New Roman" w:hAnsi="Arial" w:cs="Arial"/>
          <w:sz w:val="24"/>
          <w:szCs w:val="24"/>
        </w:rPr>
      </w:pPr>
    </w:p>
    <w:p w14:paraId="1FE04FF7" w14:textId="77777777" w:rsidR="00D21080" w:rsidRPr="00D21080" w:rsidRDefault="00D21080" w:rsidP="00D21080">
      <w:pPr>
        <w:rPr>
          <w:rFonts w:ascii="Arial" w:eastAsia="Times New Roman" w:hAnsi="Arial" w:cs="Arial"/>
          <w:sz w:val="24"/>
          <w:szCs w:val="24"/>
        </w:rPr>
      </w:pPr>
      <w:r w:rsidRPr="00D21080">
        <w:rPr>
          <w:rFonts w:ascii="Arial" w:eastAsia="Times New Roman" w:hAnsi="Arial" w:cs="Arial"/>
          <w:sz w:val="24"/>
          <w:szCs w:val="24"/>
        </w:rPr>
        <w:t>Mersky, J. P., Topitzes, J., &amp; Reynolds, A. J. (2012). Maltreatment and delinquency: Exploring the role of child welfare services. Child &amp; Youth Services Review, 34(12), 2440–2448.</w:t>
      </w:r>
    </w:p>
    <w:p w14:paraId="7B6868DB" w14:textId="77777777" w:rsidR="00D21080" w:rsidRPr="00D21080" w:rsidRDefault="00D21080" w:rsidP="00D21080">
      <w:pPr>
        <w:rPr>
          <w:rFonts w:ascii="Arial" w:eastAsia="Times New Roman" w:hAnsi="Arial" w:cs="Arial"/>
          <w:sz w:val="24"/>
          <w:szCs w:val="24"/>
        </w:rPr>
      </w:pPr>
    </w:p>
    <w:p w14:paraId="6F8B8740" w14:textId="77777777" w:rsidR="00D21080" w:rsidRPr="00D21080" w:rsidRDefault="00D21080" w:rsidP="00D21080">
      <w:pPr>
        <w:rPr>
          <w:rFonts w:ascii="Arial" w:eastAsia="Times New Roman" w:hAnsi="Arial" w:cs="Arial"/>
          <w:sz w:val="24"/>
          <w:szCs w:val="24"/>
        </w:rPr>
      </w:pPr>
      <w:r w:rsidRPr="00D21080">
        <w:rPr>
          <w:rFonts w:ascii="Arial" w:eastAsia="Times New Roman" w:hAnsi="Arial" w:cs="Arial"/>
          <w:sz w:val="24"/>
          <w:szCs w:val="24"/>
        </w:rPr>
        <w:t>Murray, J., &amp; Farrington, D. P. (2005). Parental imprisonment: Effects on boys' antisocial behavior and delinquency. Journal of Child Psychology and Psychiatry, 46(12), 1269–1278.</w:t>
      </w:r>
    </w:p>
    <w:p w14:paraId="56D09F74" w14:textId="77777777" w:rsidR="00D21080" w:rsidRPr="00D21080" w:rsidRDefault="00D21080" w:rsidP="00D21080">
      <w:pPr>
        <w:rPr>
          <w:rFonts w:ascii="Arial" w:eastAsia="Times New Roman" w:hAnsi="Arial" w:cs="Arial"/>
          <w:sz w:val="24"/>
          <w:szCs w:val="24"/>
        </w:rPr>
      </w:pPr>
    </w:p>
    <w:p w14:paraId="1C821310" w14:textId="77777777" w:rsidR="00D21080" w:rsidRPr="00D21080" w:rsidRDefault="00D21080" w:rsidP="00D21080">
      <w:pPr>
        <w:rPr>
          <w:rFonts w:ascii="Arial" w:eastAsia="Times New Roman" w:hAnsi="Arial" w:cs="Arial"/>
          <w:sz w:val="24"/>
          <w:szCs w:val="24"/>
        </w:rPr>
      </w:pPr>
      <w:r w:rsidRPr="00D21080">
        <w:rPr>
          <w:rFonts w:ascii="Arial" w:eastAsia="Times New Roman" w:hAnsi="Arial" w:cs="Arial"/>
          <w:sz w:val="24"/>
          <w:szCs w:val="24"/>
        </w:rPr>
        <w:t>Smith, C., &amp; Thornberry, T. P. (1995). The relationship between childhood maltreatment and adolescent involvement in delinquency. Criminology, 33(4), 451–481.</w:t>
      </w:r>
    </w:p>
    <w:p w14:paraId="45221232" w14:textId="77777777" w:rsidR="00D21080" w:rsidRPr="00D21080" w:rsidRDefault="00D21080" w:rsidP="00D21080">
      <w:pPr>
        <w:rPr>
          <w:rFonts w:ascii="Arial" w:eastAsia="Times New Roman" w:hAnsi="Arial" w:cs="Arial"/>
          <w:sz w:val="24"/>
          <w:szCs w:val="24"/>
        </w:rPr>
      </w:pPr>
    </w:p>
    <w:p w14:paraId="4720E9A5" w14:textId="77777777" w:rsidR="00D21080" w:rsidRPr="00D21080" w:rsidRDefault="00D21080" w:rsidP="00D21080">
      <w:pPr>
        <w:rPr>
          <w:rFonts w:ascii="Arial" w:eastAsia="Times New Roman" w:hAnsi="Arial" w:cs="Arial"/>
          <w:sz w:val="24"/>
          <w:szCs w:val="24"/>
        </w:rPr>
      </w:pPr>
      <w:r w:rsidRPr="00D21080">
        <w:rPr>
          <w:rFonts w:ascii="Arial" w:eastAsia="Times New Roman" w:hAnsi="Arial" w:cs="Arial"/>
          <w:sz w:val="24"/>
          <w:szCs w:val="24"/>
        </w:rPr>
        <w:t>Werner, E. E. (1995). Resilience in development.</w:t>
      </w:r>
    </w:p>
    <w:p w14:paraId="54B044D8" w14:textId="77777777" w:rsidR="00D21080" w:rsidRPr="00D21080" w:rsidRDefault="00D21080" w:rsidP="00D21080">
      <w:pPr>
        <w:rPr>
          <w:rFonts w:ascii="Arial" w:eastAsia="Times New Roman" w:hAnsi="Arial" w:cs="Arial"/>
          <w:sz w:val="24"/>
          <w:szCs w:val="24"/>
        </w:rPr>
      </w:pPr>
    </w:p>
    <w:p w14:paraId="588CE136" w14:textId="2A559CDE" w:rsidR="00D21080" w:rsidRDefault="006D6B8A" w:rsidP="00D21080">
      <w:r>
        <w:t>Word Count : 1365</w:t>
      </w:r>
    </w:p>
    <w:sectPr w:rsidR="00D210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1080"/>
    <w:rsid w:val="001E7E37"/>
    <w:rsid w:val="006C19C5"/>
    <w:rsid w:val="006D6B8A"/>
    <w:rsid w:val="00D210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3ACA68"/>
  <w15:chartTrackingRefBased/>
  <w15:docId w15:val="{33E14CA1-C100-49AA-91E2-A7CC8FA609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93624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6</Pages>
  <Words>1484</Words>
  <Characters>8462</Characters>
  <Application>Microsoft Office Word</Application>
  <DocSecurity>0</DocSecurity>
  <Lines>70</Lines>
  <Paragraphs>19</Paragraphs>
  <ScaleCrop>false</ScaleCrop>
  <Company>Gwent Police</Company>
  <LinksUpToDate>false</LinksUpToDate>
  <CharactersWithSpaces>9927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Linton, Emma-Marie</dc:creator>
  <cp:keywords/>
  <dc:description/>
  <cp:lastModifiedBy>Linton, Emma-Marie</cp:lastModifiedBy>
  <cp:revision>2</cp:revision>
  <dcterms:created xsi:type="dcterms:W3CDTF">2025-07-26T22:45:00Z</dcterms:created>
  <dcterms:modified xsi:type="dcterms:W3CDTF">2025-07-27T00:38:00Z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2025-07-27T00:35:59Z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d349728c-e07f-4db9-a139-656665662e10</vt:lpwstr>
  </property>
  <property fmtid="{D5CDD505-2E9C-101B-9397-08002B2CF9AE}" pid="8" name="MSIP_Label_f2acd28b-79a3-4a0f-b0ff-4b75658b1549_ContentBits">
    <vt:lpwstr>0</vt:lpwstr>
  </property>
</Properties>
</file>