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B15CA" w14:textId="654D5925" w:rsidR="00E43874" w:rsidRDefault="00E43874"/>
    <w:p w14:paraId="3A05AD5E" w14:textId="230A8550" w:rsidR="00321C4C" w:rsidRDefault="00321C4C">
      <w:r w:rsidRPr="00321C4C">
        <w:t>Effective Communication, Record Keeping, and Collaborative Working in Health and Social Care: A Case Study of Mr. Ahmed</w:t>
      </w:r>
    </w:p>
    <w:p w14:paraId="65C73AF9" w14:textId="77777777" w:rsidR="00321C4C" w:rsidRDefault="00321C4C" w:rsidP="00321C4C">
      <w:r>
        <w:t>Module code: LCHS4003</w:t>
      </w:r>
    </w:p>
    <w:p w14:paraId="272E55A0" w14:textId="4F09EB33" w:rsidR="00321C4C" w:rsidRDefault="00321C4C" w:rsidP="00321C4C">
      <w:r>
        <w:t xml:space="preserve">Name: </w:t>
      </w:r>
      <w:r w:rsidR="00EB7B7E">
        <w:t>Bushara Ju</w:t>
      </w:r>
      <w:r w:rsidR="006D3BF0">
        <w:t xml:space="preserve">been </w:t>
      </w:r>
    </w:p>
    <w:p w14:paraId="37979592" w14:textId="16964659" w:rsidR="00321C4C" w:rsidRDefault="00321C4C" w:rsidP="00321C4C">
      <w:r>
        <w:t xml:space="preserve">Student number: </w:t>
      </w:r>
      <w:r w:rsidR="006D3BF0">
        <w:t>2512315</w:t>
      </w:r>
    </w:p>
    <w:p w14:paraId="4D51CF97" w14:textId="50AE0F9A" w:rsidR="00321C4C" w:rsidRDefault="00321C4C" w:rsidP="00321C4C">
      <w:r>
        <w:t xml:space="preserve">Tutor Name: </w:t>
      </w:r>
      <w:r w:rsidR="006D3BF0">
        <w:t>Ayazullah safi</w:t>
      </w:r>
    </w:p>
    <w:p w14:paraId="27FED43F" w14:textId="7B95CED4" w:rsidR="00321C4C" w:rsidRDefault="00321C4C" w:rsidP="00321C4C">
      <w:r>
        <w:t xml:space="preserve">Assignment Title: </w:t>
      </w:r>
    </w:p>
    <w:p w14:paraId="33FB89B5" w14:textId="77777777" w:rsidR="00DF3AF7" w:rsidRDefault="00DF3AF7" w:rsidP="00DF3AF7">
      <w:r>
        <w:t>Introduction</w:t>
      </w:r>
    </w:p>
    <w:p w14:paraId="13405538" w14:textId="5027EAD5" w:rsidR="00DF3AF7" w:rsidRDefault="00DF3AF7" w:rsidP="00DF3AF7">
      <w:r>
        <w:t>Mr. Ahmed’s situation shows how complex health and social care can become after a stroke, especially when communication difficulties and multiple professionals are involved. At 68, he has recently experienced a stroke and now relies on ongoing support from a multidisciplinary team and domiciliary care services. His condition affects his mobility, speech, and daily living needs, which means coordinated care is essential. In the UK, stroke remains one of the leading causes of long-term disability, often resulting in physical, cognitive, and communication challenges that require both health and social care services to work closely together to support recovery and maintain quality of life (Kadi Lubi et al., 2025).</w:t>
      </w:r>
    </w:p>
    <w:p w14:paraId="1FB1DE5C" w14:textId="421FD15D" w:rsidR="0030459E" w:rsidRDefault="0030459E" w:rsidP="00DF3AF7">
      <w:r w:rsidRPr="0030459E">
        <w:t>Provision of person-centred care, the prevention of possible risks like medication errors and service failures require effective communication, record keeping, and collaboration in their work (Hewis et al., 2026). Legislative frameworks to guarantee equality, confidentiality, and accountability are the Equality Act 2010 and the Data Protection Act 2018. The administrative and communication breakdowns are shown by the missed home visit in the care of Mr. Ahmed. This report will discuss the significance of communication, administration, and multidisciplinary collaboration and relate theory, legislation and policy with practise.</w:t>
      </w:r>
      <w:r>
        <w:t xml:space="preserve"> </w:t>
      </w:r>
    </w:p>
    <w:p w14:paraId="51FC19FC" w14:textId="497CA2E7" w:rsidR="00BE54E6" w:rsidRPr="00BE54E6" w:rsidRDefault="00BE54E6" w:rsidP="00BE54E6">
      <w:r w:rsidRPr="00BE54E6">
        <w:rPr>
          <w:b/>
          <w:bCs/>
        </w:rPr>
        <w:t>Section 1: Effective Communication in Mr. Ahmed’s Care</w:t>
      </w:r>
    </w:p>
    <w:p w14:paraId="4F7DAA98" w14:textId="77777777" w:rsidR="00BE54E6" w:rsidRPr="00BE54E6" w:rsidRDefault="00BE54E6" w:rsidP="00BE54E6">
      <w:r w:rsidRPr="00BE54E6">
        <w:rPr>
          <w:b/>
          <w:bCs/>
        </w:rPr>
        <w:t>Importance of Effective Communication</w:t>
      </w:r>
      <w:r w:rsidRPr="00BE54E6">
        <w:br/>
        <w:t>Effective communication in health and social care is the healthy, correct and respectful flow of information between the professional, service users, and families (Silva et al., 2023). It is important in terms of patient safety, better health outcomes, and person-centred care. Communication is especially significant in the case of Mr. Ahmed because of his stroke which might result in difficulty in speech and comprehension and his poor mastery of the English language. Inappropriate communication may cause misunderstanding, postponing the treatment, and severe risks including missing medication. Furthermore, the missed domiciliary care visit demonstrates the direct negative impact of communication failures on patient safety and recovery, emphasising the importance of consistent, clear communication in complex care settings.</w:t>
      </w:r>
    </w:p>
    <w:p w14:paraId="337C3606" w14:textId="77777777" w:rsidR="00D50B07" w:rsidRDefault="00D50B07" w:rsidP="00D50B07">
      <w:r>
        <w:t>Communication with Service User and Family</w:t>
      </w:r>
    </w:p>
    <w:p w14:paraId="467AAEFA" w14:textId="3F314152" w:rsidR="00BE54E6" w:rsidRDefault="00D50B07" w:rsidP="00D50B07">
      <w:r>
        <w:t xml:space="preserve">The person-centred approach will demand that the professionals change their communication strategies to address the needs of Mr. Ahmed. This involves simple language use, use of aides and professional interpreters to overcome language barrier. There is also the issue of cultural sensitivity since the background of Mr. Ahmed is Bengali and this could affect his conception of </w:t>
      </w:r>
      <w:r>
        <w:lastRenderedPageBreak/>
        <w:t>health and care. Through his wife, he will be involved in communication with the professionals, but it also presents some ethical issues, such as confidentiality and the accuracy of information, which can be raised by having only family members involved. However, the professionals involved should strike a balance between family participation and the desire to make sure that the voice and autonomy of Mr. Ahmed should be taken into consideration.</w:t>
      </w:r>
    </w:p>
    <w:p w14:paraId="0515A70C" w14:textId="77777777" w:rsidR="00D50B07" w:rsidRDefault="00D50B07" w:rsidP="00D50B07">
      <w:r>
        <w:t>Equality Act 2010</w:t>
      </w:r>
    </w:p>
    <w:p w14:paraId="2963A3AD" w14:textId="2AB62212" w:rsidR="00D50B07" w:rsidRDefault="00D50B07" w:rsidP="00D50B07">
      <w:r>
        <w:t>Equal opportunities, inclusivity and reasonable accommodation of services are encouraged by the Equality Act 2010. The reasonable adjustments that can be made in case of Mr. Ahmed are language support and accessibility of information to achieve an equal opportunity to take care (Equality Act 2010, Section 20). The inability to resolve communication obstacles can be a factor in health disparities and the violation of the principle of fair healthcare. Legal and ethical requirements are therefore met by cultural competence among the professionals.</w:t>
      </w:r>
    </w:p>
    <w:p w14:paraId="25B0B570" w14:textId="77777777" w:rsidR="00D50B07" w:rsidRDefault="00D50B07" w:rsidP="00D50B07">
      <w:r>
        <w:t>Communication Model</w:t>
      </w:r>
    </w:p>
    <w:p w14:paraId="19F7C7B1" w14:textId="072D4B41" w:rsidR="00D50B07" w:rsidRDefault="00D50B07" w:rsidP="00D50B07">
      <w:r>
        <w:t>Communication according to the Shannon and Weaver model is a process with a sender, message, channel, receiver, and feedback and possible obstacles or noise (Abdullahi Aliyu Maiwada, 2025). At the hands of Mr. Ahmed, the healthcare professionals are the senders of information regarding the medications and care plans. Language barriers and speech problems that are associated with strokes are noise that can create distortion of messages. Interpreters, written instructions, visual aids are some of the strategies that can help to mitigate noise and promote understanding. Feedback from Mr. Ahmed and his wife will be necessary to ensure that information has been properly interpreted. Moreover, Atinga et al., (2024) states that communication is vital in building trust, improving safety, and improving care outcomes, whereas a lack of communication may cause severe results, as observed in the case of the missed medication. Ongoing education in communicational skills is a mandatory measure to the professionals dealing with a wide and complicated care environment.</w:t>
      </w:r>
    </w:p>
    <w:p w14:paraId="4E8D584B" w14:textId="36530BB7" w:rsidR="00D50B07" w:rsidRDefault="00D50B07" w:rsidP="00D50B07">
      <w:r w:rsidRPr="00D50B07">
        <w:t>Section 2: Administrative Skills and Record Keeping</w:t>
      </w:r>
    </w:p>
    <w:p w14:paraId="46564574" w14:textId="77777777" w:rsidR="001E4124" w:rsidRDefault="001E4124" w:rsidP="001E4124">
      <w:r>
        <w:t>Importance of Administrative Skills in Health and Social Care</w:t>
      </w:r>
    </w:p>
    <w:p w14:paraId="76E3941B" w14:textId="76B35871" w:rsidR="001E4124" w:rsidRDefault="001E4124" w:rsidP="001E4124">
      <w:r>
        <w:t>The professional practice in health and social care is based on administrative skills (Longhini, Rossettini and Palese, 2022). They involve proper documentation, scheduling, information management and services coordination. Such abilities promote patient safety, accountability and continuity of care. Furthermore, the missed home visit in the case of Mr. Ahmed indicates that there is a flaw in administrative procedures and the fact that poor organisation and communication can undermine patient safety.</w:t>
      </w:r>
    </w:p>
    <w:p w14:paraId="37DF189C" w14:textId="77777777" w:rsidR="001E4124" w:rsidRDefault="001E4124" w:rsidP="001E4124">
      <w:r>
        <w:t>Record Keeping in Professional Practice</w:t>
      </w:r>
    </w:p>
    <w:p w14:paraId="15BBC81D" w14:textId="5BF83DB6" w:rsidR="001E4124" w:rsidRDefault="001E4124" w:rsidP="001E4124">
      <w:r>
        <w:t>Record keeping consists of well-organised records of care plans, medications, visit documentation and clinical records (Rees et al., 2023). Proper documentation can be used to ensure that all the professionals working with Mr. Ahmed have access to uniform updated information. They also assist in decision-making, accountability in the law, and quality assurance. Record keeping is very important in the coordination of the care and prevents errors in multidisciplinary settings. Ongoing evaluation of records and adherence to professional standards ensures both ethical and legal compliance.Data Protection Act 2018 and GDPR</w:t>
      </w:r>
    </w:p>
    <w:p w14:paraId="26CB964C" w14:textId="5FF8BBBA" w:rsidR="001E4124" w:rsidRDefault="001E4124" w:rsidP="001E4124">
      <w:r>
        <w:lastRenderedPageBreak/>
        <w:t>Data Protection Act 2018 and GDPR have laid down the principles to use in processing personal data which include lawfulness, fairness, transparency, data minimisation and confidentiality. By working with Mr. Ahmed, the professionals should make sure that his sensitive health data are stored securely and shared between the multidisciplinary team accordingly. Important ethical considerations include consent and confidentiality, especially when communicating with family members. However, adherence to data protection laws will guarantee the protection of the rights of Mr. Ahmed and allow sharing information effectively.</w:t>
      </w:r>
    </w:p>
    <w:p w14:paraId="250007D7" w14:textId="77777777" w:rsidR="001E4124" w:rsidRDefault="001E4124" w:rsidP="001E4124">
      <w:r>
        <w:t>Relevant Policies and Legislation</w:t>
      </w:r>
    </w:p>
    <w:p w14:paraId="6B585049" w14:textId="0D3977DC" w:rsidR="001E4124" w:rsidRDefault="001E4124" w:rsidP="001E4124">
      <w:r>
        <w:t>The Care Quality Commission (CQC) as a regulatory body governs the standards of quality and safe and efficient care, including the need for correct documentation and accountability (Murray and Barnes, 2023). Professional practice is further informed by NHS policies and information protection structures (NHS England, 2022). The significance of record keeping, confidentiality, and professional responsibility are highlighted in codes of conduct issued by professional organisations like Nursing and Midwifery Council (NMC) and Health and Care Professionals Council (HCPC) (Lyons and Arai, 2023). Conversely, Ngoc and Tomáš Peráček (2023) state that ineffective record keeping may result in lawsuits, professional misconduct and patient safety. Digital record systems, employee training, auditing and supervision are some of the strategies to enhance administrative practice. Enhancement of administrative procedures is therefore of crucial importance to the prevention of such incidents as the missed visit in the case of Mr. Ahmed.</w:t>
      </w:r>
    </w:p>
    <w:p w14:paraId="2C2C22C1" w14:textId="77777777" w:rsidR="00074097" w:rsidRDefault="00074097" w:rsidP="00074097">
      <w:r>
        <w:t>Section 3: Collaborative Working in Mr. Ahmed’s Care</w:t>
      </w:r>
    </w:p>
    <w:p w14:paraId="343E1B02" w14:textId="77777777" w:rsidR="00074097" w:rsidRDefault="00074097" w:rsidP="00074097">
      <w:r>
        <w:t>Importance of Multi-Professional Collaboration</w:t>
      </w:r>
    </w:p>
    <w:p w14:paraId="4D9EEDD9" w14:textId="77777777" w:rsidR="00074097" w:rsidRDefault="00074097" w:rsidP="00074097">
      <w:r>
        <w:t>Multidisciplinary collaboration is a concept that involves various health and social care workers collaborating to provide holistic and person-centred care (Kari, Kortejärvi and Laaksonen, 2022). In the case of Mr. Ahmed, the multidisciplinary team comprises the GP, the district nurse, domiciliary care workers, and the speech and language therapist. Each one of the professionals has a specific role to play in assisting his medical attention, rehabilitation needs, and needs of his daily living. In complex cases like post-stroke care, collaborative work is crucial because it fosters coordinated services to meet the needs of the service user. Effective collaboration enhances continuity of care, promotes patient safety, facilitates improved health outcomes, and limits the possibility of fragmented or repeated services.</w:t>
      </w:r>
    </w:p>
    <w:p w14:paraId="65177AAB" w14:textId="77777777" w:rsidR="00074097" w:rsidRDefault="00074097" w:rsidP="00074097">
      <w:r>
        <w:t>Approaches to Effective Collaboration</w:t>
      </w:r>
    </w:p>
    <w:p w14:paraId="50C9CDFC" w14:textId="77777777" w:rsidR="00074097" w:rsidRDefault="00074097" w:rsidP="00074097">
      <w:r>
        <w:t>The intended cooperation is ensured using shared care plans, frequent multidisciplinary meetings, and communication among professionals. Responsibility is also aided by defining roles and responsibilities, which serve to avoid misunderstandings and make the team accountable (Helle and Roberts, 2023). Coordinated care is also supported using structured communication systems and documentation, which allow professionals to exchange information on the condition and progress of the patient, Mr. Ahmed.</w:t>
      </w:r>
    </w:p>
    <w:p w14:paraId="3F888F58" w14:textId="77777777" w:rsidR="00074097" w:rsidRDefault="00074097" w:rsidP="00074097">
      <w:r>
        <w:t>Challenges in Multi-Agency Working</w:t>
      </w:r>
    </w:p>
    <w:p w14:paraId="74F00173" w14:textId="77777777" w:rsidR="00074097" w:rsidRDefault="00074097" w:rsidP="00074097">
      <w:r>
        <w:t xml:space="preserve">Barriers to communication, lack of clarity in professional roles, and organisational differences may influence multi-agency work. There can also be problems with information sharing because of issues of confidentiality or administrative restrictions. This can be the cause of the </w:t>
      </w:r>
      <w:r>
        <w:lastRenderedPageBreak/>
        <w:t>missed home visit and delayed medication, as appears in the case of Mr. Ahmed, which emphasises the lack of coordination.</w:t>
      </w:r>
    </w:p>
    <w:p w14:paraId="36749ADB" w14:textId="77777777" w:rsidR="00074097" w:rsidRDefault="00074097" w:rsidP="00074097">
      <w:r>
        <w:t>Strategies to Overcome Challenges</w:t>
      </w:r>
    </w:p>
    <w:p w14:paraId="5956B101" w14:textId="326583A0" w:rsidR="001E4124" w:rsidRDefault="00074097" w:rsidP="00074097">
      <w:r>
        <w:t>To deal with such issues, integrated care systems, effective leaders, and interprofessional training are critical. Digital information systems have the capability to enhance communication and sharing of information, and coordinated leadership makes accountability a reality (Das, 2024). These strategies enhance partner practice and minimise risks in complex care environments.</w:t>
      </w:r>
    </w:p>
    <w:p w14:paraId="18E59E19" w14:textId="77777777" w:rsidR="00074097" w:rsidRDefault="00074097" w:rsidP="00074097">
      <w:r>
        <w:t>Conclusion</w:t>
      </w:r>
    </w:p>
    <w:p w14:paraId="3E948AF7" w14:textId="7506CF4B" w:rsidR="00074097" w:rsidRDefault="00074097" w:rsidP="00074097">
      <w:r>
        <w:t xml:space="preserve">The case of Mr. Ahmed illustrates that effective communication, record keeping, and working in health and social care are of vital essence. Communication barriers, administrative flaws, and coordination issues might strongly impact patient safety and quality of care, as demonstrated in the missed medication incident. Acts like the Equality Act 2010 and the Data Protection Act 2018 offer guidelines for equality, confidentiality, and accountability in professional practice. Multidisciplinary practice facilitates holistic and person-centred practice, whereas strong administrative </w:t>
      </w:r>
    </w:p>
    <w:p w14:paraId="6300E1BC" w14:textId="39C63CC5" w:rsidR="00074097" w:rsidRDefault="00074097" w:rsidP="00074097">
      <w:r>
        <w:t xml:space="preserve">References </w:t>
      </w:r>
    </w:p>
    <w:p w14:paraId="415A0412" w14:textId="77777777" w:rsidR="00074097" w:rsidRDefault="00074097" w:rsidP="00074097">
      <w:r>
        <w:t>Equality Act 2010 (UK) – legislation consolidating anti</w:t>
      </w:r>
      <w:r>
        <w:rPr>
          <w:rFonts w:ascii="Cambria Math" w:hAnsi="Cambria Math" w:cs="Cambria Math"/>
        </w:rPr>
        <w:t>‑</w:t>
      </w:r>
      <w:r>
        <w:t>discrimination law protecting protected characteristics and requiring reasonable adjustments. Equality Act 2010. (2010). UK Public General Acts.</w:t>
      </w:r>
    </w:p>
    <w:p w14:paraId="355AECD3" w14:textId="77777777" w:rsidR="00074097" w:rsidRDefault="00074097" w:rsidP="00074097">
      <w:r>
        <w:t xml:space="preserve"> (legislation.gov.uk in Bing)</w:t>
      </w:r>
    </w:p>
    <w:p w14:paraId="7C3C1CA9" w14:textId="77777777" w:rsidR="00074097" w:rsidRDefault="00074097" w:rsidP="00074097">
      <w:r>
        <w:t>Helle, G. and Roberts, J.D. (2023). Accountability for responsibility: a case study of a more intelligent enactment of accountability. Accounting, Auditing &amp; Accountability.</w:t>
      </w:r>
    </w:p>
    <w:p w14:paraId="29248093" w14:textId="77777777" w:rsidR="00074097" w:rsidRDefault="00074097" w:rsidP="00074097">
      <w:r>
        <w:t xml:space="preserve"> (doi.org in Bing)</w:t>
      </w:r>
    </w:p>
    <w:p w14:paraId="78654092" w14:textId="77777777" w:rsidR="00074097" w:rsidRDefault="00074097" w:rsidP="00074097">
      <w:r>
        <w:t>Hewis, J., Hargan, J., Strudwick, R.M. and dos, S. (2026). Person</w:t>
      </w:r>
      <w:r>
        <w:rPr>
          <w:rFonts w:ascii="Cambria Math" w:hAnsi="Cambria Math" w:cs="Cambria Math"/>
        </w:rPr>
        <w:t>‑</w:t>
      </w:r>
      <w:r>
        <w:t>Centred and Personalised Care for Radiography in the AI Era. pp. 247</w:t>
      </w:r>
      <w:r>
        <w:rPr>
          <w:rFonts w:ascii="Aptos" w:hAnsi="Aptos" w:cs="Aptos"/>
        </w:rPr>
        <w:t>–</w:t>
      </w:r>
      <w:r>
        <w:t>258.</w:t>
      </w:r>
    </w:p>
    <w:p w14:paraId="6553D312" w14:textId="4C9E0DB3" w:rsidR="00074097" w:rsidRDefault="00074097" w:rsidP="00074097">
      <w:r>
        <w:t xml:space="preserve"> (doi.org in Bing)</w:t>
      </w:r>
    </w:p>
    <w:p w14:paraId="5BD53420" w14:textId="77777777" w:rsidR="00074097" w:rsidRDefault="00074097" w:rsidP="00074097"/>
    <w:p w14:paraId="1D3DA09F" w14:textId="77777777" w:rsidR="00074097" w:rsidRDefault="00074097" w:rsidP="00074097">
      <w:r>
        <w:t>Equality Act 2010 (UK) – legislation consolidating anti</w:t>
      </w:r>
      <w:r>
        <w:rPr>
          <w:rFonts w:ascii="Cambria Math" w:hAnsi="Cambria Math" w:cs="Cambria Math"/>
        </w:rPr>
        <w:t>‑</w:t>
      </w:r>
      <w:r>
        <w:t>discrimination law protecting protected characteristics and requiring reasonable adjustments. Equality Act 2010. (2010). UK Public General Acts.</w:t>
      </w:r>
    </w:p>
    <w:p w14:paraId="6047A3F0" w14:textId="77777777" w:rsidR="00074097" w:rsidRDefault="00074097" w:rsidP="00074097">
      <w:r>
        <w:t xml:space="preserve"> (legislation.gov.uk in Bing)</w:t>
      </w:r>
    </w:p>
    <w:p w14:paraId="37692686" w14:textId="77777777" w:rsidR="00074097" w:rsidRDefault="00074097" w:rsidP="00074097">
      <w:r>
        <w:t>Helle, G. and Roberts, J.D. (2023). Accountability for responsibility: a case study of a more intelligent enactment of accountability. Accounting, Auditing &amp; Accountability.</w:t>
      </w:r>
    </w:p>
    <w:p w14:paraId="57F7B194" w14:textId="77777777" w:rsidR="00074097" w:rsidRDefault="00074097" w:rsidP="00074097">
      <w:r>
        <w:t xml:space="preserve"> (doi.org in Bing)</w:t>
      </w:r>
    </w:p>
    <w:p w14:paraId="54645EDE" w14:textId="77777777" w:rsidR="00074097" w:rsidRDefault="00074097" w:rsidP="00074097">
      <w:r>
        <w:t>Hewis, J., Hargan, J., Strudwick, R.M. and dos, S. (2026). Person</w:t>
      </w:r>
      <w:r>
        <w:rPr>
          <w:rFonts w:ascii="Cambria Math" w:hAnsi="Cambria Math" w:cs="Cambria Math"/>
        </w:rPr>
        <w:t>‑</w:t>
      </w:r>
      <w:r>
        <w:t>Centred and Personalised Care for Radiography in the AI Era. pp. 247</w:t>
      </w:r>
      <w:r>
        <w:rPr>
          <w:rFonts w:ascii="Aptos" w:hAnsi="Aptos" w:cs="Aptos"/>
        </w:rPr>
        <w:t>–</w:t>
      </w:r>
      <w:r>
        <w:t>258.</w:t>
      </w:r>
    </w:p>
    <w:p w14:paraId="29985E44" w14:textId="77777777" w:rsidR="00074097" w:rsidRDefault="00074097" w:rsidP="00074097">
      <w:r>
        <w:t xml:space="preserve"> (doi.org in Bing)</w:t>
      </w:r>
    </w:p>
    <w:p w14:paraId="55651498" w14:textId="77777777" w:rsidR="00074097" w:rsidRDefault="00074097" w:rsidP="00074097">
      <w:r>
        <w:lastRenderedPageBreak/>
        <w:t>Kadi Lubi, Helin Pevkur, Katrin Gross</w:t>
      </w:r>
      <w:r>
        <w:rPr>
          <w:rFonts w:ascii="Cambria Math" w:hAnsi="Cambria Math" w:cs="Cambria Math"/>
        </w:rPr>
        <w:t>‑</w:t>
      </w:r>
      <w:r>
        <w:t>Paju, Maarja</w:t>
      </w:r>
      <w:r>
        <w:rPr>
          <w:rFonts w:ascii="Cambria Math" w:hAnsi="Cambria Math" w:cs="Cambria Math"/>
        </w:rPr>
        <w:t>‑</w:t>
      </w:r>
      <w:r>
        <w:t>Liis Elland and Ross, P. (2025). The opportunities and challenges of integrating health and social care in post</w:t>
      </w:r>
      <w:r>
        <w:rPr>
          <w:rFonts w:ascii="Cambria Math" w:hAnsi="Cambria Math" w:cs="Cambria Math"/>
        </w:rPr>
        <w:t>‑</w:t>
      </w:r>
      <w:r>
        <w:t>stroke patient journey: perceptions of Estonian professionals. Health Policy, 159, pp.105377</w:t>
      </w:r>
      <w:r>
        <w:rPr>
          <w:rFonts w:ascii="Aptos" w:hAnsi="Aptos" w:cs="Aptos"/>
        </w:rPr>
        <w:t>–</w:t>
      </w:r>
      <w:r>
        <w:t>105377.</w:t>
      </w:r>
    </w:p>
    <w:p w14:paraId="4773EAAF" w14:textId="74EF5AE0" w:rsidR="00074097" w:rsidRDefault="00074097" w:rsidP="00074097">
      <w:r>
        <w:t xml:space="preserve"> (doi.org in Bing)</w:t>
      </w:r>
    </w:p>
    <w:p w14:paraId="44FF108B" w14:textId="77777777" w:rsidR="00074097" w:rsidRDefault="00074097" w:rsidP="00074097">
      <w:r w:rsidRPr="006C19C3">
        <w:t xml:space="preserve">Longhini, J., Rossettini, G. and Palese, A. (2022). </w:t>
      </w:r>
      <w:r>
        <w:t>Digital Health Competencies Among Health Care Professionals: Systematic Review. Journal of Medical Internet Research, 24(8), p.e36414.</w:t>
      </w:r>
    </w:p>
    <w:p w14:paraId="082A7D97" w14:textId="77777777" w:rsidR="00074097" w:rsidRDefault="00074097" w:rsidP="00074097">
      <w:r>
        <w:t>https://doi.org/10.2196/36414</w:t>
      </w:r>
    </w:p>
    <w:p w14:paraId="6120BC35" w14:textId="77777777" w:rsidR="00074097" w:rsidRDefault="00074097" w:rsidP="00074097">
      <w:r>
        <w:t>Lyons, M. and Arai, L. (2023). Becoming a health and social care professional. Routledge eBooks, pp. 65–85.</w:t>
      </w:r>
    </w:p>
    <w:p w14:paraId="655A45B1" w14:textId="426FEC53" w:rsidR="00074097" w:rsidRPr="00BE54E6" w:rsidRDefault="00074097" w:rsidP="00074097">
      <w:r>
        <w:t xml:space="preserve"> (doi.org in Bing)</w:t>
      </w:r>
    </w:p>
    <w:p w14:paraId="5277B9C2" w14:textId="77777777" w:rsidR="00074097" w:rsidRDefault="00074097" w:rsidP="00074097">
      <w:r>
        <w:t>Murray, M. and Barnes, A. (2023). Safety and Quality in Healthcare. oercollective.caul.edu.au.</w:t>
      </w:r>
    </w:p>
    <w:p w14:paraId="561E3339" w14:textId="77777777" w:rsidR="00074097" w:rsidRDefault="00074097" w:rsidP="00074097">
      <w:r>
        <w:t>Available at:  (oercollective.caul.edu.au in Bing)</w:t>
      </w:r>
    </w:p>
    <w:p w14:paraId="01A93003" w14:textId="5F9FF330" w:rsidR="00BE54E6" w:rsidRDefault="00074097" w:rsidP="00074097">
      <w:r>
        <w:t>Ngoc, P. and Tomáš Peráček (2023). Implementation of a Working Time Recording System as a Digital Management Tool in Public Administration. Administrative Sciences, 13(12), pp.253–253.</w:t>
      </w:r>
    </w:p>
    <w:p w14:paraId="6327707D" w14:textId="22DBB6CB" w:rsidR="00074097" w:rsidRDefault="00074097" w:rsidP="00074097">
      <w:r w:rsidRPr="00074097">
        <w:t>Rees, J., Burton, A., Walters, K. and Cooper, C. (2023). Exploring the provision and support of care for long</w:t>
      </w:r>
      <w:r w:rsidRPr="00074097">
        <w:rPr>
          <w:rFonts w:ascii="Cambria Math" w:hAnsi="Cambria Math" w:cs="Cambria Math"/>
        </w:rPr>
        <w:t>‑</w:t>
      </w:r>
      <w:r w:rsidRPr="00074097">
        <w:t>term conditions in dementia: A qualitative study combining interviews and document analysis. Dementia, 22(4), pp.820</w:t>
      </w:r>
      <w:r w:rsidRPr="00074097">
        <w:rPr>
          <w:rFonts w:ascii="Aptos" w:hAnsi="Aptos" w:cs="Aptos"/>
        </w:rPr>
        <w:t>–</w:t>
      </w:r>
      <w:r w:rsidRPr="00074097">
        <w:t>837.</w:t>
      </w:r>
    </w:p>
    <w:p w14:paraId="7B135EF2" w14:textId="77777777" w:rsidR="00074097" w:rsidRDefault="00074097" w:rsidP="00074097"/>
    <w:p w14:paraId="312E6D90" w14:textId="77777777" w:rsidR="00074097" w:rsidRDefault="00074097" w:rsidP="00074097">
      <w:r>
        <w:t>NHS England. (2022). Equality, Diversity and Human Rights: Guidance for NHS Organisations. London: NHS England.</w:t>
      </w:r>
    </w:p>
    <w:p w14:paraId="6EDA9F6E" w14:textId="5D2E0CB2" w:rsidR="00074097" w:rsidRDefault="00074097" w:rsidP="00074097">
      <w:r>
        <w:t>https://www.england.nhs.uk/</w:t>
      </w:r>
    </w:p>
    <w:sectPr w:rsidR="000740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874"/>
    <w:rsid w:val="00052CF1"/>
    <w:rsid w:val="00074097"/>
    <w:rsid w:val="001E4124"/>
    <w:rsid w:val="0030459E"/>
    <w:rsid w:val="00321C4C"/>
    <w:rsid w:val="006C19C3"/>
    <w:rsid w:val="006D3BF0"/>
    <w:rsid w:val="00A73C57"/>
    <w:rsid w:val="00BE54E6"/>
    <w:rsid w:val="00D50B07"/>
    <w:rsid w:val="00DD31B0"/>
    <w:rsid w:val="00DF3AF7"/>
    <w:rsid w:val="00E43874"/>
    <w:rsid w:val="00EB7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61ECE"/>
  <w15:chartTrackingRefBased/>
  <w15:docId w15:val="{6128E50F-1597-4184-8A11-A8978AF69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8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38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38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38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38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38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38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38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38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8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38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38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38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38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38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38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38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3874"/>
    <w:rPr>
      <w:rFonts w:eastAsiaTheme="majorEastAsia" w:cstheme="majorBidi"/>
      <w:color w:val="272727" w:themeColor="text1" w:themeTint="D8"/>
    </w:rPr>
  </w:style>
  <w:style w:type="paragraph" w:styleId="Title">
    <w:name w:val="Title"/>
    <w:basedOn w:val="Normal"/>
    <w:next w:val="Normal"/>
    <w:link w:val="TitleChar"/>
    <w:uiPriority w:val="10"/>
    <w:qFormat/>
    <w:rsid w:val="00E438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38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38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38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3874"/>
    <w:pPr>
      <w:spacing w:before="160"/>
      <w:jc w:val="center"/>
    </w:pPr>
    <w:rPr>
      <w:i/>
      <w:iCs/>
      <w:color w:val="404040" w:themeColor="text1" w:themeTint="BF"/>
    </w:rPr>
  </w:style>
  <w:style w:type="character" w:customStyle="1" w:styleId="QuoteChar">
    <w:name w:val="Quote Char"/>
    <w:basedOn w:val="DefaultParagraphFont"/>
    <w:link w:val="Quote"/>
    <w:uiPriority w:val="29"/>
    <w:rsid w:val="00E43874"/>
    <w:rPr>
      <w:i/>
      <w:iCs/>
      <w:color w:val="404040" w:themeColor="text1" w:themeTint="BF"/>
    </w:rPr>
  </w:style>
  <w:style w:type="paragraph" w:styleId="ListParagraph">
    <w:name w:val="List Paragraph"/>
    <w:basedOn w:val="Normal"/>
    <w:uiPriority w:val="34"/>
    <w:qFormat/>
    <w:rsid w:val="00E43874"/>
    <w:pPr>
      <w:ind w:left="720"/>
      <w:contextualSpacing/>
    </w:pPr>
  </w:style>
  <w:style w:type="character" w:styleId="IntenseEmphasis">
    <w:name w:val="Intense Emphasis"/>
    <w:basedOn w:val="DefaultParagraphFont"/>
    <w:uiPriority w:val="21"/>
    <w:qFormat/>
    <w:rsid w:val="00E43874"/>
    <w:rPr>
      <w:i/>
      <w:iCs/>
      <w:color w:val="0F4761" w:themeColor="accent1" w:themeShade="BF"/>
    </w:rPr>
  </w:style>
  <w:style w:type="paragraph" w:styleId="IntenseQuote">
    <w:name w:val="Intense Quote"/>
    <w:basedOn w:val="Normal"/>
    <w:next w:val="Normal"/>
    <w:link w:val="IntenseQuoteChar"/>
    <w:uiPriority w:val="30"/>
    <w:qFormat/>
    <w:rsid w:val="00E438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3874"/>
    <w:rPr>
      <w:i/>
      <w:iCs/>
      <w:color w:val="0F4761" w:themeColor="accent1" w:themeShade="BF"/>
    </w:rPr>
  </w:style>
  <w:style w:type="character" w:styleId="IntenseReference">
    <w:name w:val="Intense Reference"/>
    <w:basedOn w:val="DefaultParagraphFont"/>
    <w:uiPriority w:val="32"/>
    <w:qFormat/>
    <w:rsid w:val="00E4387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2008</Words>
  <Characters>11450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Bushra Jubeen</dc:creator>
  <cp:keywords/>
  <dc:description/>
  <cp:lastModifiedBy>Bushra Jubeen</cp:lastModifiedBy>
  <cp:revision>4</cp:revision>
  <dcterms:created xsi:type="dcterms:W3CDTF">2026-03-26T17:51:00Z</dcterms:created>
  <dcterms:modified xsi:type="dcterms:W3CDTF">2026-03-26T21:09:00Z</dcterms:modified>
</cp:coreProperties>
</file>