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2090649"/>
        <w:docPartObj>
          <w:docPartGallery w:val="Cover Pages"/>
          <w:docPartUnique/>
        </w:docPartObj>
      </w:sdtPr>
      <w:sdtEndPr/>
      <w:sdtContent>
        <w:p w14:paraId="51BB980F" w14:textId="0FFE4690" w:rsidR="00D8150C" w:rsidRDefault="00D8150C">
          <w:r>
            <w:rPr>
              <w:noProof/>
            </w:rPr>
            <mc:AlternateContent>
              <mc:Choice Requires="wps">
                <w:drawing>
                  <wp:anchor distT="0" distB="0" distL="114300" distR="114300" simplePos="0" relativeHeight="251664384" behindDoc="0" locked="0" layoutInCell="1" allowOverlap="1" wp14:anchorId="24C54B12" wp14:editId="3FDDC04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E22BEF" w14:textId="6EB3AEF0" w:rsidR="00D8150C" w:rsidRDefault="007730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8150C">
                                      <w:rPr>
                                        <w:noProof/>
                                        <w:color w:val="44546A" w:themeColor="text2"/>
                                      </w:rPr>
                                      <w:t>Daniel Hurford (2103530)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4C54B12" id="_x0000_t202" coordsize="21600,21600" o:spt="202" path="m,l,21600r21600,l21600,xe">
                    <v:stroke joinstyle="miter"/>
                    <v:path gradientshapeok="t" o:connecttype="rect"/>
                  </v:shapetype>
                  <v:shape id="Text Box 2"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25E22BEF" w14:textId="6EB3AEF0" w:rsidR="00D8150C" w:rsidRDefault="007730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8150C">
                                <w:rPr>
                                  <w:noProof/>
                                  <w:color w:val="44546A" w:themeColor="text2"/>
                                </w:rPr>
                                <w:t>Daniel Hurford (2103530)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926AD0D" wp14:editId="1BC9A138">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E917C66" w14:textId="77777777" w:rsidR="00D8150C" w:rsidRDefault="00D8150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26AD0D"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7E917C66" w14:textId="77777777" w:rsidR="00D8150C" w:rsidRDefault="00D8150C"/>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0DBCBA7" wp14:editId="28E5C39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994A555"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D54D2BE" wp14:editId="1A25AA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678E49E"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20504AE" wp14:editId="6BA948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3C68D18" w14:textId="17EBE52F" w:rsidR="00D8150C" w:rsidRDefault="00D8150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Vulnerability</w:t>
                                    </w:r>
                                  </w:p>
                                </w:sdtContent>
                              </w:sdt>
                              <w:p w14:paraId="29A87CA3" w14:textId="77777777" w:rsidR="00CF57F2" w:rsidRPr="00CF57F2" w:rsidRDefault="00CF57F2" w:rsidP="00CF57F2">
                                <w:pPr>
                                  <w:pStyle w:val="paragraph"/>
                                  <w:spacing w:before="0" w:beforeAutospacing="0" w:after="0" w:afterAutospacing="0"/>
                                  <w:rPr>
                                    <w:rStyle w:val="normaltextrun"/>
                                    <w:rFonts w:ascii="Arial" w:eastAsia="Arial" w:hAnsi="Arial" w:cs="Arial"/>
                                    <w:b/>
                                    <w:bCs/>
                                    <w:color w:val="0070C0"/>
                                    <w:sz w:val="22"/>
                                    <w:szCs w:val="22"/>
                                  </w:rPr>
                                </w:pPr>
                                <w:r w:rsidRPr="00CF57F2">
                                  <w:rPr>
                                    <w:rStyle w:val="normaltextrun"/>
                                    <w:rFonts w:ascii="Arial" w:hAnsi="Arial" w:cs="Arial"/>
                                    <w:b/>
                                    <w:bCs/>
                                    <w:color w:val="0070C0"/>
                                    <w:sz w:val="22"/>
                                    <w:szCs w:val="22"/>
                                  </w:rPr>
                                  <w:t>Examine and discuss the factors that can contribute to the causes of vulnerability.</w:t>
                                </w:r>
                              </w:p>
                              <w:p w14:paraId="731F7588" w14:textId="2ED20565" w:rsidR="00D8150C" w:rsidRDefault="00D8150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20504AE" id="Text Box 7"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3C68D18" w14:textId="17EBE52F" w:rsidR="00D8150C" w:rsidRDefault="00D8150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Vulnerability</w:t>
                              </w:r>
                            </w:p>
                          </w:sdtContent>
                        </w:sdt>
                        <w:p w14:paraId="29A87CA3" w14:textId="77777777" w:rsidR="00CF57F2" w:rsidRPr="00CF57F2" w:rsidRDefault="00CF57F2" w:rsidP="00CF57F2">
                          <w:pPr>
                            <w:pStyle w:val="paragraph"/>
                            <w:spacing w:before="0" w:beforeAutospacing="0" w:after="0" w:afterAutospacing="0"/>
                            <w:rPr>
                              <w:rStyle w:val="normaltextrun"/>
                              <w:rFonts w:ascii="Arial" w:eastAsia="Arial" w:hAnsi="Arial" w:cs="Arial"/>
                              <w:b/>
                              <w:bCs/>
                              <w:color w:val="0070C0"/>
                              <w:sz w:val="22"/>
                              <w:szCs w:val="22"/>
                            </w:rPr>
                          </w:pPr>
                          <w:r w:rsidRPr="00CF57F2">
                            <w:rPr>
                              <w:rStyle w:val="normaltextrun"/>
                              <w:rFonts w:ascii="Arial" w:hAnsi="Arial" w:cs="Arial"/>
                              <w:b/>
                              <w:bCs/>
                              <w:color w:val="0070C0"/>
                              <w:sz w:val="22"/>
                              <w:szCs w:val="22"/>
                            </w:rPr>
                            <w:t>Examine and discuss the factors that can contribute to the causes of vulnerability.</w:t>
                          </w:r>
                        </w:p>
                        <w:p w14:paraId="731F7588" w14:textId="2ED20565" w:rsidR="00D8150C" w:rsidRDefault="00D8150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4E888225" w14:textId="2145364B" w:rsidR="00B54B68" w:rsidRDefault="00D8150C" w:rsidP="002A3581">
          <w:r>
            <w:br w:type="page"/>
          </w:r>
        </w:p>
      </w:sdtContent>
    </w:sdt>
    <w:p w14:paraId="1A82039E" w14:textId="77777777" w:rsidR="00B54B68" w:rsidRDefault="00B54B68" w:rsidP="002A3581"/>
    <w:p w14:paraId="3022EF7C" w14:textId="0E3264D5" w:rsidR="00F134E8" w:rsidRDefault="00B54B68" w:rsidP="00B54B68">
      <w:pPr>
        <w:spacing w:line="360" w:lineRule="auto"/>
        <w:rPr>
          <w:rFonts w:ascii="Arial" w:hAnsi="Arial" w:cs="Arial"/>
          <w:sz w:val="22"/>
          <w:szCs w:val="22"/>
        </w:rPr>
      </w:pPr>
      <w:r w:rsidRPr="00AA1FF1">
        <w:rPr>
          <w:rFonts w:ascii="Arial" w:hAnsi="Arial" w:cs="Arial"/>
          <w:sz w:val="22"/>
          <w:szCs w:val="22"/>
        </w:rPr>
        <w:t>Individual, political, environmental, and social variables interact in diverse ways to create vulnerability in all its manifestations (Prevention Web, 2021). It is a complex idea that has a strong connection to both risk and resilience. It may appear in a variety of situations, from larger global socioeconomic frameworks to individual mental health issues (Kuran et al., 2020). Fundamentally, vulnerability is a condition of being vulnerable to injury or exploitation, which can be caused by a variety of external and internal circumstances. A comprehensive analysis of the complex processes at work is necessary to comprehend susceptibility, considering the intersections of cultural norms, human traits, the environment, and economic inequality. Vulnerability penetrates all aspects of human existence, from marginalised populations experiencing systematic oppression to individuals overcoming personal hardships. As such, comprehensive measures are required to address and lessen its effects.</w:t>
      </w:r>
    </w:p>
    <w:p w14:paraId="482602F6" w14:textId="77777777" w:rsidR="002A69DF" w:rsidRPr="00AA1FF1" w:rsidRDefault="002A69DF" w:rsidP="00B54B68">
      <w:pPr>
        <w:spacing w:line="360" w:lineRule="auto"/>
        <w:rPr>
          <w:rFonts w:ascii="Arial" w:hAnsi="Arial" w:cs="Arial"/>
          <w:sz w:val="22"/>
          <w:szCs w:val="22"/>
        </w:rPr>
      </w:pPr>
    </w:p>
    <w:p w14:paraId="13273D03" w14:textId="00468756"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For instance, socioeconomic factors play a crucial role in vulnerable people. According to Esposito et al (2017), there are three socioeconomic factors including poverty, inequality, and unemployment or underemployment all combined to create a triangle that increases social vulnerability. Economic hardship increases vulnerability to several risks and hazards by limiting access to essential resources including food, water, healthcare, and education.</w:t>
      </w:r>
      <w:r w:rsidR="00F627AC" w:rsidRPr="00AA1FF1">
        <w:rPr>
          <w:rFonts w:ascii="Arial" w:hAnsi="Arial" w:cs="Arial"/>
          <w:sz w:val="22"/>
          <w:szCs w:val="22"/>
        </w:rPr>
        <w:t xml:space="preserve"> </w:t>
      </w:r>
      <w:r w:rsidRPr="00AA1FF1">
        <w:rPr>
          <w:rFonts w:ascii="Arial" w:hAnsi="Arial" w:cs="Arial"/>
          <w:sz w:val="22"/>
          <w:szCs w:val="22"/>
        </w:rPr>
        <w:t xml:space="preserve">The financial instability caused by insufficient income from insecure or inadequate work makes people and families more susceptible to economic shocks and disasters. </w:t>
      </w:r>
    </w:p>
    <w:p w14:paraId="635C575B"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Furthermore, inequality in wealth, income, and opportunity exacerbates vulnerability, particularly for marginalised groups whose access to resources and services is further impeded. These elements emphasise the complex processes that shape vulnerable people and it draws attention to the pressing need for all-encompassing interventions that are aimed at addressing socioeconomic disparities and fostering community resilience.</w:t>
      </w:r>
    </w:p>
    <w:p w14:paraId="689031E5" w14:textId="77777777" w:rsidR="00B54B68" w:rsidRPr="00AA1FF1" w:rsidRDefault="00B54B68" w:rsidP="00B54B68">
      <w:pPr>
        <w:spacing w:line="360" w:lineRule="auto"/>
        <w:rPr>
          <w:rFonts w:ascii="Arial" w:hAnsi="Arial" w:cs="Arial"/>
          <w:sz w:val="22"/>
          <w:szCs w:val="22"/>
        </w:rPr>
      </w:pPr>
    </w:p>
    <w:p w14:paraId="7ED71759" w14:textId="77777777" w:rsidR="00B54B68" w:rsidRPr="00AA1FF1" w:rsidRDefault="00B54B68" w:rsidP="00B54B68">
      <w:pPr>
        <w:spacing w:line="360" w:lineRule="auto"/>
        <w:rPr>
          <w:rFonts w:ascii="Arial" w:hAnsi="Arial" w:cs="Arial"/>
          <w:sz w:val="22"/>
          <w:szCs w:val="22"/>
        </w:rPr>
      </w:pPr>
    </w:p>
    <w:p w14:paraId="1CA7A686" w14:textId="77777777" w:rsidR="00B54B68" w:rsidRPr="00AA1FF1" w:rsidRDefault="00B54B68" w:rsidP="00B54B68">
      <w:pPr>
        <w:spacing w:line="360" w:lineRule="auto"/>
        <w:rPr>
          <w:rFonts w:ascii="Arial" w:hAnsi="Arial" w:cs="Arial"/>
          <w:sz w:val="22"/>
          <w:szCs w:val="22"/>
        </w:rPr>
      </w:pPr>
    </w:p>
    <w:p w14:paraId="66AC1973" w14:textId="77777777" w:rsidR="00B54B68" w:rsidRPr="00AA1FF1" w:rsidRDefault="00B54B68" w:rsidP="00B54B68">
      <w:pPr>
        <w:spacing w:line="360" w:lineRule="auto"/>
        <w:rPr>
          <w:rFonts w:ascii="Arial" w:hAnsi="Arial" w:cs="Arial"/>
          <w:sz w:val="22"/>
          <w:szCs w:val="22"/>
        </w:rPr>
      </w:pPr>
    </w:p>
    <w:p w14:paraId="73594883" w14:textId="77777777" w:rsidR="00B54B68" w:rsidRPr="00AA1FF1" w:rsidRDefault="00B54B68" w:rsidP="00B54B68">
      <w:pPr>
        <w:spacing w:line="360" w:lineRule="auto"/>
        <w:rPr>
          <w:rFonts w:ascii="Arial" w:hAnsi="Arial" w:cs="Arial"/>
          <w:sz w:val="22"/>
          <w:szCs w:val="22"/>
        </w:rPr>
      </w:pPr>
    </w:p>
    <w:p w14:paraId="59688B00" w14:textId="77777777" w:rsidR="00B43E22" w:rsidRDefault="00B43E22" w:rsidP="00B54B68">
      <w:pPr>
        <w:spacing w:line="360" w:lineRule="auto"/>
        <w:rPr>
          <w:rFonts w:ascii="Arial" w:hAnsi="Arial" w:cs="Arial"/>
          <w:sz w:val="22"/>
          <w:szCs w:val="22"/>
        </w:rPr>
      </w:pPr>
    </w:p>
    <w:p w14:paraId="142EB70D" w14:textId="77777777" w:rsidR="008E593C" w:rsidRDefault="008E593C" w:rsidP="00B54B68">
      <w:pPr>
        <w:spacing w:line="360" w:lineRule="auto"/>
        <w:rPr>
          <w:rFonts w:ascii="Arial" w:hAnsi="Arial" w:cs="Arial"/>
          <w:sz w:val="22"/>
          <w:szCs w:val="22"/>
        </w:rPr>
      </w:pPr>
    </w:p>
    <w:p w14:paraId="1B6DD202" w14:textId="77777777" w:rsidR="00F716FA" w:rsidRPr="00AA1FF1" w:rsidRDefault="00F716FA" w:rsidP="00B54B68">
      <w:pPr>
        <w:spacing w:line="360" w:lineRule="auto"/>
        <w:rPr>
          <w:rFonts w:ascii="Arial" w:hAnsi="Arial" w:cs="Arial"/>
          <w:sz w:val="22"/>
          <w:szCs w:val="22"/>
        </w:rPr>
      </w:pPr>
    </w:p>
    <w:p w14:paraId="61FBC1CF" w14:textId="77777777" w:rsidR="00B54B68" w:rsidRDefault="00B54B68" w:rsidP="00B54B68">
      <w:pPr>
        <w:spacing w:line="360" w:lineRule="auto"/>
        <w:rPr>
          <w:rFonts w:ascii="Arial" w:hAnsi="Arial" w:cs="Arial"/>
          <w:sz w:val="22"/>
          <w:szCs w:val="22"/>
        </w:rPr>
      </w:pPr>
    </w:p>
    <w:p w14:paraId="10BFF320" w14:textId="77777777" w:rsidR="002A69DF" w:rsidRPr="00AA1FF1" w:rsidRDefault="002A69DF" w:rsidP="00B54B68">
      <w:pPr>
        <w:spacing w:line="360" w:lineRule="auto"/>
        <w:rPr>
          <w:rFonts w:ascii="Arial" w:hAnsi="Arial" w:cs="Arial"/>
          <w:sz w:val="22"/>
          <w:szCs w:val="22"/>
        </w:rPr>
      </w:pPr>
    </w:p>
    <w:p w14:paraId="4A39C68B" w14:textId="375310F8" w:rsidR="00B54B68" w:rsidRPr="00AA1FF1" w:rsidRDefault="00B54B68" w:rsidP="00B54B68">
      <w:pPr>
        <w:spacing w:line="360" w:lineRule="auto"/>
        <w:rPr>
          <w:rFonts w:ascii="Arial" w:hAnsi="Arial" w:cs="Arial"/>
          <w:sz w:val="22"/>
          <w:szCs w:val="22"/>
        </w:rPr>
      </w:pPr>
    </w:p>
    <w:p w14:paraId="25829F7C"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A case study of financial vulnerability is Edith Negus, a 102-year-old woman whose carer Julie Sayles, 59, took advantage of her position of trust to start extracting money from Negus's bank account, believed to be worth £290,000, instead of doing her job (BBC News, 2017). Over time, Sayles was able to steal money from Negus' bank account by using her weakness in her advanced age. This financial scandal shows the various ways in which one can take advantage of someone's weakness. First, Sayles's use of manipulation had been made easier by her betrayal of her caretaker's trust and dependency when she was in a position of trust and loyalty. Second, Sayles may have helped Negus by taking advantage of her isolation, which would have made her more vulnerable to exploitation and manipulation. Finally, Sayles may have profited from Negus's 102 years of age, cognitive deterioration, and financial ignorance in situations where Negus would not have been able to handle her financial affairs. </w:t>
      </w:r>
    </w:p>
    <w:p w14:paraId="208429CF" w14:textId="77777777" w:rsidR="00B54B68" w:rsidRPr="00AA1FF1" w:rsidRDefault="00B54B68" w:rsidP="00B54B68">
      <w:pPr>
        <w:spacing w:line="360" w:lineRule="auto"/>
        <w:rPr>
          <w:rFonts w:ascii="Arial" w:hAnsi="Arial" w:cs="Arial"/>
          <w:sz w:val="22"/>
          <w:szCs w:val="22"/>
        </w:rPr>
      </w:pPr>
    </w:p>
    <w:p w14:paraId="78DB233A" w14:textId="2C5EAB4E"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Another vulnerability factor could be cuckooing. The term "cuckooing" is the exploitation strategy used by criminal groups to take over a vulnerable person's home and use it as a base for their illegal drug operations or other criminal activity (StopAdultAbuse, 2024). According to Lee (2022), predators especially target those who are vulnerable due to things like substance abuse, mental illness, intellectual difficulties, or social isolation. By promising drugs or making friends, they entice or threaten these helpless people, then use a vulnerable person’s home as a base from which to distribute narcotics. Furthermore, gangs may use adults and children who are weaker than others from their networks to occupy these homes; to keep control, they frequently use intimidation techniques.</w:t>
      </w:r>
      <w:r w:rsidR="00944183" w:rsidRPr="00AA1FF1">
        <w:rPr>
          <w:rFonts w:ascii="Arial" w:hAnsi="Arial" w:cs="Arial"/>
          <w:sz w:val="22"/>
          <w:szCs w:val="22"/>
        </w:rPr>
        <w:t xml:space="preserve"> </w:t>
      </w:r>
      <w:r w:rsidRPr="00AA1FF1">
        <w:rPr>
          <w:rFonts w:ascii="Arial" w:hAnsi="Arial" w:cs="Arial"/>
          <w:sz w:val="22"/>
          <w:szCs w:val="22"/>
        </w:rPr>
        <w:t xml:space="preserve">An example of economic hardship would be cuckooing, where </w:t>
      </w:r>
      <w:r w:rsidR="00C45354">
        <w:rPr>
          <w:rFonts w:ascii="Arial" w:hAnsi="Arial" w:cs="Arial"/>
          <w:sz w:val="22"/>
          <w:szCs w:val="22"/>
        </w:rPr>
        <w:t xml:space="preserve">case  in 2022 involving a lady call </w:t>
      </w:r>
      <w:r w:rsidRPr="00AA1FF1">
        <w:rPr>
          <w:rFonts w:ascii="Arial" w:hAnsi="Arial" w:cs="Arial"/>
          <w:sz w:val="22"/>
          <w:szCs w:val="22"/>
        </w:rPr>
        <w:t xml:space="preserve">Sarah was a prisoner in her own house which was overrun by drug dealers, she states, "I thought they were being kind, then slowly, but surely, they would turn up and they would come in at all hours of the night, in the morning without warning, sometimes with five or six people at a time,” (Cotterill, 2022). Although it also says that Sarah used crack cocaine and heroin for personal use which is also a vulnerable factor, it shows Sarah's lack of resources caused her to become a victim of cuckooing and her response may be an indication of her weaknesses as it mentions Sarah's usage of heroin and crack cocaine draws the attention to several weak points. First, it appears that she may be struggling with addiction, as her reliance on these drugs hinders her judgement and increases her vulnerability to exploitation, this refers to Esposito et al (2017) in economic hardship of the lack of resources of support, healthcare, and the lack of social interactions she had. </w:t>
      </w:r>
    </w:p>
    <w:p w14:paraId="09E35DA3" w14:textId="77777777" w:rsidR="00B54B68" w:rsidRDefault="00B54B68" w:rsidP="00B54B68">
      <w:pPr>
        <w:spacing w:line="360" w:lineRule="auto"/>
        <w:rPr>
          <w:rFonts w:ascii="Arial" w:hAnsi="Arial" w:cs="Arial"/>
          <w:sz w:val="22"/>
          <w:szCs w:val="22"/>
        </w:rPr>
      </w:pPr>
    </w:p>
    <w:p w14:paraId="72F0F582" w14:textId="77777777" w:rsidR="003B298B" w:rsidRPr="00AA1FF1" w:rsidRDefault="003B298B" w:rsidP="00B54B68">
      <w:pPr>
        <w:spacing w:line="360" w:lineRule="auto"/>
        <w:rPr>
          <w:rFonts w:ascii="Arial" w:hAnsi="Arial" w:cs="Arial"/>
          <w:sz w:val="22"/>
          <w:szCs w:val="22"/>
        </w:rPr>
      </w:pPr>
    </w:p>
    <w:p w14:paraId="728BE98A"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Furthermore, drug usage harms physical health, which makes people more susceptible to manipulation. Substance use has a massive impact on the well-being and physical health of a person, where a study has shown around 1 in 20 adults worldwide who are 15 years and older suffer from an alcohol use problem, and 1 in 100 have a psychoactive substance use disorder (University of Cambridge, 2022). In addition, associated mental health conditions and drug addiction exacerbate vulnerabilities and it can make people more vulnerable to exploitation. Drug addictions can also result in social isolation, which erodes support systems and increases vulnerability to abuse. Finally, Sarah's drug usage exacerbates economic instability by depleting her finances and leaving her more vulnerable to abuse by drug dealers. Her circumstance serves as an example of how people might find themselves in extremely vulnerable circumstances, like cuckooing, due to a lack of resources and assistance her addiction makes her more vulnerable, but it also highlights the larger social problems associated with addiction and how it affects people's health, relationships with others, and financial security. </w:t>
      </w:r>
    </w:p>
    <w:p w14:paraId="0A319A89" w14:textId="77777777" w:rsidR="005C544F" w:rsidRPr="00AA1FF1" w:rsidRDefault="005C544F" w:rsidP="00B54B68">
      <w:pPr>
        <w:spacing w:line="360" w:lineRule="auto"/>
        <w:rPr>
          <w:rFonts w:ascii="Arial" w:hAnsi="Arial" w:cs="Arial"/>
          <w:sz w:val="22"/>
          <w:szCs w:val="22"/>
        </w:rPr>
      </w:pPr>
    </w:p>
    <w:p w14:paraId="26EACC2B" w14:textId="5144DE5C" w:rsidR="00D41D41" w:rsidRDefault="00B54B68" w:rsidP="00B54B68">
      <w:pPr>
        <w:spacing w:line="360" w:lineRule="auto"/>
        <w:rPr>
          <w:rFonts w:ascii="Arial" w:hAnsi="Arial" w:cs="Arial"/>
          <w:sz w:val="22"/>
          <w:szCs w:val="22"/>
        </w:rPr>
      </w:pPr>
      <w:r w:rsidRPr="00AA1FF1">
        <w:rPr>
          <w:rFonts w:ascii="Arial" w:hAnsi="Arial" w:cs="Arial"/>
          <w:sz w:val="22"/>
          <w:szCs w:val="22"/>
        </w:rPr>
        <w:t>Vulnerability exploitation and abuse can be caused by several individual factors, such as mental health conditions, substance misuse, social distancing, unstable finances, a history of trauma or abuse, cultural and societal influences, intellectual or developmental disabilities, and life transitions or events (NIDirect, 2019).</w:t>
      </w:r>
      <w:r w:rsidR="008E593C" w:rsidRPr="00AA1FF1">
        <w:rPr>
          <w:rFonts w:ascii="Arial" w:hAnsi="Arial" w:cs="Arial"/>
          <w:sz w:val="22"/>
          <w:szCs w:val="22"/>
        </w:rPr>
        <w:t xml:space="preserve"> </w:t>
      </w:r>
      <w:r w:rsidRPr="00AA1FF1">
        <w:rPr>
          <w:rFonts w:ascii="Arial" w:hAnsi="Arial" w:cs="Arial"/>
          <w:sz w:val="22"/>
          <w:szCs w:val="22"/>
        </w:rPr>
        <w:t xml:space="preserve">These characteristics may be used to explain how legal safeguards lessen vulnerability resulting from discrimination and unfair treatment by looking at them and applying them to the Equality Act 2010.The Equality Act 2010 is a critical tool in reducing vulnerability since it provides legal protection against discriminatory behaviours based on a range of factors, such as health, equality, economic status, personal traits, and family dynamics </w:t>
      </w:r>
      <w:r w:rsidR="00C33410" w:rsidRPr="00344B30">
        <w:rPr>
          <w:rFonts w:ascii="Arial" w:hAnsi="Arial" w:cs="Arial"/>
          <w:color w:val="000000"/>
          <w:sz w:val="22"/>
          <w:szCs w:val="22"/>
        </w:rPr>
        <w:t xml:space="preserve">(Crime, </w:t>
      </w:r>
      <w:r w:rsidR="006E40C3" w:rsidRPr="00344B30">
        <w:rPr>
          <w:rFonts w:ascii="Arial" w:hAnsi="Arial" w:cs="Arial"/>
          <w:color w:val="000000"/>
          <w:sz w:val="22"/>
          <w:szCs w:val="22"/>
        </w:rPr>
        <w:t>Justice,</w:t>
      </w:r>
      <w:r w:rsidR="00C33410" w:rsidRPr="00344B30">
        <w:rPr>
          <w:rFonts w:ascii="Arial" w:hAnsi="Arial" w:cs="Arial"/>
          <w:color w:val="000000"/>
          <w:sz w:val="22"/>
          <w:szCs w:val="22"/>
        </w:rPr>
        <w:t xml:space="preserve"> and Law, 201</w:t>
      </w:r>
      <w:r w:rsidR="00344B30" w:rsidRPr="00344B30">
        <w:rPr>
          <w:rFonts w:ascii="Arial" w:hAnsi="Arial" w:cs="Arial"/>
          <w:color w:val="000000"/>
          <w:sz w:val="22"/>
          <w:szCs w:val="22"/>
        </w:rPr>
        <w:t>5</w:t>
      </w:r>
      <w:r w:rsidR="00C33410" w:rsidRPr="00344B30">
        <w:rPr>
          <w:rFonts w:ascii="Arial" w:hAnsi="Arial" w:cs="Arial"/>
          <w:color w:val="000000"/>
          <w:sz w:val="22"/>
          <w:szCs w:val="22"/>
        </w:rPr>
        <w:t>)</w:t>
      </w:r>
      <w:r w:rsidR="006E40C3">
        <w:rPr>
          <w:rFonts w:ascii="Arial" w:hAnsi="Arial" w:cs="Arial"/>
          <w:color w:val="000000"/>
          <w:sz w:val="22"/>
          <w:szCs w:val="22"/>
        </w:rPr>
        <w:t>.</w:t>
      </w:r>
    </w:p>
    <w:p w14:paraId="2EEDAE57" w14:textId="77777777" w:rsidR="0024085D" w:rsidRDefault="0024085D" w:rsidP="00B54B68">
      <w:pPr>
        <w:spacing w:line="360" w:lineRule="auto"/>
        <w:rPr>
          <w:rFonts w:ascii="Arial" w:hAnsi="Arial" w:cs="Arial"/>
          <w:sz w:val="22"/>
          <w:szCs w:val="22"/>
        </w:rPr>
      </w:pPr>
    </w:p>
    <w:p w14:paraId="348637A1" w14:textId="77777777" w:rsidR="003B298B" w:rsidRDefault="003B298B" w:rsidP="00B54B68">
      <w:pPr>
        <w:spacing w:line="360" w:lineRule="auto"/>
        <w:rPr>
          <w:rFonts w:ascii="Arial" w:hAnsi="Arial" w:cs="Arial"/>
          <w:sz w:val="22"/>
          <w:szCs w:val="22"/>
        </w:rPr>
      </w:pPr>
    </w:p>
    <w:p w14:paraId="611787C5" w14:textId="06E8E033"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The Act promotes diversity and adaptability in society by eliminating discriminatory behaviours and advancing equality. Individuals can become prone to health problems including mental illness, substance abuse, and disability, and social exclusion can also be caused by economic causes unemployment, and low educational attainment. Vulnerability is also increased by individual situations such as social isolation and criminal histories. The Equality Act 2010 guarantees equal treatment and opportunity for every person, irrespective of their circumstances, by outlawing discrimination in all these scenarios. Furthermore, it ensures that vulnerable persons within families receive equal care and support by extending legal safeguards to family settings.</w:t>
      </w:r>
    </w:p>
    <w:p w14:paraId="5EC0683B" w14:textId="77777777" w:rsidR="00B54B68" w:rsidRPr="00AA1FF1" w:rsidRDefault="00B54B68" w:rsidP="00B54B68">
      <w:pPr>
        <w:spacing w:line="360" w:lineRule="auto"/>
        <w:rPr>
          <w:rFonts w:ascii="Arial" w:hAnsi="Arial" w:cs="Arial"/>
          <w:sz w:val="22"/>
          <w:szCs w:val="22"/>
        </w:rPr>
      </w:pPr>
    </w:p>
    <w:p w14:paraId="67029FE7" w14:textId="442CB9E2"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Emmanuel Levinas's "The Three Faces of Vulnerability" theory emphasises how crucial it is to comprehend the idea of vulnerability in human relationships (Levinas, 2020). It highlights vulnerability as a fundamental aspect of human existence that affects relationships in ways that go beyond sentimentality. He points out that societal norms value independence and self-interest and contend that developing moral relationships requires acknowledging the vulnerability of others. It demands a more just society that prioritises respect, protection of vulnerable people, and a feeling of mutual accountability.</w:t>
      </w:r>
      <w:r w:rsidR="008E593C" w:rsidRPr="00AA1FF1">
        <w:rPr>
          <w:rFonts w:ascii="Arial" w:hAnsi="Arial" w:cs="Arial"/>
          <w:sz w:val="22"/>
          <w:szCs w:val="22"/>
        </w:rPr>
        <w:t xml:space="preserve"> </w:t>
      </w:r>
      <w:r w:rsidRPr="00AA1FF1">
        <w:rPr>
          <w:rFonts w:ascii="Arial" w:hAnsi="Arial" w:cs="Arial"/>
          <w:sz w:val="22"/>
          <w:szCs w:val="22"/>
        </w:rPr>
        <w:t xml:space="preserve">Using Levinas's theory, vulnerable people, such as those suffering from mental illness or drug misuse problems, are the focus of being vulnerable in the circumstances such as cuckooing, which takes advantage of their vulnerabilities to utilise their houses for illegal activities. Referring Levinas's theory to Sarah's story (Cotterill, 2022), serves as a reminder of financial hardship and exploitation on how important it is to identify and address vulnerability to promote moral relationships, fight for value respect, protect the weak, and encourage mutual accountability. </w:t>
      </w:r>
    </w:p>
    <w:p w14:paraId="6EA947B0" w14:textId="77777777" w:rsidR="002B6241" w:rsidRPr="00AA1FF1" w:rsidRDefault="002B6241" w:rsidP="00B54B68">
      <w:pPr>
        <w:spacing w:line="360" w:lineRule="auto"/>
        <w:rPr>
          <w:rFonts w:ascii="Arial" w:hAnsi="Arial" w:cs="Arial"/>
          <w:sz w:val="22"/>
          <w:szCs w:val="22"/>
        </w:rPr>
      </w:pPr>
    </w:p>
    <w:p w14:paraId="38EAE774" w14:textId="77777777" w:rsidR="005C544F" w:rsidRPr="00AA1FF1" w:rsidRDefault="005C544F" w:rsidP="00B54B68">
      <w:pPr>
        <w:spacing w:line="360" w:lineRule="auto"/>
        <w:rPr>
          <w:rFonts w:ascii="Arial" w:hAnsi="Arial" w:cs="Arial"/>
          <w:sz w:val="22"/>
          <w:szCs w:val="22"/>
        </w:rPr>
      </w:pPr>
    </w:p>
    <w:p w14:paraId="79EE7E97" w14:textId="302A3A0F" w:rsidR="0088351D" w:rsidRDefault="00B54B68" w:rsidP="00B54B68">
      <w:pPr>
        <w:spacing w:line="360" w:lineRule="auto"/>
        <w:rPr>
          <w:rFonts w:ascii="Arial" w:hAnsi="Arial" w:cs="Arial"/>
          <w:sz w:val="22"/>
          <w:szCs w:val="22"/>
        </w:rPr>
      </w:pPr>
      <w:r w:rsidRPr="00AA1FF1">
        <w:rPr>
          <w:rFonts w:ascii="Arial" w:hAnsi="Arial" w:cs="Arial"/>
          <w:sz w:val="22"/>
          <w:szCs w:val="22"/>
        </w:rPr>
        <w:t>Another major factor of vulnerability is shown in the Financial Conduct Authority (FCA) survey that suggested 47% of UK adults exhibited one or more of the following characteristics, these include low financial resilience, limited financial capability, poor mental health, and the impact of negative life events (Omidvar, 2023). Statistics demonstrating a substantial overlap between debt and mental health concerns, impacting over 1.5 million people, suggest that those who are facing financial instability tend to be more vulnerable (Money and Mental Health, 2020). Furthermore, the reality that nearly fifty percent of UK individuals (45%) lack confidence in their capacity to manage their finances (Money &amp; Pensions Service, 2021) indicates that financial instability is widespread and underlines the connection between unstable finances and vulnerability to a range of problems.</w:t>
      </w:r>
      <w:r w:rsidR="00757763">
        <w:rPr>
          <w:rFonts w:ascii="Arial" w:hAnsi="Arial" w:cs="Arial"/>
          <w:sz w:val="22"/>
          <w:szCs w:val="22"/>
        </w:rPr>
        <w:t xml:space="preserve"> </w:t>
      </w:r>
      <w:r w:rsidRPr="00AA1FF1">
        <w:rPr>
          <w:rFonts w:ascii="Arial" w:hAnsi="Arial" w:cs="Arial"/>
          <w:sz w:val="22"/>
          <w:szCs w:val="22"/>
        </w:rPr>
        <w:t>Another factor of vulnerability protected under the Equality Act is disability. Under the Equality Act, disability is defined as “if you have a physical or mental impairment that has a substantial and long-term negative effect on your ability to do normal daily activities”</w:t>
      </w:r>
      <w:r w:rsidR="0088351D">
        <w:rPr>
          <w:rFonts w:ascii="Arial" w:hAnsi="Arial" w:cs="Arial"/>
          <w:sz w:val="22"/>
          <w:szCs w:val="22"/>
        </w:rPr>
        <w:t xml:space="preserve"> </w:t>
      </w:r>
      <w:r w:rsidR="0088351D">
        <w:rPr>
          <w:color w:val="000000"/>
        </w:rPr>
        <w:t>(Government Equalities Office &amp; Equality and Human Rights Commission, 2015)</w:t>
      </w:r>
      <w:r w:rsidR="0088351D">
        <w:rPr>
          <w:color w:val="000000"/>
        </w:rPr>
        <w:t>.</w:t>
      </w:r>
    </w:p>
    <w:p w14:paraId="59F683C0" w14:textId="77777777" w:rsidR="0024085D" w:rsidRDefault="0024085D" w:rsidP="00B54B68">
      <w:pPr>
        <w:spacing w:line="360" w:lineRule="auto"/>
        <w:rPr>
          <w:rFonts w:ascii="Arial" w:hAnsi="Arial" w:cs="Arial"/>
          <w:sz w:val="22"/>
          <w:szCs w:val="22"/>
        </w:rPr>
      </w:pPr>
    </w:p>
    <w:p w14:paraId="0847CC31" w14:textId="77777777" w:rsidR="0024085D" w:rsidRDefault="0024085D" w:rsidP="00B54B68">
      <w:pPr>
        <w:spacing w:line="360" w:lineRule="auto"/>
        <w:rPr>
          <w:rFonts w:ascii="Arial" w:hAnsi="Arial" w:cs="Arial"/>
          <w:sz w:val="22"/>
          <w:szCs w:val="22"/>
        </w:rPr>
      </w:pPr>
    </w:p>
    <w:p w14:paraId="4F6742CB" w14:textId="77777777" w:rsidR="003B298B" w:rsidRDefault="003B298B" w:rsidP="00B54B68">
      <w:pPr>
        <w:spacing w:line="360" w:lineRule="auto"/>
        <w:rPr>
          <w:rFonts w:ascii="Arial" w:hAnsi="Arial" w:cs="Arial"/>
          <w:sz w:val="22"/>
          <w:szCs w:val="22"/>
        </w:rPr>
      </w:pPr>
    </w:p>
    <w:p w14:paraId="39619E18" w14:textId="77777777" w:rsidR="003B298B" w:rsidRDefault="003B298B" w:rsidP="00B54B68">
      <w:pPr>
        <w:spacing w:line="360" w:lineRule="auto"/>
        <w:rPr>
          <w:rFonts w:ascii="Arial" w:hAnsi="Arial" w:cs="Arial"/>
          <w:sz w:val="22"/>
          <w:szCs w:val="22"/>
        </w:rPr>
      </w:pPr>
    </w:p>
    <w:p w14:paraId="6139044B" w14:textId="77777777" w:rsidR="003B298B" w:rsidRDefault="003B298B" w:rsidP="00B54B68">
      <w:pPr>
        <w:spacing w:line="360" w:lineRule="auto"/>
        <w:rPr>
          <w:rFonts w:ascii="Arial" w:hAnsi="Arial" w:cs="Arial"/>
          <w:sz w:val="22"/>
          <w:szCs w:val="22"/>
        </w:rPr>
      </w:pPr>
    </w:p>
    <w:p w14:paraId="72E97A85" w14:textId="77777777" w:rsidR="003B298B" w:rsidRDefault="003B298B" w:rsidP="00B54B68">
      <w:pPr>
        <w:spacing w:line="360" w:lineRule="auto"/>
        <w:rPr>
          <w:rFonts w:ascii="Arial" w:hAnsi="Arial" w:cs="Arial"/>
          <w:sz w:val="22"/>
          <w:szCs w:val="22"/>
        </w:rPr>
      </w:pPr>
    </w:p>
    <w:p w14:paraId="1FDA4D87" w14:textId="77777777" w:rsidR="0024085D" w:rsidRDefault="0024085D" w:rsidP="00B54B68">
      <w:pPr>
        <w:spacing w:line="360" w:lineRule="auto"/>
        <w:rPr>
          <w:rFonts w:ascii="Arial" w:hAnsi="Arial" w:cs="Arial"/>
          <w:sz w:val="22"/>
          <w:szCs w:val="22"/>
        </w:rPr>
      </w:pPr>
    </w:p>
    <w:p w14:paraId="2E116786" w14:textId="6F6DF864"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The case of Fiona Pilkington serves as a reminder of vulnerability in terms of equality. Fiona Pilkington tragically killed herself and her handicapped daughter Francesca Hardwick in 2007 when she endured years of abuse, harassment, and antisocial behaviour due to her daughter’s disability from the local kids (Hampshire Safeguarding Adults Board, 2009). Over a decade, the abuse was reported to the authorities on multiple occasions, however not much was done to safeguard the matter where institutional flaws were revealed in preventing antisocial behaviour and safeguarding those who are vulnerable, which sparked calls for improvements to how they are handled as well as greater support for those who have been harassed and bullied (Walker, 2009). Fiona Pilkington's story shows the serious implications of systemic failures in controlling antisocial behaviour and protecting the vulnerable, further to this, the protected characteristic under the law. For over a decade, Fiona reported the bullying and harassment to the authorities, but support wasn't provided. The failures highlight an essential factor that makes people vulnerable. There were insufficient systems of support and protection for those who are being harassed and abused which is a major factor of neglect. When people are ignored after pleading for help, it makes vulnerable people like Fiona and her daughter Francesca who may already be dealing with difficulties brought on by her disability are further ignored and put in danger.</w:t>
      </w:r>
    </w:p>
    <w:p w14:paraId="6CBD5D30" w14:textId="77777777" w:rsidR="00B54B68" w:rsidRPr="00AA1FF1" w:rsidRDefault="00B54B68" w:rsidP="00B54B68">
      <w:pPr>
        <w:spacing w:line="360" w:lineRule="auto"/>
        <w:rPr>
          <w:rFonts w:ascii="Arial" w:hAnsi="Arial" w:cs="Arial"/>
          <w:sz w:val="22"/>
          <w:szCs w:val="22"/>
        </w:rPr>
      </w:pPr>
    </w:p>
    <w:p w14:paraId="69DD0196" w14:textId="77777777" w:rsidR="004D7FE2" w:rsidRPr="00AA1FF1" w:rsidRDefault="004D7FE2" w:rsidP="00B54B68">
      <w:pPr>
        <w:spacing w:line="360" w:lineRule="auto"/>
        <w:rPr>
          <w:rFonts w:ascii="Arial" w:hAnsi="Arial" w:cs="Arial"/>
          <w:sz w:val="22"/>
          <w:szCs w:val="22"/>
        </w:rPr>
      </w:pPr>
    </w:p>
    <w:p w14:paraId="37ACEEA7"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Statistics suggest that some people with disabilities die up to 20 years earlier than those without disabilities and may face many health inequities with the development of other health risk factors (World Health Organisation, 2023). Health-related conditions include obesity, diabetes, asthma, depression, stroke, and poor dental health. Stigma, discrimination, poverty, and exclusion from jobs and education are a few examples of health disparities. </w:t>
      </w:r>
    </w:p>
    <w:p w14:paraId="12AAAE22" w14:textId="07A3D6B8"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This increases her vulnerability because of her impairment, it increases her vulnerability in mental health issues, the loss of freedom and independence, and likely experiencing domestic abuse where they are less able to protect themselves (Living Without Abuse, 2024).</w:t>
      </w:r>
      <w:r w:rsidR="005C544F" w:rsidRPr="00AA1FF1">
        <w:rPr>
          <w:rFonts w:ascii="Arial" w:hAnsi="Arial" w:cs="Arial"/>
          <w:sz w:val="22"/>
          <w:szCs w:val="22"/>
        </w:rPr>
        <w:t xml:space="preserve"> </w:t>
      </w:r>
      <w:r w:rsidRPr="00AA1FF1">
        <w:rPr>
          <w:rFonts w:ascii="Arial" w:hAnsi="Arial" w:cs="Arial"/>
          <w:sz w:val="22"/>
          <w:szCs w:val="22"/>
        </w:rPr>
        <w:t xml:space="preserve">Fiona Pilkington and Francesca Hardwick are vulnerable in a variety of ways, this includes health-related limitations, environmental difficulties, financial restrictions, social isolation, service accessibility, and legal safeguards. All these displays the major contributions to her vulnerability and tragically her death. If there was the support provided, it would minimise the vulnerability factor to Fiona and Francesa where services can further provide support to minimise the remaining vulnerability factors. </w:t>
      </w:r>
    </w:p>
    <w:p w14:paraId="2A5D6F80" w14:textId="77777777" w:rsidR="00B54B68" w:rsidRPr="00AA1FF1" w:rsidRDefault="00B54B68" w:rsidP="00B54B68">
      <w:pPr>
        <w:spacing w:line="360" w:lineRule="auto"/>
        <w:rPr>
          <w:rFonts w:ascii="Arial" w:hAnsi="Arial" w:cs="Arial"/>
          <w:sz w:val="22"/>
          <w:szCs w:val="22"/>
        </w:rPr>
      </w:pPr>
    </w:p>
    <w:p w14:paraId="118908EA" w14:textId="77777777" w:rsidR="005C544F" w:rsidRPr="00AA1FF1" w:rsidRDefault="005C544F" w:rsidP="00B54B68">
      <w:pPr>
        <w:spacing w:line="360" w:lineRule="auto"/>
        <w:rPr>
          <w:rFonts w:ascii="Arial" w:hAnsi="Arial" w:cs="Arial"/>
          <w:sz w:val="22"/>
          <w:szCs w:val="22"/>
        </w:rPr>
      </w:pPr>
    </w:p>
    <w:p w14:paraId="7C56F887" w14:textId="77777777" w:rsidR="005C544F" w:rsidRPr="00AA1FF1" w:rsidRDefault="005C544F" w:rsidP="00B54B68">
      <w:pPr>
        <w:spacing w:line="360" w:lineRule="auto"/>
        <w:rPr>
          <w:rFonts w:ascii="Arial" w:hAnsi="Arial" w:cs="Arial"/>
          <w:sz w:val="22"/>
          <w:szCs w:val="22"/>
        </w:rPr>
      </w:pPr>
    </w:p>
    <w:p w14:paraId="009046D5" w14:textId="77777777" w:rsidR="005C544F" w:rsidRPr="00AA1FF1" w:rsidRDefault="005C544F" w:rsidP="00B54B68">
      <w:pPr>
        <w:spacing w:line="360" w:lineRule="auto"/>
        <w:rPr>
          <w:rFonts w:ascii="Arial" w:hAnsi="Arial" w:cs="Arial"/>
          <w:sz w:val="22"/>
          <w:szCs w:val="22"/>
        </w:rPr>
      </w:pPr>
    </w:p>
    <w:p w14:paraId="426F41EB"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Vulnerability from a cultural perspective can happen in a wide range of ways. One prime example of vulnerability within religion and culture is Female Genital Mutilation (FGM) which is practiced among some of the following religions, Christianity, Islam, and Judaism (Forward UK, 2024). Girls and young women are subjected to the destructive non-medical practice of female genital mutilation (FGM), which is prohibited in the UK and is categorised as child abuse, culture (NHS, 2019). Approximately 137,000 women and girls are impacted by the 60,000 under-15 girls who are thought to be at risk in England and Wales each year (Public Health England, 2021). The NHS FGM annual report for 2020–2021 listed 5,395 instances in England (NHS England, 2021).</w:t>
      </w:r>
    </w:p>
    <w:p w14:paraId="666241D8" w14:textId="77777777" w:rsidR="005C544F" w:rsidRPr="00AA1FF1" w:rsidRDefault="005C544F" w:rsidP="00B54B68">
      <w:pPr>
        <w:spacing w:line="360" w:lineRule="auto"/>
        <w:rPr>
          <w:rFonts w:ascii="Arial" w:hAnsi="Arial" w:cs="Arial"/>
          <w:sz w:val="22"/>
          <w:szCs w:val="22"/>
        </w:rPr>
      </w:pPr>
    </w:p>
    <w:p w14:paraId="5F6B2B92" w14:textId="21B96C65" w:rsidR="006547D7"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At the age of seven, Asseta, a mother of three, was subjected to female genital mutilation (FGM). She says, "I will never forget the experience of getting cut” (Department for International Development, 2014). Asseta chose to accept assistance from UNICED and UNFPA Joint Programmes in defiance of custom and to save her daughters from suffering. It's essential to consider how this scenario may put a young child at risk given their lifestyle. For instance, it could be uncomfortable for Asseta's daughters to attend a UK school where some students may not be aware of the existence of FGM in the UK. As they age, they may also start to question possible physical abnormalities as they become more aware of their bodies. This can have long-term effects on individuals who are affected since the injury is irreversible, can lead to issues during pregnancy and childbirth, mental health issues such as depression, self-harm, and flashbacks, and in extreme cases, can result in death from infections and blood loss (NSPCC, 2018). Furthermore, as some religions consider FGM a cultural, religious practice if refuse to adhere to the practice, some people are disowned by families, excommunicated, and mocked by the community (Ngozi Odo et al, 2020). Not only are they submitted to being vulnerable after having the procedure done and it is affecting the physical abnormalities and confidence in a person, but it can be significantly exacerbated by the pressure to comply with FGM. </w:t>
      </w:r>
    </w:p>
    <w:p w14:paraId="3DE7176D" w14:textId="77777777" w:rsidR="006547D7" w:rsidRPr="00AA1FF1" w:rsidRDefault="006547D7" w:rsidP="00B54B68">
      <w:pPr>
        <w:spacing w:line="360" w:lineRule="auto"/>
        <w:rPr>
          <w:rFonts w:ascii="Arial" w:hAnsi="Arial" w:cs="Arial"/>
          <w:sz w:val="22"/>
          <w:szCs w:val="22"/>
        </w:rPr>
      </w:pPr>
    </w:p>
    <w:p w14:paraId="5370AAEF" w14:textId="77777777" w:rsidR="005C544F" w:rsidRPr="00AA1FF1" w:rsidRDefault="005C544F" w:rsidP="00B54B68">
      <w:pPr>
        <w:spacing w:line="360" w:lineRule="auto"/>
        <w:rPr>
          <w:rFonts w:ascii="Arial" w:hAnsi="Arial" w:cs="Arial"/>
          <w:sz w:val="22"/>
          <w:szCs w:val="22"/>
        </w:rPr>
      </w:pPr>
    </w:p>
    <w:p w14:paraId="3F999E4E" w14:textId="77777777" w:rsidR="005C544F" w:rsidRPr="00AA1FF1" w:rsidRDefault="005C544F" w:rsidP="00B54B68">
      <w:pPr>
        <w:spacing w:line="360" w:lineRule="auto"/>
        <w:rPr>
          <w:rFonts w:ascii="Arial" w:hAnsi="Arial" w:cs="Arial"/>
          <w:sz w:val="22"/>
          <w:szCs w:val="22"/>
        </w:rPr>
      </w:pPr>
    </w:p>
    <w:p w14:paraId="51BFCB66" w14:textId="77777777" w:rsidR="005C544F" w:rsidRPr="00AA1FF1" w:rsidRDefault="005C544F" w:rsidP="00B54B68">
      <w:pPr>
        <w:spacing w:line="360" w:lineRule="auto"/>
        <w:rPr>
          <w:rFonts w:ascii="Arial" w:hAnsi="Arial" w:cs="Arial"/>
          <w:sz w:val="22"/>
          <w:szCs w:val="22"/>
        </w:rPr>
      </w:pPr>
    </w:p>
    <w:p w14:paraId="617282A2" w14:textId="77777777" w:rsidR="005C544F" w:rsidRPr="00AA1FF1" w:rsidRDefault="005C544F" w:rsidP="00B54B68">
      <w:pPr>
        <w:spacing w:line="360" w:lineRule="auto"/>
        <w:rPr>
          <w:rFonts w:ascii="Arial" w:hAnsi="Arial" w:cs="Arial"/>
          <w:sz w:val="22"/>
          <w:szCs w:val="22"/>
        </w:rPr>
      </w:pPr>
    </w:p>
    <w:p w14:paraId="095C5AE7" w14:textId="77777777" w:rsidR="005C544F" w:rsidRPr="00AA1FF1" w:rsidRDefault="005C544F" w:rsidP="00B54B68">
      <w:pPr>
        <w:spacing w:line="360" w:lineRule="auto"/>
        <w:rPr>
          <w:rFonts w:ascii="Arial" w:hAnsi="Arial" w:cs="Arial"/>
          <w:sz w:val="22"/>
          <w:szCs w:val="22"/>
        </w:rPr>
      </w:pPr>
    </w:p>
    <w:p w14:paraId="2EA05E5E" w14:textId="77777777" w:rsidR="005C544F" w:rsidRPr="00AA1FF1" w:rsidRDefault="005C544F" w:rsidP="00B54B68">
      <w:pPr>
        <w:spacing w:line="360" w:lineRule="auto"/>
        <w:rPr>
          <w:rFonts w:ascii="Arial" w:hAnsi="Arial" w:cs="Arial"/>
          <w:sz w:val="22"/>
          <w:szCs w:val="22"/>
        </w:rPr>
      </w:pPr>
    </w:p>
    <w:p w14:paraId="147AF6F8" w14:textId="77777777" w:rsidR="005C544F" w:rsidRPr="00AA1FF1" w:rsidRDefault="005C544F" w:rsidP="00B54B68">
      <w:pPr>
        <w:spacing w:line="360" w:lineRule="auto"/>
        <w:rPr>
          <w:rFonts w:ascii="Arial" w:hAnsi="Arial" w:cs="Arial"/>
          <w:sz w:val="22"/>
          <w:szCs w:val="22"/>
        </w:rPr>
      </w:pPr>
    </w:p>
    <w:p w14:paraId="48A7682D" w14:textId="77777777" w:rsidR="005C544F" w:rsidRPr="00AA1FF1" w:rsidRDefault="005C544F" w:rsidP="00B54B68">
      <w:pPr>
        <w:spacing w:line="360" w:lineRule="auto"/>
        <w:rPr>
          <w:rFonts w:ascii="Arial" w:hAnsi="Arial" w:cs="Arial"/>
          <w:sz w:val="22"/>
          <w:szCs w:val="22"/>
        </w:rPr>
      </w:pPr>
    </w:p>
    <w:p w14:paraId="170BCB51" w14:textId="77777777" w:rsidR="005C544F" w:rsidRPr="00AA1FF1" w:rsidRDefault="005C544F" w:rsidP="00B54B68">
      <w:pPr>
        <w:spacing w:line="360" w:lineRule="auto"/>
        <w:rPr>
          <w:rFonts w:ascii="Arial" w:hAnsi="Arial" w:cs="Arial"/>
          <w:sz w:val="22"/>
          <w:szCs w:val="22"/>
        </w:rPr>
      </w:pPr>
    </w:p>
    <w:p w14:paraId="7A1CD8D8" w14:textId="7BF175B5"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This also refers to GOV.UK Department for International Development (2014) from FGM being an environmental vulnerability factor as she is in Burkina Faso. Her environment displays multiple environmental factors including it being considered a norm in the culture in that part of the world and societal pressures are high in these circumstances. Also, to consider, FGM practiced in Burkina Faso also suggests there is limited legal protection as the procedure often prevails, lack of education to suggest the endless harms it can cause, and Burkina Faso is a poverty factor suggesting economic pressures are prioritised over well-being (UNICEF, 2023).</w:t>
      </w:r>
      <w:r w:rsidR="006547D7" w:rsidRPr="00AA1FF1">
        <w:rPr>
          <w:rFonts w:ascii="Arial" w:hAnsi="Arial" w:cs="Arial"/>
          <w:sz w:val="22"/>
          <w:szCs w:val="22"/>
        </w:rPr>
        <w:t xml:space="preserve"> </w:t>
      </w:r>
      <w:r w:rsidRPr="00AA1FF1">
        <w:rPr>
          <w:rFonts w:ascii="Arial" w:hAnsi="Arial" w:cs="Arial"/>
          <w:sz w:val="22"/>
          <w:szCs w:val="22"/>
        </w:rPr>
        <w:t>Should they choose to refuse the practice, they may face social, family, and psychological consequences which emphasises how crucial it is to make all efforts met to address the underlying social and cultural reasons that support and empower those who choose to refuse FGM. FGM is a major contributing factor to vulnerability as it is encountered in a few areas, one being abandoned by family and communities and the repercussions of refusing and secondly by dealing with the fallout and aftermath of FGM's damage it has on an individual's mental health including Post Traumatic Stress Disorder, Anxiety, depression, and it being a long-term disability due to poor psychosocial functioning (Tammary and Manasi, 2023).</w:t>
      </w:r>
    </w:p>
    <w:p w14:paraId="4B96F149" w14:textId="351F76AE" w:rsidR="006547D7" w:rsidRPr="00AA1FF1" w:rsidRDefault="006547D7" w:rsidP="00B54B68">
      <w:pPr>
        <w:spacing w:line="360" w:lineRule="auto"/>
        <w:rPr>
          <w:rFonts w:ascii="Arial" w:hAnsi="Arial" w:cs="Arial"/>
          <w:sz w:val="22"/>
          <w:szCs w:val="22"/>
        </w:rPr>
      </w:pPr>
    </w:p>
    <w:p w14:paraId="14AC64C4" w14:textId="77777777" w:rsidR="006547D7" w:rsidRPr="00AA1FF1" w:rsidRDefault="006547D7" w:rsidP="00B54B68">
      <w:pPr>
        <w:spacing w:line="360" w:lineRule="auto"/>
        <w:rPr>
          <w:rFonts w:ascii="Arial" w:hAnsi="Arial" w:cs="Arial"/>
          <w:sz w:val="22"/>
          <w:szCs w:val="22"/>
        </w:rPr>
      </w:pPr>
    </w:p>
    <w:p w14:paraId="2144C709"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Another horrific vulnerability and selflessness factor that distributes itself from the above cases is the case of Sharon Beshenivsky. Police officer Sharon Beshenivsky worked in West Yorkshire, England where she answered a regular call for help at a Bradford travel firm in November 2005 when Sharon and her colleague found themselves facing armed robbers.</w:t>
      </w:r>
    </w:p>
    <w:p w14:paraId="2885761A" w14:textId="110818FF" w:rsidR="008E593C" w:rsidRPr="00AA1FF1" w:rsidRDefault="00B54B68" w:rsidP="00B54B68">
      <w:pPr>
        <w:spacing w:line="360" w:lineRule="auto"/>
        <w:rPr>
          <w:rFonts w:ascii="Arial" w:hAnsi="Arial" w:cs="Arial"/>
          <w:sz w:val="22"/>
          <w:szCs w:val="22"/>
        </w:rPr>
      </w:pPr>
      <w:r w:rsidRPr="00AA1FF1">
        <w:rPr>
          <w:rFonts w:ascii="Arial" w:hAnsi="Arial" w:cs="Arial"/>
          <w:sz w:val="22"/>
          <w:szCs w:val="22"/>
        </w:rPr>
        <w:t>(BBC News, 2024). Sharon Beshenivsky was shot and killed in the confrontation, and her colleague was injured. The range of vulnerability factors that Sharon had to deal with started with the possible dangers that came with her line of work. Her passing not only raises awareness of her suspect's widespread acts, but also highlights the threat it poses to her family, her co-workers, and society. After the event, it is also critical to consider the personal sacrifice she made. From the perspective of a police officer's security, this kind of incident may be viewed as a weakness since it may highlight the absence of safety equipment meant to handle situations like armed robberies.</w:t>
      </w:r>
    </w:p>
    <w:p w14:paraId="1AFEEFD3" w14:textId="77777777" w:rsidR="009D22BA" w:rsidRPr="00AA1FF1" w:rsidRDefault="009D22BA" w:rsidP="00B54B68">
      <w:pPr>
        <w:spacing w:line="360" w:lineRule="auto"/>
        <w:rPr>
          <w:rFonts w:ascii="Arial" w:hAnsi="Arial" w:cs="Arial"/>
          <w:sz w:val="22"/>
          <w:szCs w:val="22"/>
        </w:rPr>
      </w:pPr>
    </w:p>
    <w:p w14:paraId="213C583B" w14:textId="77777777" w:rsidR="005C544F" w:rsidRPr="00AA1FF1" w:rsidRDefault="005C544F" w:rsidP="00B54B68">
      <w:pPr>
        <w:spacing w:line="360" w:lineRule="auto"/>
        <w:rPr>
          <w:rFonts w:ascii="Arial" w:hAnsi="Arial" w:cs="Arial"/>
          <w:sz w:val="22"/>
          <w:szCs w:val="22"/>
        </w:rPr>
      </w:pPr>
    </w:p>
    <w:p w14:paraId="474AA7CB" w14:textId="77777777" w:rsidR="009D22BA" w:rsidRDefault="009D22BA" w:rsidP="00B54B68">
      <w:pPr>
        <w:spacing w:line="360" w:lineRule="auto"/>
        <w:rPr>
          <w:rFonts w:ascii="Arial" w:hAnsi="Arial" w:cs="Arial"/>
          <w:sz w:val="22"/>
          <w:szCs w:val="22"/>
        </w:rPr>
      </w:pPr>
    </w:p>
    <w:p w14:paraId="6C86C3FF" w14:textId="77777777" w:rsidR="00B15A4C" w:rsidRDefault="00B15A4C" w:rsidP="00B54B68">
      <w:pPr>
        <w:spacing w:line="360" w:lineRule="auto"/>
        <w:rPr>
          <w:rFonts w:ascii="Arial" w:hAnsi="Arial" w:cs="Arial"/>
          <w:sz w:val="22"/>
          <w:szCs w:val="22"/>
        </w:rPr>
      </w:pPr>
    </w:p>
    <w:p w14:paraId="46A32D83" w14:textId="77777777" w:rsidR="00B15A4C" w:rsidRDefault="00B15A4C" w:rsidP="00B54B68">
      <w:pPr>
        <w:spacing w:line="360" w:lineRule="auto"/>
        <w:rPr>
          <w:rFonts w:ascii="Arial" w:hAnsi="Arial" w:cs="Arial"/>
          <w:sz w:val="22"/>
          <w:szCs w:val="22"/>
        </w:rPr>
      </w:pPr>
    </w:p>
    <w:p w14:paraId="48F677F8" w14:textId="77777777" w:rsidR="00B15A4C" w:rsidRPr="00AA1FF1" w:rsidRDefault="00B15A4C" w:rsidP="00B54B68">
      <w:pPr>
        <w:spacing w:line="360" w:lineRule="auto"/>
        <w:rPr>
          <w:rFonts w:ascii="Arial" w:hAnsi="Arial" w:cs="Arial"/>
          <w:sz w:val="22"/>
          <w:szCs w:val="22"/>
        </w:rPr>
      </w:pPr>
    </w:p>
    <w:p w14:paraId="36E19F20" w14:textId="0C6F6514"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Vulnerability is influenced by societal, political, environmental, and individual factors which may have an impact on everything from personal issues to the world's socioeconomic institutions (UNDRR, 2017). It involves vulnerability to injury or exploitation because of both internal and external factors, which requires extensive reduction strategies. Individual vulnerabilities like drug abuse and mental health disorders, along with socioeconomic problems like poverty and inequality, increase vulnerability and require the protection of legal protections like the Equality Act 2010. The case studies provided serve as a reminder that there is the need to address underlying norms and environmental dangers, which are made clear by cultural traditions such as female genital mutilation, financial scandalous gain, and criminal activities like cuckooing, which further exploits vulnerabilities. Considering the case of Sharon Beshenisvky, her occupation, and lack of protection had an impact on her vulnerability displays that vulnerability can happen in short-term situations, not just long-term. A comprehensive strategy must be in place to tackle inequality in society, by fostering equality and enhancing community resilience to reduce vulnerability and ensure the welfare of every person. Because of its comprehensive understanding of vulnerability in every aspect of human existence, Levinas's theory of "The Three Faces of Vulnerability" has significant implications for social justice, ethics, and real-world interventions that improve the welfare of both people and communities. It is beneficial to apply his theory to the cases as it gives a broader understanding of the different types of vulnerability and the contributing factors of its nature.  </w:t>
      </w:r>
    </w:p>
    <w:p w14:paraId="10671262" w14:textId="77777777" w:rsidR="006E5E0E" w:rsidRDefault="006E5E0E" w:rsidP="002A3581"/>
    <w:p w14:paraId="6E10F13C" w14:textId="77777777" w:rsidR="006E5E0E" w:rsidRDefault="006E5E0E" w:rsidP="002A3581"/>
    <w:p w14:paraId="6EED53B7" w14:textId="77777777" w:rsidR="006E5E0E" w:rsidRDefault="006E5E0E" w:rsidP="002A3581"/>
    <w:p w14:paraId="4F76D05C" w14:textId="77777777" w:rsidR="006E5E0E" w:rsidRDefault="006E5E0E" w:rsidP="002A3581"/>
    <w:p w14:paraId="338A661E" w14:textId="77777777" w:rsidR="006E5E0E" w:rsidRDefault="006E5E0E" w:rsidP="002A3581"/>
    <w:p w14:paraId="40000F0B" w14:textId="77777777" w:rsidR="006E5E0E" w:rsidRDefault="006E5E0E" w:rsidP="002A3581"/>
    <w:p w14:paraId="11785848" w14:textId="77777777" w:rsidR="006E5E0E" w:rsidRDefault="006E5E0E" w:rsidP="002A3581"/>
    <w:p w14:paraId="27C1D8C0" w14:textId="77777777" w:rsidR="006E5E0E" w:rsidRDefault="006E5E0E" w:rsidP="002A3581"/>
    <w:p w14:paraId="1EC0F8FC" w14:textId="77777777" w:rsidR="006E5E0E" w:rsidRDefault="006E5E0E" w:rsidP="002A3581"/>
    <w:p w14:paraId="6F424602" w14:textId="77777777" w:rsidR="00675F07" w:rsidRDefault="00675F07" w:rsidP="002A3581"/>
    <w:p w14:paraId="69889F47" w14:textId="77777777" w:rsidR="00675F07" w:rsidRDefault="00675F07" w:rsidP="002A3581"/>
    <w:p w14:paraId="4BE5E160" w14:textId="77777777" w:rsidR="00675F07" w:rsidRDefault="00675F07" w:rsidP="002A3581"/>
    <w:p w14:paraId="2B2E2310" w14:textId="77777777" w:rsidR="00675F07" w:rsidRDefault="00675F07" w:rsidP="002A3581"/>
    <w:p w14:paraId="42828B3C" w14:textId="77777777" w:rsidR="00675F07" w:rsidRDefault="00675F07" w:rsidP="002A3581"/>
    <w:p w14:paraId="7DAC61ED" w14:textId="77777777" w:rsidR="00675F07" w:rsidRDefault="00675F07" w:rsidP="002A3581"/>
    <w:p w14:paraId="7F4B0CDF" w14:textId="77777777" w:rsidR="00675F07" w:rsidRDefault="00675F07" w:rsidP="002A3581"/>
    <w:p w14:paraId="2DD5AC8F" w14:textId="77777777" w:rsidR="00675F07" w:rsidRDefault="00675F07" w:rsidP="002A3581"/>
    <w:p w14:paraId="19C71DA6" w14:textId="77777777" w:rsidR="00675F07" w:rsidRDefault="00675F07" w:rsidP="002A3581"/>
    <w:p w14:paraId="6F5E93ED" w14:textId="77777777" w:rsidR="00675F07" w:rsidRDefault="00675F07" w:rsidP="002A3581"/>
    <w:p w14:paraId="1CBA6185" w14:textId="77777777" w:rsidR="00675F07" w:rsidRDefault="00675F07" w:rsidP="002A3581"/>
    <w:p w14:paraId="76EFDF3B" w14:textId="77777777" w:rsidR="006E5E0E" w:rsidRPr="00D15EC0" w:rsidRDefault="006E5E0E" w:rsidP="00D15EC0">
      <w:pPr>
        <w:spacing w:line="360" w:lineRule="auto"/>
        <w:rPr>
          <w:rFonts w:ascii="Arial" w:hAnsi="Arial" w:cs="Arial"/>
          <w:sz w:val="22"/>
          <w:szCs w:val="22"/>
        </w:rPr>
      </w:pPr>
    </w:p>
    <w:p w14:paraId="37139B44" w14:textId="77777777" w:rsidR="00AA7A45" w:rsidRPr="00D15EC0" w:rsidRDefault="00AA7A45" w:rsidP="00D15EC0">
      <w:pPr>
        <w:pStyle w:val="Heading1"/>
        <w:spacing w:before="0" w:beforeAutospacing="0" w:after="240" w:afterAutospacing="0" w:line="360" w:lineRule="auto"/>
        <w:jc w:val="center"/>
        <w:rPr>
          <w:rFonts w:ascii="Arial" w:hAnsi="Arial" w:cs="Arial"/>
          <w:color w:val="000000"/>
          <w:sz w:val="22"/>
          <w:szCs w:val="22"/>
        </w:rPr>
      </w:pPr>
      <w:r w:rsidRPr="00D15EC0">
        <w:rPr>
          <w:rFonts w:ascii="Arial" w:hAnsi="Arial" w:cs="Arial"/>
          <w:color w:val="000000"/>
          <w:sz w:val="22"/>
          <w:szCs w:val="22"/>
        </w:rPr>
        <w:t>Reference list</w:t>
      </w:r>
    </w:p>
    <w:p w14:paraId="06383F9F"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BBC News (2017) ‘Carer Jailed for Stealing £290,000 from 102-year-old Woman’,</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BBC News</w:t>
      </w:r>
      <w:r w:rsidRPr="00D15EC0">
        <w:rPr>
          <w:rFonts w:ascii="Arial" w:hAnsi="Arial" w:cs="Arial"/>
          <w:color w:val="000000"/>
          <w:sz w:val="22"/>
          <w:szCs w:val="22"/>
        </w:rPr>
        <w:t>, 26 June. Available at: https://www.bbc.co.uk/news/uk-england-humber-40405248 (Accessed: 1 April 2024).</w:t>
      </w:r>
    </w:p>
    <w:p w14:paraId="36ED67EA"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BBC News (2024) ‘Sharon Beshenivsky: Robbery Ringleader Guilty of PC’s 2005 Murder’,</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BBC News</w:t>
      </w:r>
      <w:r w:rsidRPr="00D15EC0">
        <w:rPr>
          <w:rFonts w:ascii="Arial" w:hAnsi="Arial" w:cs="Arial"/>
          <w:color w:val="000000"/>
          <w:sz w:val="22"/>
          <w:szCs w:val="22"/>
        </w:rPr>
        <w:t>, 4 April. Available at: https://www.bbc.co.uk/news/uk-england-bradford-west-yorkshire-68685046 (Accessed: 5 April 2024).</w:t>
      </w:r>
    </w:p>
    <w:p w14:paraId="4CB85BD7"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Cotterill, B. (2022)</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‘I Thought They Were Being kind’: ‘Cuckooing’ Victim Reveals How Drug Dealers Took over Her Flat</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Sky News</w:t>
      </w:r>
      <w:r w:rsidRPr="00D15EC0">
        <w:rPr>
          <w:rFonts w:ascii="Arial" w:hAnsi="Arial" w:cs="Arial"/>
          <w:color w:val="000000"/>
          <w:sz w:val="22"/>
          <w:szCs w:val="22"/>
        </w:rPr>
        <w:t>. Available at: https://news.sky.com/story/i-thought-they-were-being-kind-cuckooing-victim-reveals-how-drug-dealers-took-over-her-flat-12580191 (Accessed: 27 March 2024).</w:t>
      </w:r>
    </w:p>
    <w:p w14:paraId="57A82D28"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Esposito, 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et al.</w:t>
      </w:r>
      <w:r w:rsidRPr="00D15EC0">
        <w:rPr>
          <w:rStyle w:val="apple-converted-space"/>
          <w:rFonts w:ascii="Arial" w:hAnsi="Arial" w:cs="Arial"/>
          <w:color w:val="000000"/>
          <w:sz w:val="22"/>
          <w:szCs w:val="22"/>
        </w:rPr>
        <w:t> </w:t>
      </w:r>
      <w:r w:rsidRPr="00D15EC0">
        <w:rPr>
          <w:rFonts w:ascii="Arial" w:hAnsi="Arial" w:cs="Arial"/>
          <w:color w:val="000000"/>
          <w:sz w:val="22"/>
          <w:szCs w:val="22"/>
        </w:rPr>
        <w:t xml:space="preserve">(2017) ‘The Effects of Socioeconomic Vulnerability, Psychosocial Services, and Social Service Spending on Family Reunification: </w:t>
      </w:r>
      <w:proofErr w:type="gramStart"/>
      <w:r w:rsidRPr="00D15EC0">
        <w:rPr>
          <w:rFonts w:ascii="Arial" w:hAnsi="Arial" w:cs="Arial"/>
          <w:color w:val="000000"/>
          <w:sz w:val="22"/>
          <w:szCs w:val="22"/>
        </w:rPr>
        <w:t>a</w:t>
      </w:r>
      <w:proofErr w:type="gramEnd"/>
      <w:r w:rsidRPr="00D15EC0">
        <w:rPr>
          <w:rFonts w:ascii="Arial" w:hAnsi="Arial" w:cs="Arial"/>
          <w:color w:val="000000"/>
          <w:sz w:val="22"/>
          <w:szCs w:val="22"/>
        </w:rPr>
        <w:t xml:space="preserve"> Multilevel Longitudinal Analysis’,</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International Journal of Environmental Research and Public Health</w:t>
      </w:r>
      <w:r w:rsidRPr="00D15EC0">
        <w:rPr>
          <w:rFonts w:ascii="Arial" w:hAnsi="Arial" w:cs="Arial"/>
          <w:color w:val="000000"/>
          <w:sz w:val="22"/>
          <w:szCs w:val="22"/>
        </w:rPr>
        <w:t>, 14(9), p. 1040. Available at: https://doi.org/10.3390/ijerph14091040.</w:t>
      </w:r>
    </w:p>
    <w:p w14:paraId="69D94081"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Forward UK (2024)</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FGM and Religion</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FORWARD</w:t>
      </w:r>
      <w:r w:rsidRPr="00D15EC0">
        <w:rPr>
          <w:rFonts w:ascii="Arial" w:hAnsi="Arial" w:cs="Arial"/>
          <w:color w:val="000000"/>
          <w:sz w:val="22"/>
          <w:szCs w:val="22"/>
        </w:rPr>
        <w:t>. Available at: https://www.forwarduk.org.uk/who-we-work-with/faith-community-leaders/fgm-and-religion/ (Accessed: 2 April 2024).</w:t>
      </w:r>
    </w:p>
    <w:p w14:paraId="4E8C810F" w14:textId="4332F03F" w:rsidR="00AA7A45" w:rsidRPr="00D15EC0" w:rsidRDefault="00E03E68" w:rsidP="00D15EC0">
      <w:pPr>
        <w:pStyle w:val="NormalWeb"/>
        <w:spacing w:before="0" w:beforeAutospacing="0" w:after="240" w:afterAutospacing="0" w:line="360" w:lineRule="auto"/>
        <w:rPr>
          <w:rFonts w:ascii="Arial" w:hAnsi="Arial" w:cs="Arial"/>
          <w:color w:val="000000"/>
          <w:sz w:val="22"/>
          <w:szCs w:val="22"/>
        </w:rPr>
      </w:pPr>
      <w:r>
        <w:rPr>
          <w:rFonts w:ascii="Arial" w:hAnsi="Arial" w:cs="Arial"/>
          <w:color w:val="000000"/>
          <w:sz w:val="22"/>
          <w:szCs w:val="22"/>
        </w:rPr>
        <w:t xml:space="preserve">Crime, </w:t>
      </w:r>
      <w:r w:rsidR="006C7BAF">
        <w:rPr>
          <w:rFonts w:ascii="Arial" w:hAnsi="Arial" w:cs="Arial"/>
          <w:color w:val="000000"/>
          <w:sz w:val="22"/>
          <w:szCs w:val="22"/>
        </w:rPr>
        <w:t>J</w:t>
      </w:r>
      <w:r w:rsidR="006705E7">
        <w:rPr>
          <w:rFonts w:ascii="Arial" w:hAnsi="Arial" w:cs="Arial"/>
          <w:color w:val="000000"/>
          <w:sz w:val="22"/>
          <w:szCs w:val="22"/>
        </w:rPr>
        <w:t>ustice,</w:t>
      </w:r>
      <w:r>
        <w:rPr>
          <w:rFonts w:ascii="Arial" w:hAnsi="Arial" w:cs="Arial"/>
          <w:color w:val="000000"/>
          <w:sz w:val="22"/>
          <w:szCs w:val="22"/>
        </w:rPr>
        <w:t xml:space="preserve"> and </w:t>
      </w:r>
      <w:r w:rsidR="006C7BAF">
        <w:rPr>
          <w:rFonts w:ascii="Arial" w:hAnsi="Arial" w:cs="Arial"/>
          <w:color w:val="000000"/>
          <w:sz w:val="22"/>
          <w:szCs w:val="22"/>
        </w:rPr>
        <w:t>L</w:t>
      </w:r>
      <w:r>
        <w:rPr>
          <w:rFonts w:ascii="Arial" w:hAnsi="Arial" w:cs="Arial"/>
          <w:color w:val="000000"/>
          <w:sz w:val="22"/>
          <w:szCs w:val="22"/>
        </w:rPr>
        <w:t xml:space="preserve">aw </w:t>
      </w:r>
      <w:r w:rsidR="00AA7A45" w:rsidRPr="00D15EC0">
        <w:rPr>
          <w:rFonts w:ascii="Arial" w:hAnsi="Arial" w:cs="Arial"/>
          <w:color w:val="000000"/>
          <w:sz w:val="22"/>
          <w:szCs w:val="22"/>
        </w:rPr>
        <w:t>(2010)</w:t>
      </w:r>
      <w:r w:rsidR="00AA7A45" w:rsidRPr="00D15EC0">
        <w:rPr>
          <w:rStyle w:val="apple-converted-space"/>
          <w:rFonts w:ascii="Arial" w:hAnsi="Arial" w:cs="Arial"/>
          <w:color w:val="000000"/>
          <w:sz w:val="22"/>
          <w:szCs w:val="22"/>
        </w:rPr>
        <w:t> </w:t>
      </w:r>
      <w:r w:rsidR="00AA7A45" w:rsidRPr="00D15EC0">
        <w:rPr>
          <w:rFonts w:ascii="Arial" w:hAnsi="Arial" w:cs="Arial"/>
          <w:i/>
          <w:iCs/>
          <w:color w:val="000000"/>
          <w:sz w:val="22"/>
          <w:szCs w:val="22"/>
        </w:rPr>
        <w:t>Definition of Disability under the Equality Act 2010</w:t>
      </w:r>
      <w:r w:rsidR="00AA7A45" w:rsidRPr="00D15EC0">
        <w:rPr>
          <w:rFonts w:ascii="Arial" w:hAnsi="Arial" w:cs="Arial"/>
          <w:color w:val="000000"/>
          <w:sz w:val="22"/>
          <w:szCs w:val="22"/>
        </w:rPr>
        <w:t>,</w:t>
      </w:r>
      <w:r w:rsidR="00AA7A45" w:rsidRPr="00D15EC0">
        <w:rPr>
          <w:rStyle w:val="apple-converted-space"/>
          <w:rFonts w:ascii="Arial" w:hAnsi="Arial" w:cs="Arial"/>
          <w:color w:val="000000"/>
          <w:sz w:val="22"/>
          <w:szCs w:val="22"/>
        </w:rPr>
        <w:t> </w:t>
      </w:r>
      <w:r w:rsidR="00AA7A45" w:rsidRPr="00D15EC0">
        <w:rPr>
          <w:rFonts w:ascii="Arial" w:hAnsi="Arial" w:cs="Arial"/>
          <w:i/>
          <w:iCs/>
          <w:color w:val="000000"/>
          <w:sz w:val="22"/>
          <w:szCs w:val="22"/>
        </w:rPr>
        <w:t>GOV.UK</w:t>
      </w:r>
      <w:r w:rsidR="00AA7A45" w:rsidRPr="00D15EC0">
        <w:rPr>
          <w:rFonts w:ascii="Arial" w:hAnsi="Arial" w:cs="Arial"/>
          <w:color w:val="000000"/>
          <w:sz w:val="22"/>
          <w:szCs w:val="22"/>
        </w:rPr>
        <w:t>. Available at: https://www.gov.uk/definition-of-disability-under-equality-act-2010 (Accessed: 1 April 2024).</w:t>
      </w:r>
    </w:p>
    <w:p w14:paraId="7F400160" w14:textId="24666D73" w:rsidR="00AA7A45" w:rsidRPr="00D15EC0" w:rsidRDefault="00757763" w:rsidP="00D15EC0">
      <w:pPr>
        <w:pStyle w:val="NormalWeb"/>
        <w:spacing w:before="0" w:beforeAutospacing="0" w:after="240" w:afterAutospacing="0" w:line="360" w:lineRule="auto"/>
        <w:rPr>
          <w:rFonts w:ascii="Arial" w:hAnsi="Arial" w:cs="Arial"/>
          <w:color w:val="000000"/>
          <w:sz w:val="22"/>
          <w:szCs w:val="22"/>
        </w:rPr>
      </w:pPr>
      <w:r w:rsidRPr="00D45A80">
        <w:rPr>
          <w:rFonts w:ascii="Arial" w:hAnsi="Arial" w:cs="Arial"/>
          <w:color w:val="000000"/>
          <w:sz w:val="22"/>
          <w:szCs w:val="22"/>
        </w:rPr>
        <w:t>Government Equalities Office &amp; Equality and Human Rights Commission</w:t>
      </w:r>
      <w:r w:rsidR="00AA7A45" w:rsidRPr="00D45A80">
        <w:rPr>
          <w:rFonts w:ascii="Arial" w:hAnsi="Arial" w:cs="Arial"/>
          <w:color w:val="000000"/>
          <w:sz w:val="22"/>
          <w:szCs w:val="22"/>
        </w:rPr>
        <w:t xml:space="preserve"> (2015)</w:t>
      </w:r>
      <w:r w:rsidR="00AA7A45" w:rsidRPr="00D45A80">
        <w:rPr>
          <w:rStyle w:val="apple-converted-space"/>
          <w:rFonts w:ascii="Arial" w:hAnsi="Arial" w:cs="Arial"/>
          <w:color w:val="000000"/>
          <w:sz w:val="22"/>
          <w:szCs w:val="22"/>
        </w:rPr>
        <w:t> </w:t>
      </w:r>
      <w:r w:rsidR="00AA7A45" w:rsidRPr="00D45A80">
        <w:rPr>
          <w:rFonts w:ascii="Arial" w:hAnsi="Arial" w:cs="Arial"/>
          <w:i/>
          <w:iCs/>
          <w:color w:val="000000"/>
          <w:sz w:val="22"/>
          <w:szCs w:val="22"/>
        </w:rPr>
        <w:t>Equality</w:t>
      </w:r>
      <w:r w:rsidR="00AA7A45" w:rsidRPr="00D15EC0">
        <w:rPr>
          <w:rFonts w:ascii="Arial" w:hAnsi="Arial" w:cs="Arial"/>
          <w:i/>
          <w:iCs/>
          <w:color w:val="000000"/>
          <w:sz w:val="22"/>
          <w:szCs w:val="22"/>
        </w:rPr>
        <w:t xml:space="preserve"> Act 2010</w:t>
      </w:r>
      <w:r w:rsidR="00AA7A45" w:rsidRPr="00D15EC0">
        <w:rPr>
          <w:rFonts w:ascii="Arial" w:hAnsi="Arial" w:cs="Arial"/>
          <w:color w:val="000000"/>
          <w:sz w:val="22"/>
          <w:szCs w:val="22"/>
        </w:rPr>
        <w:t>,</w:t>
      </w:r>
      <w:r w:rsidR="00AA7A45" w:rsidRPr="00D15EC0">
        <w:rPr>
          <w:rStyle w:val="apple-converted-space"/>
          <w:rFonts w:ascii="Arial" w:hAnsi="Arial" w:cs="Arial"/>
          <w:color w:val="000000"/>
          <w:sz w:val="22"/>
          <w:szCs w:val="22"/>
        </w:rPr>
        <w:t> </w:t>
      </w:r>
      <w:r w:rsidR="00AA7A45" w:rsidRPr="00D15EC0">
        <w:rPr>
          <w:rFonts w:ascii="Arial" w:hAnsi="Arial" w:cs="Arial"/>
          <w:i/>
          <w:iCs/>
          <w:color w:val="000000"/>
          <w:sz w:val="22"/>
          <w:szCs w:val="22"/>
        </w:rPr>
        <w:t>GOV.UK</w:t>
      </w:r>
      <w:r w:rsidR="00AA7A45" w:rsidRPr="00D15EC0">
        <w:rPr>
          <w:rFonts w:ascii="Arial" w:hAnsi="Arial" w:cs="Arial"/>
          <w:color w:val="000000"/>
          <w:sz w:val="22"/>
          <w:szCs w:val="22"/>
        </w:rPr>
        <w:t>. Gov.uk. Available at: https://www.gov.uk/guidance/equality-act-2010-guidance (Accessed: 28 March 2024).</w:t>
      </w:r>
    </w:p>
    <w:p w14:paraId="5581B36A"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GOV.UK Department for International Development (2014)</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Female Genital mutilation: ‘My Courageous Decision to Go against Tradition’</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GOV.UK</w:t>
      </w:r>
      <w:r w:rsidRPr="00D15EC0">
        <w:rPr>
          <w:rFonts w:ascii="Arial" w:hAnsi="Arial" w:cs="Arial"/>
          <w:color w:val="000000"/>
          <w:sz w:val="22"/>
          <w:szCs w:val="22"/>
        </w:rPr>
        <w:t>. Available at: https://www.gov.uk/government/case-studies/female-genital-mutilation-my-courageous-decision-to-go-against-tradition (Accessed: 3 April 2024).</w:t>
      </w:r>
    </w:p>
    <w:p w14:paraId="6BCCC6CB"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Hampshire Safeguarding Adults Board (2009)</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Fiona Pilkington (Leicestershire) | Hampshire Safeguarding Adults Board</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Hampshire Safeguarding Adults Board</w:t>
      </w:r>
      <w:r w:rsidRPr="00D15EC0">
        <w:rPr>
          <w:rFonts w:ascii="Arial" w:hAnsi="Arial" w:cs="Arial"/>
          <w:color w:val="000000"/>
          <w:sz w:val="22"/>
          <w:szCs w:val="22"/>
        </w:rPr>
        <w:t>. Available at: https://www.hampshiresab.org.uk/learning-from-experience-database/serious-case-reviews/fiona-pilkington-leicestershire/ (Accessed: 1 April 2024).</w:t>
      </w:r>
    </w:p>
    <w:p w14:paraId="29F3390E"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Kuran, C.H.A.</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et al.</w:t>
      </w:r>
      <w:r w:rsidRPr="00D15EC0">
        <w:rPr>
          <w:rStyle w:val="apple-converted-space"/>
          <w:rFonts w:ascii="Arial" w:hAnsi="Arial" w:cs="Arial"/>
          <w:color w:val="000000"/>
          <w:sz w:val="22"/>
          <w:szCs w:val="22"/>
        </w:rPr>
        <w:t> </w:t>
      </w:r>
      <w:r w:rsidRPr="00D15EC0">
        <w:rPr>
          <w:rFonts w:ascii="Arial" w:hAnsi="Arial" w:cs="Arial"/>
          <w:color w:val="000000"/>
          <w:sz w:val="22"/>
          <w:szCs w:val="22"/>
        </w:rPr>
        <w:t>(2020) ‘Vulnerability and Vulnerable Groups from an Intersectionality Perspective’,</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International Journal of Disaster Risk Reduction</w:t>
      </w:r>
      <w:r w:rsidRPr="00D15EC0">
        <w:rPr>
          <w:rFonts w:ascii="Arial" w:hAnsi="Arial" w:cs="Arial"/>
          <w:color w:val="000000"/>
          <w:sz w:val="22"/>
          <w:szCs w:val="22"/>
        </w:rPr>
        <w:t>, 50, p. 101826. Available at: https://doi.org/10.1016/j.ijdrr.2020.101826.</w:t>
      </w:r>
    </w:p>
    <w:p w14:paraId="72E0A9B8"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Lee, E. (2022)</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 xml:space="preserve">What Is </w:t>
      </w:r>
      <w:proofErr w:type="gramStart"/>
      <w:r w:rsidRPr="00D15EC0">
        <w:rPr>
          <w:rFonts w:ascii="Arial" w:hAnsi="Arial" w:cs="Arial"/>
          <w:i/>
          <w:iCs/>
          <w:color w:val="000000"/>
          <w:sz w:val="22"/>
          <w:szCs w:val="22"/>
        </w:rPr>
        <w:t>Cuckooing?</w:t>
      </w:r>
      <w:r w:rsidRPr="00D15EC0">
        <w:rPr>
          <w:rFonts w:ascii="Arial" w:hAnsi="Arial" w:cs="Arial"/>
          <w:color w:val="000000"/>
          <w:sz w:val="22"/>
          <w:szCs w:val="22"/>
        </w:rPr>
        <w:t>,</w:t>
      </w:r>
      <w:proofErr w:type="gramEnd"/>
      <w:r w:rsidRPr="00D15EC0">
        <w:rPr>
          <w:rStyle w:val="apple-converted-space"/>
          <w:rFonts w:ascii="Arial" w:hAnsi="Arial" w:cs="Arial"/>
          <w:color w:val="000000"/>
          <w:sz w:val="22"/>
          <w:szCs w:val="22"/>
        </w:rPr>
        <w:t> </w:t>
      </w:r>
      <w:r w:rsidRPr="00D15EC0">
        <w:rPr>
          <w:rFonts w:ascii="Arial" w:hAnsi="Arial" w:cs="Arial"/>
          <w:i/>
          <w:iCs/>
          <w:color w:val="000000"/>
          <w:sz w:val="22"/>
          <w:szCs w:val="22"/>
        </w:rPr>
        <w:t>CPD Online College</w:t>
      </w:r>
      <w:r w:rsidRPr="00D15EC0">
        <w:rPr>
          <w:rFonts w:ascii="Arial" w:hAnsi="Arial" w:cs="Arial"/>
          <w:color w:val="000000"/>
          <w:sz w:val="22"/>
          <w:szCs w:val="22"/>
        </w:rPr>
        <w:t>. Available at: https://cpdonline.co.uk/knowledge-base/safeguarding/cuckooing/ (Accessed: 28 March 2024).</w:t>
      </w:r>
    </w:p>
    <w:p w14:paraId="2FDBFDAB"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Levinas, E. (2020) ‘THE THREE FACES OF VULNERABILITY’,</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Angelaki</w:t>
      </w:r>
      <w:r w:rsidRPr="00D15EC0">
        <w:rPr>
          <w:rFonts w:ascii="Arial" w:hAnsi="Arial" w:cs="Arial"/>
          <w:color w:val="000000"/>
          <w:sz w:val="22"/>
          <w:szCs w:val="22"/>
        </w:rPr>
        <w:t>, 25(1-2), pp. 209–221. Available at: https://doi.org/10.1080/0969725x.2020.1717807.</w:t>
      </w:r>
    </w:p>
    <w:p w14:paraId="259F4C55"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Living Without Abuse (2024)</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Disability Abuse | lwa.org.uk</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LWA</w:t>
      </w:r>
      <w:r w:rsidRPr="00D15EC0">
        <w:rPr>
          <w:rFonts w:ascii="Arial" w:hAnsi="Arial" w:cs="Arial"/>
          <w:color w:val="000000"/>
          <w:sz w:val="22"/>
          <w:szCs w:val="22"/>
        </w:rPr>
        <w:t>. Available at: https://lwa.org.uk/understanding-abuse/who-is-affected-by-abuse/disability-abuse/#:~:text=A%20disabled%20person%20is%20more (Accessed: 4 April 2024).</w:t>
      </w:r>
    </w:p>
    <w:p w14:paraId="6B403018"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Money &amp; Pensions Service (2021)</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 xml:space="preserve">24 </w:t>
      </w:r>
      <w:proofErr w:type="gramStart"/>
      <w:r w:rsidRPr="00D15EC0">
        <w:rPr>
          <w:rFonts w:ascii="Arial" w:hAnsi="Arial" w:cs="Arial"/>
          <w:i/>
          <w:iCs/>
          <w:color w:val="000000"/>
          <w:sz w:val="22"/>
          <w:szCs w:val="22"/>
        </w:rPr>
        <w:t>Million</w:t>
      </w:r>
      <w:proofErr w:type="gramEnd"/>
      <w:r w:rsidRPr="00D15EC0">
        <w:rPr>
          <w:rFonts w:ascii="Arial" w:hAnsi="Arial" w:cs="Arial"/>
          <w:i/>
          <w:iCs/>
          <w:color w:val="000000"/>
          <w:sz w:val="22"/>
          <w:szCs w:val="22"/>
        </w:rPr>
        <w:t xml:space="preserve"> UK Adults Don’t Feel Confident Managing Their money, Talk Money Week Is Here to Help | Money and Pensions Service</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MaPS</w:t>
      </w:r>
      <w:r w:rsidRPr="00D15EC0">
        <w:rPr>
          <w:rFonts w:ascii="Arial" w:hAnsi="Arial" w:cs="Arial"/>
          <w:color w:val="000000"/>
          <w:sz w:val="22"/>
          <w:szCs w:val="22"/>
        </w:rPr>
        <w:t>. Available at: https://maps.org.uk/en/media-centre/press-releases/2021/24-million-uk-adults-dont-feel-confident-managing-their-money-talk-money-week-is-here-to-help# (Accessed: 29 March 2024).</w:t>
      </w:r>
    </w:p>
    <w:p w14:paraId="1881F30B"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Money and Mental Health (2020)</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Money and Mental Health Facts and Statistics - a Money and Mental Health Policy Institute Factsheet</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proofErr w:type="gramStart"/>
      <w:r w:rsidRPr="00D15EC0">
        <w:rPr>
          <w:rFonts w:ascii="Arial" w:hAnsi="Arial" w:cs="Arial"/>
          <w:i/>
          <w:iCs/>
          <w:color w:val="000000"/>
          <w:sz w:val="22"/>
          <w:szCs w:val="22"/>
        </w:rPr>
        <w:t>Money</w:t>
      </w:r>
      <w:proofErr w:type="gramEnd"/>
      <w:r w:rsidRPr="00D15EC0">
        <w:rPr>
          <w:rFonts w:ascii="Arial" w:hAnsi="Arial" w:cs="Arial"/>
          <w:i/>
          <w:iCs/>
          <w:color w:val="000000"/>
          <w:sz w:val="22"/>
          <w:szCs w:val="22"/>
        </w:rPr>
        <w:t xml:space="preserve"> and Mental Health Policy Institute</w:t>
      </w:r>
      <w:r w:rsidRPr="00D15EC0">
        <w:rPr>
          <w:rFonts w:ascii="Arial" w:hAnsi="Arial" w:cs="Arial"/>
          <w:color w:val="000000"/>
          <w:sz w:val="22"/>
          <w:szCs w:val="22"/>
        </w:rPr>
        <w:t>. Available at: https://www.moneyandmentalhealth.org/money-and-mental-health-facts/ (Accessed: 29 March 2024).</w:t>
      </w:r>
    </w:p>
    <w:p w14:paraId="4C55BD3E"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Ngozi Odo, A.</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et al.</w:t>
      </w:r>
      <w:r w:rsidRPr="00D15EC0">
        <w:rPr>
          <w:rStyle w:val="apple-converted-space"/>
          <w:rFonts w:ascii="Arial" w:hAnsi="Arial" w:cs="Arial"/>
          <w:color w:val="000000"/>
          <w:sz w:val="22"/>
          <w:szCs w:val="22"/>
        </w:rPr>
        <w:t> </w:t>
      </w:r>
      <w:r w:rsidRPr="00D15EC0">
        <w:rPr>
          <w:rFonts w:ascii="Arial" w:hAnsi="Arial" w:cs="Arial"/>
          <w:color w:val="000000"/>
          <w:sz w:val="22"/>
          <w:szCs w:val="22"/>
        </w:rPr>
        <w:t>(2020) ‘Towards Characterization of Female Genital Mutilation (FGM) in Rural Nigeria’,</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African Health Sciences</w:t>
      </w:r>
      <w:r w:rsidRPr="00D15EC0">
        <w:rPr>
          <w:rFonts w:ascii="Arial" w:hAnsi="Arial" w:cs="Arial"/>
          <w:color w:val="000000"/>
          <w:sz w:val="22"/>
          <w:szCs w:val="22"/>
        </w:rPr>
        <w:t>, 20(4), pp. 1968–78. Available at: https://doi.org/10.4314/ahs.v20i4.55.</w:t>
      </w:r>
    </w:p>
    <w:p w14:paraId="1049E1F9"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NHS (2019)</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Female Genital Mutilation (FGM)</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NHS Health</w:t>
      </w:r>
      <w:r w:rsidRPr="00D15EC0">
        <w:rPr>
          <w:rFonts w:ascii="Arial" w:hAnsi="Arial" w:cs="Arial"/>
          <w:color w:val="000000"/>
          <w:sz w:val="22"/>
          <w:szCs w:val="22"/>
        </w:rPr>
        <w:t>. NHS Health. Available at: https://www.nhs.uk/conditions/female-genital-mutilation-fgm/ (Accessed: 2 April 2024).</w:t>
      </w:r>
    </w:p>
    <w:p w14:paraId="7D6EB6E4"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NHS England (2021)</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Female Genital Mutilation (FGM) Annual Report - April 2020 to March 2021 (experimental Statistics report)</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NHS Digital</w:t>
      </w:r>
      <w:r w:rsidRPr="00D15EC0">
        <w:rPr>
          <w:rFonts w:ascii="Arial" w:hAnsi="Arial" w:cs="Arial"/>
          <w:color w:val="000000"/>
          <w:sz w:val="22"/>
          <w:szCs w:val="22"/>
        </w:rPr>
        <w:t>. Available at: https://digital.nhs.uk/data-and-information/publications/statistical/female-genital-mutilation/april-2020-to-march-2021 (Accessed: 2 April 2024).</w:t>
      </w:r>
    </w:p>
    <w:p w14:paraId="1B6B33D4"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NIDirect (2019)</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Recognising Adult abuse, Exploitation and Neglect | Nidirect</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proofErr w:type="spellStart"/>
      <w:r w:rsidRPr="00D15EC0">
        <w:rPr>
          <w:rFonts w:ascii="Arial" w:hAnsi="Arial" w:cs="Arial"/>
          <w:i/>
          <w:iCs/>
          <w:color w:val="000000"/>
          <w:sz w:val="22"/>
          <w:szCs w:val="22"/>
        </w:rPr>
        <w:t>nidirect</w:t>
      </w:r>
      <w:proofErr w:type="spellEnd"/>
      <w:r w:rsidRPr="00D15EC0">
        <w:rPr>
          <w:rFonts w:ascii="Arial" w:hAnsi="Arial" w:cs="Arial"/>
          <w:color w:val="000000"/>
          <w:sz w:val="22"/>
          <w:szCs w:val="22"/>
        </w:rPr>
        <w:t>. Available at: https://www.nidirect.gov.uk/articles/recognising-adult-abuse-exploitation-and-neglect (Accessed: 28 March 2024).</w:t>
      </w:r>
    </w:p>
    <w:p w14:paraId="7AB00E2D"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NSPCC (2018)</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Female Genital Mutilation (FGM)</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NSPCC</w:t>
      </w:r>
      <w:r w:rsidRPr="00D15EC0">
        <w:rPr>
          <w:rFonts w:ascii="Arial" w:hAnsi="Arial" w:cs="Arial"/>
          <w:color w:val="000000"/>
          <w:sz w:val="22"/>
          <w:szCs w:val="22"/>
        </w:rPr>
        <w:t>. Available at: https://www.nspcc.org.uk/what-is-child-abuse/types-of-abuse/female-genital-mutilation-fgm/ (Accessed: 3 April 2024).</w:t>
      </w:r>
    </w:p>
    <w:p w14:paraId="4F1CBD19"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Omidvar, D.N. (2023)</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Understanding the Role Technology Can Play in Reducing Financial Vulnerability</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business.leeds.ac.uk</w:t>
      </w:r>
      <w:r w:rsidRPr="00D15EC0">
        <w:rPr>
          <w:rFonts w:ascii="Arial" w:hAnsi="Arial" w:cs="Arial"/>
          <w:color w:val="000000"/>
          <w:sz w:val="22"/>
          <w:szCs w:val="22"/>
        </w:rPr>
        <w:t>. Available at: https://business.leeds.ac.uk/research-fintech/dir-record/research-blog/2183/understanding-the-role-technology-can-play-in-reducing-financial-vulnerability#:~:text=Traits%20of%20financial%20vulnerability%20can (Accessed: 29 March 2024).</w:t>
      </w:r>
    </w:p>
    <w:p w14:paraId="1C8F3F60"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Prevention Web (2021)</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Vulnerability | Understanding Disaster Risk</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www.preventionweb.net</w:t>
      </w:r>
      <w:r w:rsidRPr="00D15EC0">
        <w:rPr>
          <w:rFonts w:ascii="Arial" w:hAnsi="Arial" w:cs="Arial"/>
          <w:color w:val="000000"/>
          <w:sz w:val="22"/>
          <w:szCs w:val="22"/>
        </w:rPr>
        <w:t>. Available at: https://www.preventionweb.net/understanding-disaster-risk/component-risk/vulnerability#:~:text=Social%20factors (Accessed: 27 March 2024).</w:t>
      </w:r>
    </w:p>
    <w:p w14:paraId="3E7F10CE"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Public Health England (2021)</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Female Genital Mutilation (FGM): Migrant Health Guide</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 xml:space="preserve">GOV.UK Office for Health Improvement and </w:t>
      </w:r>
      <w:proofErr w:type="gramStart"/>
      <w:r w:rsidRPr="00D15EC0">
        <w:rPr>
          <w:rFonts w:ascii="Arial" w:hAnsi="Arial" w:cs="Arial"/>
          <w:i/>
          <w:iCs/>
          <w:color w:val="000000"/>
          <w:sz w:val="22"/>
          <w:szCs w:val="22"/>
        </w:rPr>
        <w:t>Disparities</w:t>
      </w:r>
      <w:r w:rsidRPr="00D15EC0">
        <w:rPr>
          <w:rStyle w:val="apple-converted-space"/>
          <w:rFonts w:ascii="Arial" w:hAnsi="Arial" w:cs="Arial"/>
          <w:i/>
          <w:iCs/>
          <w:color w:val="000000"/>
          <w:sz w:val="22"/>
          <w:szCs w:val="22"/>
        </w:rPr>
        <w:t> </w:t>
      </w:r>
      <w:r w:rsidRPr="00D15EC0">
        <w:rPr>
          <w:rFonts w:ascii="Arial" w:hAnsi="Arial" w:cs="Arial"/>
          <w:color w:val="000000"/>
          <w:sz w:val="22"/>
          <w:szCs w:val="22"/>
        </w:rPr>
        <w:t>.</w:t>
      </w:r>
      <w:proofErr w:type="gramEnd"/>
      <w:r w:rsidRPr="00D15EC0">
        <w:rPr>
          <w:rFonts w:ascii="Arial" w:hAnsi="Arial" w:cs="Arial"/>
          <w:color w:val="000000"/>
          <w:sz w:val="22"/>
          <w:szCs w:val="22"/>
        </w:rPr>
        <w:t xml:space="preserve"> Available at: https://www.gov.uk/guidance/female-genital-mutilation-fgm-migrant-health-guide (Accessed: 2 April 2024).</w:t>
      </w:r>
    </w:p>
    <w:p w14:paraId="2BB47AE4"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StopAdultAbuse (2024)</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Cuckooing / County Lines</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www.stopadultabuse.org.uk</w:t>
      </w:r>
      <w:r w:rsidRPr="00D15EC0">
        <w:rPr>
          <w:rFonts w:ascii="Arial" w:hAnsi="Arial" w:cs="Arial"/>
          <w:color w:val="000000"/>
          <w:sz w:val="22"/>
          <w:szCs w:val="22"/>
        </w:rPr>
        <w:t>. Available at: http://www.stopadultabuse.org.uk/what-is-abuse/cuckooing-county-lines.aspx (Accessed: 28 March 2024).</w:t>
      </w:r>
    </w:p>
    <w:p w14:paraId="45DB3E51"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Tammary, E. and Manasi, K. (2023)</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 xml:space="preserve">Mental and Sexual Health Outcomes Associated with FGM/C in Africa: </w:t>
      </w:r>
      <w:proofErr w:type="gramStart"/>
      <w:r w:rsidRPr="00D15EC0">
        <w:rPr>
          <w:rFonts w:ascii="Arial" w:hAnsi="Arial" w:cs="Arial"/>
          <w:i/>
          <w:iCs/>
          <w:color w:val="000000"/>
          <w:sz w:val="22"/>
          <w:szCs w:val="22"/>
        </w:rPr>
        <w:t>a</w:t>
      </w:r>
      <w:proofErr w:type="gramEnd"/>
      <w:r w:rsidRPr="00D15EC0">
        <w:rPr>
          <w:rFonts w:ascii="Arial" w:hAnsi="Arial" w:cs="Arial"/>
          <w:i/>
          <w:iCs/>
          <w:color w:val="000000"/>
          <w:sz w:val="22"/>
          <w:szCs w:val="22"/>
        </w:rPr>
        <w:t xml:space="preserve"> Systematic Narrative Synthesis</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The Lancet</w:t>
      </w:r>
      <w:r w:rsidRPr="00D15EC0">
        <w:rPr>
          <w:rFonts w:ascii="Arial" w:hAnsi="Arial" w:cs="Arial"/>
          <w:color w:val="000000"/>
          <w:sz w:val="22"/>
          <w:szCs w:val="22"/>
        </w:rPr>
        <w:t>. Available at: https://www.thelancet.com/journals/eclinm/article/PIIS2589-5370(22)00542-9/fulltext#%20 (Accessed: 3 April 2024).</w:t>
      </w:r>
    </w:p>
    <w:p w14:paraId="06F279D4"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UNDRR (2017)</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Vulnerability</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www.preventionweb.net</w:t>
      </w:r>
      <w:r w:rsidRPr="00D15EC0">
        <w:rPr>
          <w:rFonts w:ascii="Arial" w:hAnsi="Arial" w:cs="Arial"/>
          <w:color w:val="000000"/>
          <w:sz w:val="22"/>
          <w:szCs w:val="22"/>
        </w:rPr>
        <w:t>. Available at: https://www.preventionweb.net/understanding-disaster-risk/component-risk/vulnerability (Accessed: 4 April 2024).</w:t>
      </w:r>
    </w:p>
    <w:p w14:paraId="1F3869AC"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UNICEF (2023)</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Female Genital Mutilation Evidence Profile</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UNICEF</w:t>
      </w:r>
      <w:r w:rsidRPr="00D15EC0">
        <w:rPr>
          <w:rFonts w:ascii="Arial" w:hAnsi="Arial" w:cs="Arial"/>
          <w:color w:val="000000"/>
          <w:sz w:val="22"/>
          <w:szCs w:val="22"/>
        </w:rPr>
        <w:t>. Available at: https://www.unicef-irc.org/files/documents/d-4313-1122_Female%20Genital%20Mutilation%20Evidence%20Profile-%20Burkina%20Faso%201.pdf (Accessed: 3 April 2024).</w:t>
      </w:r>
    </w:p>
    <w:p w14:paraId="523AB30A"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University of Cambridge (2022)</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Substance Use Disorders Linked to Poor Health Outcomes in Wide Range of Physical Health Conditions</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University of Cambridge</w:t>
      </w:r>
      <w:r w:rsidRPr="00D15EC0">
        <w:rPr>
          <w:rFonts w:ascii="Arial" w:hAnsi="Arial" w:cs="Arial"/>
          <w:color w:val="000000"/>
          <w:sz w:val="22"/>
          <w:szCs w:val="22"/>
        </w:rPr>
        <w:t>. Available at: https://www.cam.ac.uk/research/news/substance-use-disorders-linked-to-poor-health-outcomes-in-wide-range-of-physical-health-conditions#:~:text=It%20is%20already%20known%20that (Accessed: 27 March 2024).</w:t>
      </w:r>
    </w:p>
    <w:p w14:paraId="30F37262"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Walker, P. (2009)</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Police Errors Contributed to Suicide of Tormented Mother Fiona Pilkington</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The Guardian</w:t>
      </w:r>
      <w:r w:rsidRPr="00D15EC0">
        <w:rPr>
          <w:rFonts w:ascii="Arial" w:hAnsi="Arial" w:cs="Arial"/>
          <w:color w:val="000000"/>
          <w:sz w:val="22"/>
          <w:szCs w:val="22"/>
        </w:rPr>
        <w:t>. The Guardian. Available at: https://www.theguardian.com/uk/2009/sep/28/fiona-pilkington-suicide-mother-police (Accessed: 1 April 2024).</w:t>
      </w:r>
    </w:p>
    <w:p w14:paraId="0677D4B9" w14:textId="77777777" w:rsidR="00AA7A45" w:rsidRPr="00D15EC0" w:rsidRDefault="00AA7A45" w:rsidP="00D15EC0">
      <w:pPr>
        <w:pStyle w:val="NormalWeb"/>
        <w:spacing w:before="0" w:beforeAutospacing="0" w:after="240" w:afterAutospacing="0" w:line="360" w:lineRule="auto"/>
        <w:rPr>
          <w:rFonts w:ascii="Arial" w:hAnsi="Arial" w:cs="Arial"/>
          <w:color w:val="000000"/>
          <w:sz w:val="22"/>
          <w:szCs w:val="22"/>
        </w:rPr>
      </w:pPr>
      <w:r w:rsidRPr="00D15EC0">
        <w:rPr>
          <w:rFonts w:ascii="Arial" w:hAnsi="Arial" w:cs="Arial"/>
          <w:color w:val="000000"/>
          <w:sz w:val="22"/>
          <w:szCs w:val="22"/>
        </w:rPr>
        <w:t>World Health Organisation (2023)</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Disability and Health</w:t>
      </w:r>
      <w:r w:rsidRPr="00D15EC0">
        <w:rPr>
          <w:rFonts w:ascii="Arial" w:hAnsi="Arial" w:cs="Arial"/>
          <w:color w:val="000000"/>
          <w:sz w:val="22"/>
          <w:szCs w:val="22"/>
        </w:rPr>
        <w:t>,</w:t>
      </w:r>
      <w:r w:rsidRPr="00D15EC0">
        <w:rPr>
          <w:rStyle w:val="apple-converted-space"/>
          <w:rFonts w:ascii="Arial" w:hAnsi="Arial" w:cs="Arial"/>
          <w:color w:val="000000"/>
          <w:sz w:val="22"/>
          <w:szCs w:val="22"/>
        </w:rPr>
        <w:t> </w:t>
      </w:r>
      <w:r w:rsidRPr="00D15EC0">
        <w:rPr>
          <w:rFonts w:ascii="Arial" w:hAnsi="Arial" w:cs="Arial"/>
          <w:i/>
          <w:iCs/>
          <w:color w:val="000000"/>
          <w:sz w:val="22"/>
          <w:szCs w:val="22"/>
        </w:rPr>
        <w:t>WHO</w:t>
      </w:r>
      <w:r w:rsidRPr="00D15EC0">
        <w:rPr>
          <w:rFonts w:ascii="Arial" w:hAnsi="Arial" w:cs="Arial"/>
          <w:color w:val="000000"/>
          <w:sz w:val="22"/>
          <w:szCs w:val="22"/>
        </w:rPr>
        <w:t>. World Health Organization: WHO. Available at: https://www.who.int/news-room/fact-sheets/detail/disability-and-health (Accessed: 4 April 2024).</w:t>
      </w:r>
    </w:p>
    <w:p w14:paraId="09AFBFB5" w14:textId="77777777" w:rsidR="006E5E0E" w:rsidRPr="00D15EC0" w:rsidRDefault="006E5E0E" w:rsidP="00D15EC0">
      <w:pPr>
        <w:spacing w:line="360" w:lineRule="auto"/>
        <w:rPr>
          <w:rFonts w:ascii="Arial" w:hAnsi="Arial" w:cs="Arial"/>
          <w:sz w:val="22"/>
          <w:szCs w:val="22"/>
        </w:rPr>
      </w:pPr>
    </w:p>
    <w:p w14:paraId="40466B6E" w14:textId="77777777" w:rsidR="006E5E0E" w:rsidRPr="00D15EC0" w:rsidRDefault="006E5E0E" w:rsidP="00D15EC0">
      <w:pPr>
        <w:spacing w:line="360" w:lineRule="auto"/>
        <w:rPr>
          <w:rFonts w:ascii="Arial" w:hAnsi="Arial" w:cs="Arial"/>
          <w:sz w:val="22"/>
          <w:szCs w:val="22"/>
        </w:rPr>
      </w:pPr>
    </w:p>
    <w:p w14:paraId="18BA6E26" w14:textId="77777777" w:rsidR="006E5E0E" w:rsidRPr="00D15EC0" w:rsidRDefault="006E5E0E" w:rsidP="00D15EC0">
      <w:pPr>
        <w:spacing w:line="360" w:lineRule="auto"/>
        <w:rPr>
          <w:rFonts w:ascii="Arial" w:hAnsi="Arial" w:cs="Arial"/>
          <w:sz w:val="22"/>
          <w:szCs w:val="22"/>
        </w:rPr>
      </w:pPr>
    </w:p>
    <w:p w14:paraId="4B496B9B" w14:textId="77777777" w:rsidR="006E5E0E" w:rsidRPr="00D15EC0" w:rsidRDefault="006E5E0E" w:rsidP="00D15EC0">
      <w:pPr>
        <w:spacing w:line="360" w:lineRule="auto"/>
        <w:rPr>
          <w:rFonts w:ascii="Arial" w:hAnsi="Arial" w:cs="Arial"/>
          <w:sz w:val="22"/>
          <w:szCs w:val="22"/>
        </w:rPr>
      </w:pPr>
    </w:p>
    <w:p w14:paraId="75AD62C9" w14:textId="77777777" w:rsidR="006E5E0E" w:rsidRPr="00D15EC0" w:rsidRDefault="006E5E0E" w:rsidP="00D15EC0">
      <w:pPr>
        <w:spacing w:line="360" w:lineRule="auto"/>
        <w:rPr>
          <w:rFonts w:ascii="Arial" w:hAnsi="Arial" w:cs="Arial"/>
          <w:sz w:val="22"/>
          <w:szCs w:val="22"/>
        </w:rPr>
      </w:pPr>
    </w:p>
    <w:p w14:paraId="703DC057" w14:textId="77777777" w:rsidR="00B54B68" w:rsidRPr="00D15EC0" w:rsidRDefault="00B54B68" w:rsidP="00D15EC0">
      <w:pPr>
        <w:spacing w:line="360" w:lineRule="auto"/>
        <w:rPr>
          <w:rFonts w:ascii="Arial" w:hAnsi="Arial" w:cs="Arial"/>
          <w:sz w:val="22"/>
          <w:szCs w:val="22"/>
        </w:rPr>
      </w:pPr>
    </w:p>
    <w:p w14:paraId="3CB3E0BC" w14:textId="77777777" w:rsidR="004436D8" w:rsidRPr="00D15EC0" w:rsidRDefault="004436D8" w:rsidP="00D15EC0">
      <w:pPr>
        <w:spacing w:line="360" w:lineRule="auto"/>
        <w:rPr>
          <w:rFonts w:ascii="Arial" w:hAnsi="Arial" w:cs="Arial"/>
          <w:sz w:val="22"/>
          <w:szCs w:val="22"/>
        </w:rPr>
      </w:pPr>
    </w:p>
    <w:p w14:paraId="2718EBA3" w14:textId="77777777" w:rsidR="004436D8" w:rsidRPr="00D15EC0" w:rsidRDefault="004436D8" w:rsidP="00D15EC0">
      <w:pPr>
        <w:spacing w:line="360" w:lineRule="auto"/>
        <w:rPr>
          <w:rFonts w:ascii="Arial" w:hAnsi="Arial" w:cs="Arial"/>
          <w:sz w:val="22"/>
          <w:szCs w:val="22"/>
        </w:rPr>
      </w:pPr>
    </w:p>
    <w:sectPr w:rsidR="004436D8" w:rsidRPr="00D15EC0" w:rsidSect="00D815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DE621"/>
    <w:multiLevelType w:val="hybridMultilevel"/>
    <w:tmpl w:val="85E4EABC"/>
    <w:lvl w:ilvl="0" w:tplc="B66A9132">
      <w:start w:val="1"/>
      <w:numFmt w:val="bullet"/>
      <w:lvlText w:val=""/>
      <w:lvlJc w:val="left"/>
      <w:pPr>
        <w:ind w:left="720" w:hanging="360"/>
      </w:pPr>
      <w:rPr>
        <w:rFonts w:ascii="Symbol" w:hAnsi="Symbol" w:hint="default"/>
      </w:rPr>
    </w:lvl>
    <w:lvl w:ilvl="1" w:tplc="C706C01E">
      <w:start w:val="1"/>
      <w:numFmt w:val="bullet"/>
      <w:lvlText w:val="o"/>
      <w:lvlJc w:val="left"/>
      <w:pPr>
        <w:ind w:left="1440" w:hanging="360"/>
      </w:pPr>
      <w:rPr>
        <w:rFonts w:ascii="Courier New" w:hAnsi="Courier New" w:hint="default"/>
      </w:rPr>
    </w:lvl>
    <w:lvl w:ilvl="2" w:tplc="BA12DBC8">
      <w:start w:val="1"/>
      <w:numFmt w:val="bullet"/>
      <w:lvlText w:val=""/>
      <w:lvlJc w:val="left"/>
      <w:pPr>
        <w:ind w:left="2160" w:hanging="360"/>
      </w:pPr>
      <w:rPr>
        <w:rFonts w:ascii="Wingdings" w:hAnsi="Wingdings" w:hint="default"/>
      </w:rPr>
    </w:lvl>
    <w:lvl w:ilvl="3" w:tplc="0CA0910C">
      <w:start w:val="1"/>
      <w:numFmt w:val="bullet"/>
      <w:lvlText w:val=""/>
      <w:lvlJc w:val="left"/>
      <w:pPr>
        <w:ind w:left="2880" w:hanging="360"/>
      </w:pPr>
      <w:rPr>
        <w:rFonts w:ascii="Symbol" w:hAnsi="Symbol" w:hint="default"/>
      </w:rPr>
    </w:lvl>
    <w:lvl w:ilvl="4" w:tplc="1F369CFA">
      <w:start w:val="1"/>
      <w:numFmt w:val="bullet"/>
      <w:lvlText w:val="o"/>
      <w:lvlJc w:val="left"/>
      <w:pPr>
        <w:ind w:left="3600" w:hanging="360"/>
      </w:pPr>
      <w:rPr>
        <w:rFonts w:ascii="Courier New" w:hAnsi="Courier New" w:hint="default"/>
      </w:rPr>
    </w:lvl>
    <w:lvl w:ilvl="5" w:tplc="BE92690C">
      <w:start w:val="1"/>
      <w:numFmt w:val="bullet"/>
      <w:lvlText w:val=""/>
      <w:lvlJc w:val="left"/>
      <w:pPr>
        <w:ind w:left="4320" w:hanging="360"/>
      </w:pPr>
      <w:rPr>
        <w:rFonts w:ascii="Wingdings" w:hAnsi="Wingdings" w:hint="default"/>
      </w:rPr>
    </w:lvl>
    <w:lvl w:ilvl="6" w:tplc="8F6CA554">
      <w:start w:val="1"/>
      <w:numFmt w:val="bullet"/>
      <w:lvlText w:val=""/>
      <w:lvlJc w:val="left"/>
      <w:pPr>
        <w:ind w:left="5040" w:hanging="360"/>
      </w:pPr>
      <w:rPr>
        <w:rFonts w:ascii="Symbol" w:hAnsi="Symbol" w:hint="default"/>
      </w:rPr>
    </w:lvl>
    <w:lvl w:ilvl="7" w:tplc="189EA59E">
      <w:start w:val="1"/>
      <w:numFmt w:val="bullet"/>
      <w:lvlText w:val="o"/>
      <w:lvlJc w:val="left"/>
      <w:pPr>
        <w:ind w:left="5760" w:hanging="360"/>
      </w:pPr>
      <w:rPr>
        <w:rFonts w:ascii="Courier New" w:hAnsi="Courier New" w:hint="default"/>
      </w:rPr>
    </w:lvl>
    <w:lvl w:ilvl="8" w:tplc="16FE8D7E">
      <w:start w:val="1"/>
      <w:numFmt w:val="bullet"/>
      <w:lvlText w:val=""/>
      <w:lvlJc w:val="left"/>
      <w:pPr>
        <w:ind w:left="6480" w:hanging="360"/>
      </w:pPr>
      <w:rPr>
        <w:rFonts w:ascii="Wingdings" w:hAnsi="Wingdings" w:hint="default"/>
      </w:rPr>
    </w:lvl>
  </w:abstractNum>
  <w:abstractNum w:abstractNumId="1" w15:restartNumberingAfterBreak="0">
    <w:nsid w:val="65FA6DFB"/>
    <w:multiLevelType w:val="hybridMultilevel"/>
    <w:tmpl w:val="007CCCD2"/>
    <w:lvl w:ilvl="0" w:tplc="44721C9A">
      <w:start w:val="1"/>
      <w:numFmt w:val="bullet"/>
      <w:lvlText w:val=""/>
      <w:lvlJc w:val="left"/>
      <w:pPr>
        <w:ind w:left="720" w:hanging="360"/>
      </w:pPr>
      <w:rPr>
        <w:rFonts w:ascii="Symbol" w:hAnsi="Symbol" w:hint="default"/>
      </w:rPr>
    </w:lvl>
    <w:lvl w:ilvl="1" w:tplc="B2A4BFF2">
      <w:start w:val="1"/>
      <w:numFmt w:val="bullet"/>
      <w:lvlText w:val="o"/>
      <w:lvlJc w:val="left"/>
      <w:pPr>
        <w:ind w:left="1440" w:hanging="360"/>
      </w:pPr>
      <w:rPr>
        <w:rFonts w:ascii="Courier New" w:hAnsi="Courier New" w:hint="default"/>
      </w:rPr>
    </w:lvl>
    <w:lvl w:ilvl="2" w:tplc="1C80AEC8">
      <w:start w:val="1"/>
      <w:numFmt w:val="bullet"/>
      <w:lvlText w:val=""/>
      <w:lvlJc w:val="left"/>
      <w:pPr>
        <w:ind w:left="2160" w:hanging="360"/>
      </w:pPr>
      <w:rPr>
        <w:rFonts w:ascii="Wingdings" w:hAnsi="Wingdings" w:hint="default"/>
      </w:rPr>
    </w:lvl>
    <w:lvl w:ilvl="3" w:tplc="B128F4A4">
      <w:start w:val="1"/>
      <w:numFmt w:val="bullet"/>
      <w:lvlText w:val=""/>
      <w:lvlJc w:val="left"/>
      <w:pPr>
        <w:ind w:left="2880" w:hanging="360"/>
      </w:pPr>
      <w:rPr>
        <w:rFonts w:ascii="Symbol" w:hAnsi="Symbol" w:hint="default"/>
      </w:rPr>
    </w:lvl>
    <w:lvl w:ilvl="4" w:tplc="F544B92C">
      <w:start w:val="1"/>
      <w:numFmt w:val="bullet"/>
      <w:lvlText w:val="o"/>
      <w:lvlJc w:val="left"/>
      <w:pPr>
        <w:ind w:left="3600" w:hanging="360"/>
      </w:pPr>
      <w:rPr>
        <w:rFonts w:ascii="Courier New" w:hAnsi="Courier New" w:hint="default"/>
      </w:rPr>
    </w:lvl>
    <w:lvl w:ilvl="5" w:tplc="5A142D8E">
      <w:start w:val="1"/>
      <w:numFmt w:val="bullet"/>
      <w:lvlText w:val=""/>
      <w:lvlJc w:val="left"/>
      <w:pPr>
        <w:ind w:left="4320" w:hanging="360"/>
      </w:pPr>
      <w:rPr>
        <w:rFonts w:ascii="Wingdings" w:hAnsi="Wingdings" w:hint="default"/>
      </w:rPr>
    </w:lvl>
    <w:lvl w:ilvl="6" w:tplc="293C689A">
      <w:start w:val="1"/>
      <w:numFmt w:val="bullet"/>
      <w:lvlText w:val=""/>
      <w:lvlJc w:val="left"/>
      <w:pPr>
        <w:ind w:left="5040" w:hanging="360"/>
      </w:pPr>
      <w:rPr>
        <w:rFonts w:ascii="Symbol" w:hAnsi="Symbol" w:hint="default"/>
      </w:rPr>
    </w:lvl>
    <w:lvl w:ilvl="7" w:tplc="4800B7D8">
      <w:start w:val="1"/>
      <w:numFmt w:val="bullet"/>
      <w:lvlText w:val="o"/>
      <w:lvlJc w:val="left"/>
      <w:pPr>
        <w:ind w:left="5760" w:hanging="360"/>
      </w:pPr>
      <w:rPr>
        <w:rFonts w:ascii="Courier New" w:hAnsi="Courier New" w:hint="default"/>
      </w:rPr>
    </w:lvl>
    <w:lvl w:ilvl="8" w:tplc="78B2BD1A">
      <w:start w:val="1"/>
      <w:numFmt w:val="bullet"/>
      <w:lvlText w:val=""/>
      <w:lvlJc w:val="left"/>
      <w:pPr>
        <w:ind w:left="6480" w:hanging="360"/>
      </w:pPr>
      <w:rPr>
        <w:rFonts w:ascii="Wingdings" w:hAnsi="Wingdings" w:hint="default"/>
      </w:rPr>
    </w:lvl>
  </w:abstractNum>
  <w:abstractNum w:abstractNumId="2" w15:restartNumberingAfterBreak="0">
    <w:nsid w:val="6AFF6563"/>
    <w:multiLevelType w:val="hybridMultilevel"/>
    <w:tmpl w:val="C6425A72"/>
    <w:lvl w:ilvl="0" w:tplc="49D86488">
      <w:start w:val="1"/>
      <w:numFmt w:val="bullet"/>
      <w:lvlText w:val=""/>
      <w:lvlJc w:val="left"/>
      <w:pPr>
        <w:ind w:left="720" w:hanging="360"/>
      </w:pPr>
      <w:rPr>
        <w:rFonts w:ascii="Symbol" w:hAnsi="Symbol" w:hint="default"/>
      </w:rPr>
    </w:lvl>
    <w:lvl w:ilvl="1" w:tplc="2AFA02DE">
      <w:start w:val="1"/>
      <w:numFmt w:val="bullet"/>
      <w:lvlText w:val="o"/>
      <w:lvlJc w:val="left"/>
      <w:pPr>
        <w:ind w:left="1440" w:hanging="360"/>
      </w:pPr>
      <w:rPr>
        <w:rFonts w:ascii="Courier New" w:hAnsi="Courier New" w:hint="default"/>
      </w:rPr>
    </w:lvl>
    <w:lvl w:ilvl="2" w:tplc="725EDD6C">
      <w:start w:val="1"/>
      <w:numFmt w:val="bullet"/>
      <w:lvlText w:val=""/>
      <w:lvlJc w:val="left"/>
      <w:pPr>
        <w:ind w:left="2160" w:hanging="360"/>
      </w:pPr>
      <w:rPr>
        <w:rFonts w:ascii="Wingdings" w:hAnsi="Wingdings" w:hint="default"/>
      </w:rPr>
    </w:lvl>
    <w:lvl w:ilvl="3" w:tplc="08FADFF4">
      <w:start w:val="1"/>
      <w:numFmt w:val="bullet"/>
      <w:lvlText w:val=""/>
      <w:lvlJc w:val="left"/>
      <w:pPr>
        <w:ind w:left="2880" w:hanging="360"/>
      </w:pPr>
      <w:rPr>
        <w:rFonts w:ascii="Symbol" w:hAnsi="Symbol" w:hint="default"/>
      </w:rPr>
    </w:lvl>
    <w:lvl w:ilvl="4" w:tplc="10E6CE70">
      <w:start w:val="1"/>
      <w:numFmt w:val="bullet"/>
      <w:lvlText w:val="o"/>
      <w:lvlJc w:val="left"/>
      <w:pPr>
        <w:ind w:left="3600" w:hanging="360"/>
      </w:pPr>
      <w:rPr>
        <w:rFonts w:ascii="Courier New" w:hAnsi="Courier New" w:hint="default"/>
      </w:rPr>
    </w:lvl>
    <w:lvl w:ilvl="5" w:tplc="4C248E5A">
      <w:start w:val="1"/>
      <w:numFmt w:val="bullet"/>
      <w:lvlText w:val=""/>
      <w:lvlJc w:val="left"/>
      <w:pPr>
        <w:ind w:left="4320" w:hanging="360"/>
      </w:pPr>
      <w:rPr>
        <w:rFonts w:ascii="Wingdings" w:hAnsi="Wingdings" w:hint="default"/>
      </w:rPr>
    </w:lvl>
    <w:lvl w:ilvl="6" w:tplc="A8684B46">
      <w:start w:val="1"/>
      <w:numFmt w:val="bullet"/>
      <w:lvlText w:val=""/>
      <w:lvlJc w:val="left"/>
      <w:pPr>
        <w:ind w:left="5040" w:hanging="360"/>
      </w:pPr>
      <w:rPr>
        <w:rFonts w:ascii="Symbol" w:hAnsi="Symbol" w:hint="default"/>
      </w:rPr>
    </w:lvl>
    <w:lvl w:ilvl="7" w:tplc="1E5E5606">
      <w:start w:val="1"/>
      <w:numFmt w:val="bullet"/>
      <w:lvlText w:val="o"/>
      <w:lvlJc w:val="left"/>
      <w:pPr>
        <w:ind w:left="5760" w:hanging="360"/>
      </w:pPr>
      <w:rPr>
        <w:rFonts w:ascii="Courier New" w:hAnsi="Courier New" w:hint="default"/>
      </w:rPr>
    </w:lvl>
    <w:lvl w:ilvl="8" w:tplc="76ECB5CC">
      <w:start w:val="1"/>
      <w:numFmt w:val="bullet"/>
      <w:lvlText w:val=""/>
      <w:lvlJc w:val="left"/>
      <w:pPr>
        <w:ind w:left="6480" w:hanging="360"/>
      </w:pPr>
      <w:rPr>
        <w:rFonts w:ascii="Wingdings" w:hAnsi="Wingdings" w:hint="default"/>
      </w:rPr>
    </w:lvl>
  </w:abstractNum>
  <w:abstractNum w:abstractNumId="3" w15:restartNumberingAfterBreak="0">
    <w:nsid w:val="7FCC43B7"/>
    <w:multiLevelType w:val="hybridMultilevel"/>
    <w:tmpl w:val="1C84542C"/>
    <w:lvl w:ilvl="0" w:tplc="B70600E0">
      <w:start w:val="1"/>
      <w:numFmt w:val="bullet"/>
      <w:lvlText w:val=""/>
      <w:lvlJc w:val="left"/>
      <w:pPr>
        <w:ind w:left="720" w:hanging="360"/>
      </w:pPr>
      <w:rPr>
        <w:rFonts w:ascii="Symbol" w:hAnsi="Symbol" w:hint="default"/>
      </w:rPr>
    </w:lvl>
    <w:lvl w:ilvl="1" w:tplc="E47854F0">
      <w:start w:val="1"/>
      <w:numFmt w:val="bullet"/>
      <w:lvlText w:val="o"/>
      <w:lvlJc w:val="left"/>
      <w:pPr>
        <w:ind w:left="1440" w:hanging="360"/>
      </w:pPr>
      <w:rPr>
        <w:rFonts w:ascii="Courier New" w:hAnsi="Courier New" w:hint="default"/>
      </w:rPr>
    </w:lvl>
    <w:lvl w:ilvl="2" w:tplc="D0DC351A">
      <w:start w:val="1"/>
      <w:numFmt w:val="bullet"/>
      <w:lvlText w:val=""/>
      <w:lvlJc w:val="left"/>
      <w:pPr>
        <w:ind w:left="2160" w:hanging="360"/>
      </w:pPr>
      <w:rPr>
        <w:rFonts w:ascii="Wingdings" w:hAnsi="Wingdings" w:hint="default"/>
      </w:rPr>
    </w:lvl>
    <w:lvl w:ilvl="3" w:tplc="7E120408">
      <w:start w:val="1"/>
      <w:numFmt w:val="bullet"/>
      <w:lvlText w:val=""/>
      <w:lvlJc w:val="left"/>
      <w:pPr>
        <w:ind w:left="2880" w:hanging="360"/>
      </w:pPr>
      <w:rPr>
        <w:rFonts w:ascii="Symbol" w:hAnsi="Symbol" w:hint="default"/>
      </w:rPr>
    </w:lvl>
    <w:lvl w:ilvl="4" w:tplc="FF38A432">
      <w:start w:val="1"/>
      <w:numFmt w:val="bullet"/>
      <w:lvlText w:val="o"/>
      <w:lvlJc w:val="left"/>
      <w:pPr>
        <w:ind w:left="3600" w:hanging="360"/>
      </w:pPr>
      <w:rPr>
        <w:rFonts w:ascii="Courier New" w:hAnsi="Courier New" w:hint="default"/>
      </w:rPr>
    </w:lvl>
    <w:lvl w:ilvl="5" w:tplc="8EAE3BA4">
      <w:start w:val="1"/>
      <w:numFmt w:val="bullet"/>
      <w:lvlText w:val=""/>
      <w:lvlJc w:val="left"/>
      <w:pPr>
        <w:ind w:left="4320" w:hanging="360"/>
      </w:pPr>
      <w:rPr>
        <w:rFonts w:ascii="Wingdings" w:hAnsi="Wingdings" w:hint="default"/>
      </w:rPr>
    </w:lvl>
    <w:lvl w:ilvl="6" w:tplc="90220E4A">
      <w:start w:val="1"/>
      <w:numFmt w:val="bullet"/>
      <w:lvlText w:val=""/>
      <w:lvlJc w:val="left"/>
      <w:pPr>
        <w:ind w:left="5040" w:hanging="360"/>
      </w:pPr>
      <w:rPr>
        <w:rFonts w:ascii="Symbol" w:hAnsi="Symbol" w:hint="default"/>
      </w:rPr>
    </w:lvl>
    <w:lvl w:ilvl="7" w:tplc="B3F2F76C">
      <w:start w:val="1"/>
      <w:numFmt w:val="bullet"/>
      <w:lvlText w:val="o"/>
      <w:lvlJc w:val="left"/>
      <w:pPr>
        <w:ind w:left="5760" w:hanging="360"/>
      </w:pPr>
      <w:rPr>
        <w:rFonts w:ascii="Courier New" w:hAnsi="Courier New" w:hint="default"/>
      </w:rPr>
    </w:lvl>
    <w:lvl w:ilvl="8" w:tplc="B6AC746A">
      <w:start w:val="1"/>
      <w:numFmt w:val="bullet"/>
      <w:lvlText w:val=""/>
      <w:lvlJc w:val="left"/>
      <w:pPr>
        <w:ind w:left="6480" w:hanging="360"/>
      </w:pPr>
      <w:rPr>
        <w:rFonts w:ascii="Wingdings" w:hAnsi="Wingdings" w:hint="default"/>
      </w:rPr>
    </w:lvl>
  </w:abstractNum>
  <w:num w:numId="1" w16cid:durableId="578559191">
    <w:abstractNumId w:val="3"/>
  </w:num>
  <w:num w:numId="2" w16cid:durableId="172696075">
    <w:abstractNumId w:val="2"/>
  </w:num>
  <w:num w:numId="3" w16cid:durableId="1024555429">
    <w:abstractNumId w:val="1"/>
  </w:num>
  <w:num w:numId="4" w16cid:durableId="175776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120"/>
    <w:rsid w:val="000110E6"/>
    <w:rsid w:val="00013C04"/>
    <w:rsid w:val="00015D1B"/>
    <w:rsid w:val="000274A1"/>
    <w:rsid w:val="00031754"/>
    <w:rsid w:val="00035813"/>
    <w:rsid w:val="000401D2"/>
    <w:rsid w:val="00040730"/>
    <w:rsid w:val="000438E2"/>
    <w:rsid w:val="000446E3"/>
    <w:rsid w:val="000526C1"/>
    <w:rsid w:val="00055894"/>
    <w:rsid w:val="00057775"/>
    <w:rsid w:val="00060DE6"/>
    <w:rsid w:val="00065671"/>
    <w:rsid w:val="000664A0"/>
    <w:rsid w:val="00066ECE"/>
    <w:rsid w:val="00067A4E"/>
    <w:rsid w:val="000728C6"/>
    <w:rsid w:val="000744A3"/>
    <w:rsid w:val="000751C6"/>
    <w:rsid w:val="00086E03"/>
    <w:rsid w:val="00087417"/>
    <w:rsid w:val="00091981"/>
    <w:rsid w:val="00092031"/>
    <w:rsid w:val="000940D8"/>
    <w:rsid w:val="00095814"/>
    <w:rsid w:val="000A0D97"/>
    <w:rsid w:val="000A2D64"/>
    <w:rsid w:val="000A3CE0"/>
    <w:rsid w:val="000A40DC"/>
    <w:rsid w:val="000A5E69"/>
    <w:rsid w:val="000B4C7F"/>
    <w:rsid w:val="000C07A0"/>
    <w:rsid w:val="000C1191"/>
    <w:rsid w:val="000C1A3F"/>
    <w:rsid w:val="000C4376"/>
    <w:rsid w:val="000D1911"/>
    <w:rsid w:val="000D2A49"/>
    <w:rsid w:val="000D2D89"/>
    <w:rsid w:val="000E139B"/>
    <w:rsid w:val="000E3EBC"/>
    <w:rsid w:val="000F17B4"/>
    <w:rsid w:val="000F2A9B"/>
    <w:rsid w:val="000F543A"/>
    <w:rsid w:val="00111EEC"/>
    <w:rsid w:val="001227A3"/>
    <w:rsid w:val="001307D0"/>
    <w:rsid w:val="00130812"/>
    <w:rsid w:val="001359A7"/>
    <w:rsid w:val="0013618F"/>
    <w:rsid w:val="001378A6"/>
    <w:rsid w:val="0014591F"/>
    <w:rsid w:val="0014707D"/>
    <w:rsid w:val="00147E5D"/>
    <w:rsid w:val="00151BCD"/>
    <w:rsid w:val="00187131"/>
    <w:rsid w:val="001954C2"/>
    <w:rsid w:val="001B32B3"/>
    <w:rsid w:val="001B40D2"/>
    <w:rsid w:val="001B6B51"/>
    <w:rsid w:val="001C096A"/>
    <w:rsid w:val="001C3789"/>
    <w:rsid w:val="001C3F46"/>
    <w:rsid w:val="001D2821"/>
    <w:rsid w:val="001D3B35"/>
    <w:rsid w:val="001E24F3"/>
    <w:rsid w:val="001E38BC"/>
    <w:rsid w:val="001E625D"/>
    <w:rsid w:val="001E6272"/>
    <w:rsid w:val="0020138B"/>
    <w:rsid w:val="00204B6E"/>
    <w:rsid w:val="00210071"/>
    <w:rsid w:val="0021098F"/>
    <w:rsid w:val="0021363F"/>
    <w:rsid w:val="00222AE3"/>
    <w:rsid w:val="00231785"/>
    <w:rsid w:val="0024085D"/>
    <w:rsid w:val="002414EA"/>
    <w:rsid w:val="00245139"/>
    <w:rsid w:val="0024769A"/>
    <w:rsid w:val="00247E84"/>
    <w:rsid w:val="00257890"/>
    <w:rsid w:val="00261557"/>
    <w:rsid w:val="002631CF"/>
    <w:rsid w:val="00263F6B"/>
    <w:rsid w:val="00275F04"/>
    <w:rsid w:val="0028434F"/>
    <w:rsid w:val="002852A1"/>
    <w:rsid w:val="002A3553"/>
    <w:rsid w:val="002A3577"/>
    <w:rsid w:val="002A3581"/>
    <w:rsid w:val="002A52EA"/>
    <w:rsid w:val="002A69DF"/>
    <w:rsid w:val="002B5C26"/>
    <w:rsid w:val="002B6241"/>
    <w:rsid w:val="002C5365"/>
    <w:rsid w:val="002D4024"/>
    <w:rsid w:val="002E0DDA"/>
    <w:rsid w:val="002E1DD6"/>
    <w:rsid w:val="002E4008"/>
    <w:rsid w:val="002F5FE7"/>
    <w:rsid w:val="003024B7"/>
    <w:rsid w:val="003038AE"/>
    <w:rsid w:val="00313EF9"/>
    <w:rsid w:val="00321111"/>
    <w:rsid w:val="00323CA0"/>
    <w:rsid w:val="0033607F"/>
    <w:rsid w:val="00344B30"/>
    <w:rsid w:val="00345553"/>
    <w:rsid w:val="00350F72"/>
    <w:rsid w:val="00352001"/>
    <w:rsid w:val="00352759"/>
    <w:rsid w:val="0037723B"/>
    <w:rsid w:val="0037723F"/>
    <w:rsid w:val="003879B4"/>
    <w:rsid w:val="003911AC"/>
    <w:rsid w:val="00394E4D"/>
    <w:rsid w:val="003969D6"/>
    <w:rsid w:val="003A29DC"/>
    <w:rsid w:val="003A4CEF"/>
    <w:rsid w:val="003B1B37"/>
    <w:rsid w:val="003B298B"/>
    <w:rsid w:val="003C7456"/>
    <w:rsid w:val="003D0C14"/>
    <w:rsid w:val="003D15B4"/>
    <w:rsid w:val="003D2314"/>
    <w:rsid w:val="003D7075"/>
    <w:rsid w:val="003E1B14"/>
    <w:rsid w:val="003E2A88"/>
    <w:rsid w:val="003E5E6F"/>
    <w:rsid w:val="003E7D86"/>
    <w:rsid w:val="003F7B0B"/>
    <w:rsid w:val="00402839"/>
    <w:rsid w:val="00402A1C"/>
    <w:rsid w:val="00402E9C"/>
    <w:rsid w:val="00405E0E"/>
    <w:rsid w:val="00406CA6"/>
    <w:rsid w:val="004119C3"/>
    <w:rsid w:val="0042672A"/>
    <w:rsid w:val="00426BE4"/>
    <w:rsid w:val="00433547"/>
    <w:rsid w:val="00434055"/>
    <w:rsid w:val="004436D8"/>
    <w:rsid w:val="0045420A"/>
    <w:rsid w:val="00454E4A"/>
    <w:rsid w:val="0046654D"/>
    <w:rsid w:val="00474FDF"/>
    <w:rsid w:val="00476640"/>
    <w:rsid w:val="00480739"/>
    <w:rsid w:val="00481429"/>
    <w:rsid w:val="00486099"/>
    <w:rsid w:val="00491A75"/>
    <w:rsid w:val="00492A00"/>
    <w:rsid w:val="00492DDF"/>
    <w:rsid w:val="00497271"/>
    <w:rsid w:val="004B1B33"/>
    <w:rsid w:val="004B3652"/>
    <w:rsid w:val="004C62A7"/>
    <w:rsid w:val="004D0FE4"/>
    <w:rsid w:val="004D239C"/>
    <w:rsid w:val="004D5066"/>
    <w:rsid w:val="004D5DF5"/>
    <w:rsid w:val="004D7FE2"/>
    <w:rsid w:val="004E060D"/>
    <w:rsid w:val="004E380F"/>
    <w:rsid w:val="004E3C6A"/>
    <w:rsid w:val="004E4DD7"/>
    <w:rsid w:val="004E4F37"/>
    <w:rsid w:val="004F0D70"/>
    <w:rsid w:val="004F2035"/>
    <w:rsid w:val="0052033F"/>
    <w:rsid w:val="00530EBA"/>
    <w:rsid w:val="00531722"/>
    <w:rsid w:val="00536F0F"/>
    <w:rsid w:val="00544605"/>
    <w:rsid w:val="00545C4F"/>
    <w:rsid w:val="005547F5"/>
    <w:rsid w:val="00560C69"/>
    <w:rsid w:val="005734D6"/>
    <w:rsid w:val="00574DE2"/>
    <w:rsid w:val="00583130"/>
    <w:rsid w:val="00585A1D"/>
    <w:rsid w:val="005904CD"/>
    <w:rsid w:val="005978A7"/>
    <w:rsid w:val="005A26D9"/>
    <w:rsid w:val="005A700D"/>
    <w:rsid w:val="005B16AC"/>
    <w:rsid w:val="005C1E0C"/>
    <w:rsid w:val="005C544F"/>
    <w:rsid w:val="005D1604"/>
    <w:rsid w:val="005D2A10"/>
    <w:rsid w:val="005F48AF"/>
    <w:rsid w:val="005F79AC"/>
    <w:rsid w:val="00601899"/>
    <w:rsid w:val="0062100F"/>
    <w:rsid w:val="006352A5"/>
    <w:rsid w:val="00642846"/>
    <w:rsid w:val="006547D7"/>
    <w:rsid w:val="00660095"/>
    <w:rsid w:val="00662A9E"/>
    <w:rsid w:val="00667931"/>
    <w:rsid w:val="006700B1"/>
    <w:rsid w:val="006705E7"/>
    <w:rsid w:val="00671817"/>
    <w:rsid w:val="00675F07"/>
    <w:rsid w:val="00676D76"/>
    <w:rsid w:val="00680AA8"/>
    <w:rsid w:val="006853B7"/>
    <w:rsid w:val="00685738"/>
    <w:rsid w:val="006A1F8F"/>
    <w:rsid w:val="006B114E"/>
    <w:rsid w:val="006B4613"/>
    <w:rsid w:val="006B5854"/>
    <w:rsid w:val="006C5BC0"/>
    <w:rsid w:val="006C5C3E"/>
    <w:rsid w:val="006C7BAF"/>
    <w:rsid w:val="006D27BD"/>
    <w:rsid w:val="006D669B"/>
    <w:rsid w:val="006E40C3"/>
    <w:rsid w:val="006E5E0E"/>
    <w:rsid w:val="00711FF9"/>
    <w:rsid w:val="0071368D"/>
    <w:rsid w:val="00716FAB"/>
    <w:rsid w:val="007378C9"/>
    <w:rsid w:val="007413E2"/>
    <w:rsid w:val="00746923"/>
    <w:rsid w:val="007503A4"/>
    <w:rsid w:val="007536BE"/>
    <w:rsid w:val="007543AD"/>
    <w:rsid w:val="00754A73"/>
    <w:rsid w:val="00757763"/>
    <w:rsid w:val="007730B8"/>
    <w:rsid w:val="00783F7F"/>
    <w:rsid w:val="007A09A6"/>
    <w:rsid w:val="007A1C31"/>
    <w:rsid w:val="007A5C01"/>
    <w:rsid w:val="007B4F8F"/>
    <w:rsid w:val="007B60C5"/>
    <w:rsid w:val="007C5B9B"/>
    <w:rsid w:val="007E3CE4"/>
    <w:rsid w:val="007E7571"/>
    <w:rsid w:val="007F4737"/>
    <w:rsid w:val="007F6569"/>
    <w:rsid w:val="00813233"/>
    <w:rsid w:val="00816364"/>
    <w:rsid w:val="00824543"/>
    <w:rsid w:val="00830FE8"/>
    <w:rsid w:val="008411A1"/>
    <w:rsid w:val="0084242B"/>
    <w:rsid w:val="00847937"/>
    <w:rsid w:val="00851E36"/>
    <w:rsid w:val="008522A3"/>
    <w:rsid w:val="00854818"/>
    <w:rsid w:val="00862ADF"/>
    <w:rsid w:val="00865ED7"/>
    <w:rsid w:val="008703E0"/>
    <w:rsid w:val="008806B8"/>
    <w:rsid w:val="0088351D"/>
    <w:rsid w:val="00887735"/>
    <w:rsid w:val="00890151"/>
    <w:rsid w:val="008A4B2C"/>
    <w:rsid w:val="008D2D9F"/>
    <w:rsid w:val="008D6F6C"/>
    <w:rsid w:val="008E359F"/>
    <w:rsid w:val="008E575B"/>
    <w:rsid w:val="008E593C"/>
    <w:rsid w:val="008E6123"/>
    <w:rsid w:val="008E7542"/>
    <w:rsid w:val="008F04DD"/>
    <w:rsid w:val="00901DFD"/>
    <w:rsid w:val="00903564"/>
    <w:rsid w:val="00904E2A"/>
    <w:rsid w:val="00906CAE"/>
    <w:rsid w:val="009137CF"/>
    <w:rsid w:val="00913E8C"/>
    <w:rsid w:val="00915E21"/>
    <w:rsid w:val="00922A32"/>
    <w:rsid w:val="0093111B"/>
    <w:rsid w:val="00931BCF"/>
    <w:rsid w:val="00932189"/>
    <w:rsid w:val="00934B3A"/>
    <w:rsid w:val="00935978"/>
    <w:rsid w:val="009430D2"/>
    <w:rsid w:val="00944183"/>
    <w:rsid w:val="00944352"/>
    <w:rsid w:val="009526F7"/>
    <w:rsid w:val="00956297"/>
    <w:rsid w:val="00956331"/>
    <w:rsid w:val="00961CCF"/>
    <w:rsid w:val="00963C40"/>
    <w:rsid w:val="009841DE"/>
    <w:rsid w:val="00986631"/>
    <w:rsid w:val="00987582"/>
    <w:rsid w:val="00990C8D"/>
    <w:rsid w:val="009A7D01"/>
    <w:rsid w:val="009B5CAC"/>
    <w:rsid w:val="009C2F35"/>
    <w:rsid w:val="009C331D"/>
    <w:rsid w:val="009C5E44"/>
    <w:rsid w:val="009C7C37"/>
    <w:rsid w:val="009D1725"/>
    <w:rsid w:val="009D1E7D"/>
    <w:rsid w:val="009D22BA"/>
    <w:rsid w:val="009D553C"/>
    <w:rsid w:val="009F366F"/>
    <w:rsid w:val="009F4951"/>
    <w:rsid w:val="00A037EC"/>
    <w:rsid w:val="00A05B3C"/>
    <w:rsid w:val="00A07735"/>
    <w:rsid w:val="00A135B1"/>
    <w:rsid w:val="00A23767"/>
    <w:rsid w:val="00A27EF6"/>
    <w:rsid w:val="00A34826"/>
    <w:rsid w:val="00A40836"/>
    <w:rsid w:val="00A436D5"/>
    <w:rsid w:val="00A45DC3"/>
    <w:rsid w:val="00A52F45"/>
    <w:rsid w:val="00A53CCD"/>
    <w:rsid w:val="00A54D38"/>
    <w:rsid w:val="00A60C0E"/>
    <w:rsid w:val="00A655AD"/>
    <w:rsid w:val="00A662F9"/>
    <w:rsid w:val="00A72C0A"/>
    <w:rsid w:val="00A85613"/>
    <w:rsid w:val="00A913B8"/>
    <w:rsid w:val="00A954BB"/>
    <w:rsid w:val="00AA1FF1"/>
    <w:rsid w:val="00AA7A45"/>
    <w:rsid w:val="00AB150D"/>
    <w:rsid w:val="00AB42B1"/>
    <w:rsid w:val="00AC03DE"/>
    <w:rsid w:val="00AC1E4B"/>
    <w:rsid w:val="00AC6B25"/>
    <w:rsid w:val="00AD16A9"/>
    <w:rsid w:val="00AD331C"/>
    <w:rsid w:val="00AE3C28"/>
    <w:rsid w:val="00AE5A5A"/>
    <w:rsid w:val="00AE5CFC"/>
    <w:rsid w:val="00AF23E7"/>
    <w:rsid w:val="00AF313B"/>
    <w:rsid w:val="00AF5151"/>
    <w:rsid w:val="00B00D48"/>
    <w:rsid w:val="00B044F1"/>
    <w:rsid w:val="00B05931"/>
    <w:rsid w:val="00B1094E"/>
    <w:rsid w:val="00B12301"/>
    <w:rsid w:val="00B15A4C"/>
    <w:rsid w:val="00B37F6F"/>
    <w:rsid w:val="00B4039B"/>
    <w:rsid w:val="00B41D52"/>
    <w:rsid w:val="00B43E22"/>
    <w:rsid w:val="00B45435"/>
    <w:rsid w:val="00B454D2"/>
    <w:rsid w:val="00B54B68"/>
    <w:rsid w:val="00B55BD1"/>
    <w:rsid w:val="00B620B9"/>
    <w:rsid w:val="00B6725E"/>
    <w:rsid w:val="00B80FA4"/>
    <w:rsid w:val="00B859D8"/>
    <w:rsid w:val="00B87EE8"/>
    <w:rsid w:val="00B9629B"/>
    <w:rsid w:val="00B97274"/>
    <w:rsid w:val="00BA0DBB"/>
    <w:rsid w:val="00BA23AF"/>
    <w:rsid w:val="00BB0995"/>
    <w:rsid w:val="00BB09CA"/>
    <w:rsid w:val="00BB3008"/>
    <w:rsid w:val="00BB5B78"/>
    <w:rsid w:val="00BC4474"/>
    <w:rsid w:val="00BC62F1"/>
    <w:rsid w:val="00BC6B9B"/>
    <w:rsid w:val="00BD5D13"/>
    <w:rsid w:val="00BE0936"/>
    <w:rsid w:val="00BE2ED6"/>
    <w:rsid w:val="00C003B1"/>
    <w:rsid w:val="00C03BCA"/>
    <w:rsid w:val="00C15F1F"/>
    <w:rsid w:val="00C175CD"/>
    <w:rsid w:val="00C33410"/>
    <w:rsid w:val="00C414FE"/>
    <w:rsid w:val="00C45354"/>
    <w:rsid w:val="00C4697F"/>
    <w:rsid w:val="00C47F19"/>
    <w:rsid w:val="00C530B4"/>
    <w:rsid w:val="00C607D7"/>
    <w:rsid w:val="00C64ACE"/>
    <w:rsid w:val="00C64CA6"/>
    <w:rsid w:val="00C66D47"/>
    <w:rsid w:val="00C75B2E"/>
    <w:rsid w:val="00C75DAB"/>
    <w:rsid w:val="00C83582"/>
    <w:rsid w:val="00C872BE"/>
    <w:rsid w:val="00C9258A"/>
    <w:rsid w:val="00C92FC5"/>
    <w:rsid w:val="00CA5AC9"/>
    <w:rsid w:val="00CA676D"/>
    <w:rsid w:val="00CB207E"/>
    <w:rsid w:val="00CB429D"/>
    <w:rsid w:val="00CB7186"/>
    <w:rsid w:val="00CC019B"/>
    <w:rsid w:val="00CC04B4"/>
    <w:rsid w:val="00CC164A"/>
    <w:rsid w:val="00CD2A6B"/>
    <w:rsid w:val="00CD71EE"/>
    <w:rsid w:val="00CE0C77"/>
    <w:rsid w:val="00CE11E4"/>
    <w:rsid w:val="00CE6392"/>
    <w:rsid w:val="00CE7A7B"/>
    <w:rsid w:val="00CF57F2"/>
    <w:rsid w:val="00D010A0"/>
    <w:rsid w:val="00D12ACD"/>
    <w:rsid w:val="00D13155"/>
    <w:rsid w:val="00D14765"/>
    <w:rsid w:val="00D15EC0"/>
    <w:rsid w:val="00D16CC4"/>
    <w:rsid w:val="00D211D5"/>
    <w:rsid w:val="00D306EE"/>
    <w:rsid w:val="00D36B94"/>
    <w:rsid w:val="00D41D41"/>
    <w:rsid w:val="00D443D5"/>
    <w:rsid w:val="00D45A80"/>
    <w:rsid w:val="00D45DA3"/>
    <w:rsid w:val="00D53766"/>
    <w:rsid w:val="00D71B3C"/>
    <w:rsid w:val="00D73E37"/>
    <w:rsid w:val="00D8150C"/>
    <w:rsid w:val="00D84120"/>
    <w:rsid w:val="00D84B17"/>
    <w:rsid w:val="00D92185"/>
    <w:rsid w:val="00D94BE6"/>
    <w:rsid w:val="00DA4D95"/>
    <w:rsid w:val="00DB1DC0"/>
    <w:rsid w:val="00DB7B3C"/>
    <w:rsid w:val="00DB7E53"/>
    <w:rsid w:val="00DC306B"/>
    <w:rsid w:val="00DC546C"/>
    <w:rsid w:val="00DD156A"/>
    <w:rsid w:val="00DD4B96"/>
    <w:rsid w:val="00DE05EA"/>
    <w:rsid w:val="00DE12A2"/>
    <w:rsid w:val="00DE1F9C"/>
    <w:rsid w:val="00DF1144"/>
    <w:rsid w:val="00DF28D8"/>
    <w:rsid w:val="00DF2A7B"/>
    <w:rsid w:val="00E03E68"/>
    <w:rsid w:val="00E12F63"/>
    <w:rsid w:val="00E13BCE"/>
    <w:rsid w:val="00E20958"/>
    <w:rsid w:val="00E2285B"/>
    <w:rsid w:val="00E253A4"/>
    <w:rsid w:val="00E27442"/>
    <w:rsid w:val="00E34592"/>
    <w:rsid w:val="00E35A89"/>
    <w:rsid w:val="00E36D59"/>
    <w:rsid w:val="00E37A35"/>
    <w:rsid w:val="00E40B4F"/>
    <w:rsid w:val="00E5060B"/>
    <w:rsid w:val="00E51152"/>
    <w:rsid w:val="00E55FC0"/>
    <w:rsid w:val="00E62295"/>
    <w:rsid w:val="00E626C3"/>
    <w:rsid w:val="00E66BB0"/>
    <w:rsid w:val="00E67F1C"/>
    <w:rsid w:val="00E7016D"/>
    <w:rsid w:val="00E71124"/>
    <w:rsid w:val="00E71E23"/>
    <w:rsid w:val="00E76340"/>
    <w:rsid w:val="00E824C5"/>
    <w:rsid w:val="00E83616"/>
    <w:rsid w:val="00E8536A"/>
    <w:rsid w:val="00E87A0A"/>
    <w:rsid w:val="00E93447"/>
    <w:rsid w:val="00E946CE"/>
    <w:rsid w:val="00E970D9"/>
    <w:rsid w:val="00EA2E7D"/>
    <w:rsid w:val="00EA5015"/>
    <w:rsid w:val="00EB10E2"/>
    <w:rsid w:val="00EB1C39"/>
    <w:rsid w:val="00EB1E4A"/>
    <w:rsid w:val="00EC350F"/>
    <w:rsid w:val="00EC493F"/>
    <w:rsid w:val="00EC5905"/>
    <w:rsid w:val="00F1274E"/>
    <w:rsid w:val="00F134E8"/>
    <w:rsid w:val="00F166FD"/>
    <w:rsid w:val="00F21CD5"/>
    <w:rsid w:val="00F25CF6"/>
    <w:rsid w:val="00F26DC1"/>
    <w:rsid w:val="00F30A62"/>
    <w:rsid w:val="00F36354"/>
    <w:rsid w:val="00F446DF"/>
    <w:rsid w:val="00F45973"/>
    <w:rsid w:val="00F4652F"/>
    <w:rsid w:val="00F506FF"/>
    <w:rsid w:val="00F578EE"/>
    <w:rsid w:val="00F61F9E"/>
    <w:rsid w:val="00F627AC"/>
    <w:rsid w:val="00F64113"/>
    <w:rsid w:val="00F64E4E"/>
    <w:rsid w:val="00F716FA"/>
    <w:rsid w:val="00F7493D"/>
    <w:rsid w:val="00F85993"/>
    <w:rsid w:val="00F900AB"/>
    <w:rsid w:val="00F93B47"/>
    <w:rsid w:val="00FA1D81"/>
    <w:rsid w:val="00FA6936"/>
    <w:rsid w:val="00FB60EE"/>
    <w:rsid w:val="00FB7863"/>
    <w:rsid w:val="00FC709C"/>
    <w:rsid w:val="00FD07A7"/>
    <w:rsid w:val="00FD2EE4"/>
    <w:rsid w:val="00FD32A2"/>
    <w:rsid w:val="00FE21E6"/>
    <w:rsid w:val="00FE76D6"/>
    <w:rsid w:val="00FF0941"/>
    <w:rsid w:val="00FF4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671B2"/>
  <w15:chartTrackingRefBased/>
  <w15:docId w15:val="{069481BC-836B-094C-8930-A1032FB7E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5F0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150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8150C"/>
    <w:rPr>
      <w:rFonts w:eastAsiaTheme="minorEastAsia"/>
      <w:kern w:val="0"/>
      <w:sz w:val="22"/>
      <w:szCs w:val="22"/>
      <w:lang w:val="en-US" w:eastAsia="zh-CN"/>
      <w14:ligatures w14:val="none"/>
    </w:rPr>
  </w:style>
  <w:style w:type="paragraph" w:styleId="ListParagraph">
    <w:name w:val="List Paragraph"/>
    <w:basedOn w:val="Normal"/>
    <w:uiPriority w:val="34"/>
    <w:qFormat/>
    <w:rsid w:val="00D8150C"/>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normaltextrun">
    <w:name w:val="normaltextrun"/>
    <w:basedOn w:val="DefaultParagraphFont"/>
    <w:rsid w:val="00D8150C"/>
  </w:style>
  <w:style w:type="character" w:customStyle="1" w:styleId="eop">
    <w:name w:val="eop"/>
    <w:basedOn w:val="DefaultParagraphFont"/>
    <w:rsid w:val="00D8150C"/>
  </w:style>
  <w:style w:type="paragraph" w:customStyle="1" w:styleId="paragraph">
    <w:name w:val="paragraph"/>
    <w:basedOn w:val="Normal"/>
    <w:rsid w:val="00D8150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BodyText1">
    <w:name w:val="Body Text1"/>
    <w:basedOn w:val="Normal"/>
    <w:rsid w:val="009A7D01"/>
    <w:pPr>
      <w:tabs>
        <w:tab w:val="left" w:pos="720"/>
        <w:tab w:val="left" w:pos="1440"/>
      </w:tabs>
    </w:pPr>
    <w:rPr>
      <w:rFonts w:ascii="CG Times (WN)" w:eastAsia="Times New Roman" w:hAnsi="CG Times (WN)" w:cs="Times New Roman"/>
      <w:kern w:val="0"/>
      <w:szCs w:val="20"/>
      <w14:ligatures w14:val="none"/>
    </w:rPr>
  </w:style>
  <w:style w:type="character" w:customStyle="1" w:styleId="apple-converted-space">
    <w:name w:val="apple-converted-space"/>
    <w:basedOn w:val="DefaultParagraphFont"/>
    <w:rsid w:val="00931BCF"/>
  </w:style>
  <w:style w:type="character" w:customStyle="1" w:styleId="Heading1Char">
    <w:name w:val="Heading 1 Char"/>
    <w:basedOn w:val="DefaultParagraphFont"/>
    <w:link w:val="Heading1"/>
    <w:uiPriority w:val="9"/>
    <w:rsid w:val="00675F07"/>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675F07"/>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659263">
      <w:bodyDiv w:val="1"/>
      <w:marLeft w:val="0"/>
      <w:marRight w:val="0"/>
      <w:marTop w:val="0"/>
      <w:marBottom w:val="0"/>
      <w:divBdr>
        <w:top w:val="none" w:sz="0" w:space="0" w:color="auto"/>
        <w:left w:val="none" w:sz="0" w:space="0" w:color="auto"/>
        <w:bottom w:val="none" w:sz="0" w:space="0" w:color="auto"/>
        <w:right w:val="none" w:sz="0" w:space="0" w:color="auto"/>
      </w:divBdr>
      <w:divsChild>
        <w:div w:id="397242084">
          <w:marLeft w:val="0"/>
          <w:marRight w:val="0"/>
          <w:marTop w:val="0"/>
          <w:marBottom w:val="0"/>
          <w:divBdr>
            <w:top w:val="none" w:sz="0" w:space="0" w:color="auto"/>
            <w:left w:val="none" w:sz="0" w:space="0" w:color="auto"/>
            <w:bottom w:val="none" w:sz="0" w:space="0" w:color="auto"/>
            <w:right w:val="none" w:sz="0" w:space="0" w:color="auto"/>
          </w:divBdr>
        </w:div>
      </w:divsChild>
    </w:div>
    <w:div w:id="1280574077">
      <w:bodyDiv w:val="1"/>
      <w:marLeft w:val="0"/>
      <w:marRight w:val="0"/>
      <w:marTop w:val="0"/>
      <w:marBottom w:val="0"/>
      <w:divBdr>
        <w:top w:val="none" w:sz="0" w:space="0" w:color="auto"/>
        <w:left w:val="none" w:sz="0" w:space="0" w:color="auto"/>
        <w:bottom w:val="none" w:sz="0" w:space="0" w:color="auto"/>
        <w:right w:val="none" w:sz="0" w:space="0" w:color="auto"/>
      </w:divBdr>
    </w:div>
    <w:div w:id="1317878931">
      <w:bodyDiv w:val="1"/>
      <w:marLeft w:val="0"/>
      <w:marRight w:val="0"/>
      <w:marTop w:val="0"/>
      <w:marBottom w:val="0"/>
      <w:divBdr>
        <w:top w:val="none" w:sz="0" w:space="0" w:color="auto"/>
        <w:left w:val="none" w:sz="0" w:space="0" w:color="auto"/>
        <w:bottom w:val="none" w:sz="0" w:space="0" w:color="auto"/>
        <w:right w:val="none" w:sz="0" w:space="0" w:color="auto"/>
      </w:divBdr>
      <w:divsChild>
        <w:div w:id="249701077">
          <w:marLeft w:val="-720"/>
          <w:marRight w:val="0"/>
          <w:marTop w:val="0"/>
          <w:marBottom w:val="0"/>
          <w:divBdr>
            <w:top w:val="none" w:sz="0" w:space="0" w:color="auto"/>
            <w:left w:val="none" w:sz="0" w:space="0" w:color="auto"/>
            <w:bottom w:val="none" w:sz="0" w:space="0" w:color="auto"/>
            <w:right w:val="none" w:sz="0" w:space="0" w:color="auto"/>
          </w:divBdr>
        </w:div>
      </w:divsChild>
    </w:div>
    <w:div w:id="1318802200">
      <w:bodyDiv w:val="1"/>
      <w:marLeft w:val="0"/>
      <w:marRight w:val="0"/>
      <w:marTop w:val="0"/>
      <w:marBottom w:val="0"/>
      <w:divBdr>
        <w:top w:val="none" w:sz="0" w:space="0" w:color="auto"/>
        <w:left w:val="none" w:sz="0" w:space="0" w:color="auto"/>
        <w:bottom w:val="none" w:sz="0" w:space="0" w:color="auto"/>
        <w:right w:val="none" w:sz="0" w:space="0" w:color="auto"/>
      </w:divBdr>
    </w:div>
    <w:div w:id="1514302729">
      <w:bodyDiv w:val="1"/>
      <w:marLeft w:val="0"/>
      <w:marRight w:val="0"/>
      <w:marTop w:val="0"/>
      <w:marBottom w:val="0"/>
      <w:divBdr>
        <w:top w:val="none" w:sz="0" w:space="0" w:color="auto"/>
        <w:left w:val="none" w:sz="0" w:space="0" w:color="auto"/>
        <w:bottom w:val="none" w:sz="0" w:space="0" w:color="auto"/>
        <w:right w:val="none" w:sz="0" w:space="0" w:color="auto"/>
      </w:divBdr>
    </w:div>
    <w:div w:id="1540776872">
      <w:bodyDiv w:val="1"/>
      <w:marLeft w:val="0"/>
      <w:marRight w:val="0"/>
      <w:marTop w:val="0"/>
      <w:marBottom w:val="0"/>
      <w:divBdr>
        <w:top w:val="none" w:sz="0" w:space="0" w:color="auto"/>
        <w:left w:val="none" w:sz="0" w:space="0" w:color="auto"/>
        <w:bottom w:val="none" w:sz="0" w:space="0" w:color="auto"/>
        <w:right w:val="none" w:sz="0" w:space="0" w:color="auto"/>
      </w:divBdr>
    </w:div>
    <w:div w:id="2075468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1</Pages>
  <Words>3970</Words>
  <Characters>22631</Characters>
  <Application>Microsoft Office Word</Application>
  <DocSecurity>0</DocSecurity>
  <Lines>188</Lines>
  <Paragraphs>53</Paragraphs>
  <ScaleCrop>false</ScaleCrop>
  <Company/>
  <LinksUpToDate>false</LinksUpToDate>
  <CharactersWithSpaces>26548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dc:title>
  <dc:subject/>
  <dc:creator>Daniel Hurford (2103530)</dc:creator>
  <cp:keywords/>
  <dc:description/>
  <cp:lastModifiedBy>Daniel Hurford</cp:lastModifiedBy>
  <cp:revision>248</cp:revision>
  <dcterms:created xsi:type="dcterms:W3CDTF">2024-04-14T13:49:00Z</dcterms:created>
  <dcterms:modified xsi:type="dcterms:W3CDTF">2024-04-25T14:20:00Z</dcterms:modified>
</cp:coreProperties>
</file>