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F7F61" w14:textId="506CC603" w:rsidR="000503B8" w:rsidRDefault="00E262F3" w:rsidP="00E262F3">
      <w:pPr>
        <w:spacing w:after="0" w:line="240" w:lineRule="auto"/>
        <w:jc w:val="center"/>
        <w:rPr>
          <w:rFonts w:ascii="Arial" w:eastAsia="Times New Roman" w:hAnsi="Arial" w:cs="Arial"/>
          <w:b/>
          <w:bCs/>
          <w:kern w:val="0"/>
          <w:sz w:val="36"/>
          <w:szCs w:val="36"/>
          <w:lang w:eastAsia="en-GB"/>
          <w14:ligatures w14:val="none"/>
        </w:rPr>
      </w:pPr>
      <w:r w:rsidRPr="00E262F3">
        <w:rPr>
          <w:rFonts w:ascii="Arial" w:eastAsia="Times New Roman" w:hAnsi="Arial" w:cs="Arial"/>
          <w:b/>
          <w:bCs/>
          <w:kern w:val="0"/>
          <w:sz w:val="36"/>
          <w:szCs w:val="36"/>
          <w:lang w:eastAsia="en-GB"/>
          <w14:ligatures w14:val="none"/>
        </w:rPr>
        <w:t>Reflection Paper</w:t>
      </w:r>
    </w:p>
    <w:p w14:paraId="23CB24FB" w14:textId="77777777" w:rsidR="00895813" w:rsidRDefault="00895813" w:rsidP="00E262F3">
      <w:pPr>
        <w:spacing w:after="0" w:line="240" w:lineRule="auto"/>
        <w:jc w:val="center"/>
        <w:rPr>
          <w:rFonts w:ascii="Arial" w:eastAsia="Times New Roman" w:hAnsi="Arial" w:cs="Arial"/>
          <w:b/>
          <w:bCs/>
          <w:kern w:val="0"/>
          <w:sz w:val="36"/>
          <w:szCs w:val="36"/>
          <w:lang w:eastAsia="en-GB"/>
          <w14:ligatures w14:val="none"/>
        </w:rPr>
      </w:pPr>
    </w:p>
    <w:p w14:paraId="64FE91F4" w14:textId="724D5132" w:rsidR="00895813" w:rsidRPr="00910A45" w:rsidRDefault="00895813" w:rsidP="00E262F3">
      <w:pPr>
        <w:spacing w:after="0" w:line="240" w:lineRule="auto"/>
        <w:jc w:val="center"/>
        <w:rPr>
          <w:rFonts w:ascii="Arial" w:eastAsia="Times New Roman" w:hAnsi="Arial" w:cs="Arial"/>
          <w:kern w:val="0"/>
          <w:lang w:eastAsia="en-GB"/>
          <w14:ligatures w14:val="none"/>
        </w:rPr>
      </w:pPr>
      <w:r w:rsidRPr="00910A45">
        <w:rPr>
          <w:rFonts w:ascii="Arial" w:eastAsia="Times New Roman" w:hAnsi="Arial" w:cs="Arial"/>
          <w:kern w:val="0"/>
          <w:lang w:eastAsia="en-GB"/>
          <w14:ligatures w14:val="none"/>
        </w:rPr>
        <w:t>Table of cont</w:t>
      </w:r>
      <w:r w:rsidR="00D412B1" w:rsidRPr="00910A45">
        <w:rPr>
          <w:rFonts w:ascii="Arial" w:eastAsia="Times New Roman" w:hAnsi="Arial" w:cs="Arial"/>
          <w:kern w:val="0"/>
          <w:lang w:eastAsia="en-GB"/>
          <w14:ligatures w14:val="none"/>
        </w:rPr>
        <w:t>ents- Page 1</w:t>
      </w:r>
    </w:p>
    <w:p w14:paraId="051B42DA" w14:textId="77777777" w:rsidR="00364B7F" w:rsidRPr="00910A45" w:rsidRDefault="00364B7F" w:rsidP="00E262F3">
      <w:pPr>
        <w:spacing w:after="0" w:line="240" w:lineRule="auto"/>
        <w:jc w:val="center"/>
        <w:rPr>
          <w:rFonts w:ascii="Arial" w:eastAsia="Times New Roman" w:hAnsi="Arial" w:cs="Arial"/>
          <w:kern w:val="0"/>
          <w:lang w:eastAsia="en-GB"/>
          <w14:ligatures w14:val="none"/>
        </w:rPr>
      </w:pPr>
    </w:p>
    <w:p w14:paraId="3AF0F2DE" w14:textId="6400932E" w:rsidR="00D412B1" w:rsidRPr="00910A45" w:rsidRDefault="00500AD6" w:rsidP="00E262F3">
      <w:pPr>
        <w:spacing w:after="0" w:line="240" w:lineRule="auto"/>
        <w:jc w:val="center"/>
        <w:rPr>
          <w:rFonts w:ascii="Arial" w:eastAsia="Times New Roman" w:hAnsi="Arial" w:cs="Arial"/>
          <w:kern w:val="0"/>
          <w:lang w:eastAsia="en-GB"/>
          <w14:ligatures w14:val="none"/>
        </w:rPr>
      </w:pPr>
      <w:r w:rsidRPr="00910A45">
        <w:rPr>
          <w:rFonts w:ascii="Arial" w:eastAsia="Times New Roman" w:hAnsi="Arial" w:cs="Arial"/>
          <w:kern w:val="0"/>
          <w:lang w:eastAsia="en-GB"/>
          <w14:ligatures w14:val="none"/>
        </w:rPr>
        <w:t>Part 2- Page 2</w:t>
      </w:r>
    </w:p>
    <w:p w14:paraId="1754A90C" w14:textId="77777777" w:rsidR="00364B7F" w:rsidRPr="00910A45" w:rsidRDefault="00364B7F" w:rsidP="00E262F3">
      <w:pPr>
        <w:spacing w:after="0" w:line="240" w:lineRule="auto"/>
        <w:jc w:val="center"/>
        <w:rPr>
          <w:rFonts w:ascii="Arial" w:eastAsia="Times New Roman" w:hAnsi="Arial" w:cs="Arial"/>
          <w:kern w:val="0"/>
          <w:lang w:eastAsia="en-GB"/>
          <w14:ligatures w14:val="none"/>
        </w:rPr>
      </w:pPr>
    </w:p>
    <w:p w14:paraId="11691571" w14:textId="3344BA1F" w:rsidR="00500AD6" w:rsidRPr="00910A45" w:rsidRDefault="004342B6" w:rsidP="00E262F3">
      <w:pPr>
        <w:spacing w:after="0" w:line="240" w:lineRule="auto"/>
        <w:jc w:val="center"/>
        <w:rPr>
          <w:rFonts w:ascii="Arial" w:eastAsia="Times New Roman" w:hAnsi="Arial" w:cs="Arial"/>
          <w:kern w:val="0"/>
          <w:lang w:eastAsia="en-GB"/>
          <w14:ligatures w14:val="none"/>
        </w:rPr>
      </w:pPr>
      <w:r w:rsidRPr="00910A45">
        <w:rPr>
          <w:rFonts w:ascii="Arial" w:eastAsia="Times New Roman" w:hAnsi="Arial" w:cs="Arial"/>
          <w:kern w:val="0"/>
          <w:lang w:eastAsia="en-GB"/>
          <w14:ligatures w14:val="none"/>
        </w:rPr>
        <w:t xml:space="preserve">References- Page </w:t>
      </w:r>
      <w:r w:rsidR="008D257A">
        <w:rPr>
          <w:rFonts w:ascii="Arial" w:eastAsia="Times New Roman" w:hAnsi="Arial" w:cs="Arial"/>
          <w:kern w:val="0"/>
          <w:lang w:eastAsia="en-GB"/>
          <w14:ligatures w14:val="none"/>
        </w:rPr>
        <w:t>7</w:t>
      </w:r>
    </w:p>
    <w:p w14:paraId="7FFEA91C" w14:textId="77777777" w:rsidR="00364B7F" w:rsidRPr="00910A45" w:rsidRDefault="00364B7F" w:rsidP="00E262F3">
      <w:pPr>
        <w:spacing w:after="0" w:line="240" w:lineRule="auto"/>
        <w:jc w:val="center"/>
        <w:rPr>
          <w:rFonts w:ascii="Arial" w:eastAsia="Times New Roman" w:hAnsi="Arial" w:cs="Arial"/>
          <w:kern w:val="0"/>
          <w:lang w:eastAsia="en-GB"/>
          <w14:ligatures w14:val="none"/>
        </w:rPr>
      </w:pPr>
    </w:p>
    <w:p w14:paraId="7976CE6A" w14:textId="048DD413" w:rsidR="004342B6" w:rsidRDefault="004342B6" w:rsidP="00E262F3">
      <w:pPr>
        <w:spacing w:after="0" w:line="240" w:lineRule="auto"/>
        <w:jc w:val="center"/>
        <w:rPr>
          <w:rFonts w:ascii="Arial" w:eastAsia="Times New Roman" w:hAnsi="Arial" w:cs="Arial"/>
          <w:kern w:val="0"/>
          <w:lang w:eastAsia="en-GB"/>
          <w14:ligatures w14:val="none"/>
        </w:rPr>
      </w:pPr>
      <w:r w:rsidRPr="00910A45">
        <w:rPr>
          <w:rFonts w:ascii="Arial" w:eastAsia="Times New Roman" w:hAnsi="Arial" w:cs="Arial"/>
          <w:kern w:val="0"/>
          <w:lang w:eastAsia="en-GB"/>
          <w14:ligatures w14:val="none"/>
        </w:rPr>
        <w:t>Word count</w:t>
      </w:r>
      <w:r w:rsidR="00190BA8">
        <w:rPr>
          <w:rFonts w:ascii="Arial" w:eastAsia="Times New Roman" w:hAnsi="Arial" w:cs="Arial"/>
          <w:kern w:val="0"/>
          <w:lang w:eastAsia="en-GB"/>
          <w14:ligatures w14:val="none"/>
        </w:rPr>
        <w:t>- 1880</w:t>
      </w:r>
    </w:p>
    <w:p w14:paraId="4AB25FCE" w14:textId="07239E97" w:rsidR="00997F05" w:rsidRDefault="00693D4A" w:rsidP="00E262F3">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44EB6485" w14:textId="77777777" w:rsidR="00910A45" w:rsidRPr="00910A45" w:rsidRDefault="00910A45" w:rsidP="00E262F3">
      <w:pPr>
        <w:spacing w:after="0" w:line="240" w:lineRule="auto"/>
        <w:jc w:val="center"/>
        <w:rPr>
          <w:rFonts w:ascii="Arial" w:eastAsia="Times New Roman" w:hAnsi="Arial" w:cs="Arial"/>
          <w:kern w:val="0"/>
          <w:lang w:eastAsia="en-GB"/>
          <w14:ligatures w14:val="none"/>
        </w:rPr>
      </w:pPr>
    </w:p>
    <w:p w14:paraId="5423CE32"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2A1AD25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720EF502"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4BDB35F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6EF939E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4CB0286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5E288A53"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92D7B93"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2B99522A"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5E46FF1D"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3079A205"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2C90B518"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3DF675C1"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FF24DA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B5E2057"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12B38123"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F44F5E1"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12C789E7"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46DA1599"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1281BE82"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4F6653D9"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5FD4B9E"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70F441C" w14:textId="77777777" w:rsidR="00364B7F" w:rsidRDefault="00364B7F" w:rsidP="00364B7F">
      <w:pPr>
        <w:spacing w:after="0" w:line="240" w:lineRule="auto"/>
        <w:rPr>
          <w:rFonts w:ascii="Arial" w:eastAsia="Times New Roman" w:hAnsi="Arial" w:cs="Arial"/>
          <w:b/>
          <w:bCs/>
          <w:kern w:val="0"/>
          <w:sz w:val="36"/>
          <w:szCs w:val="36"/>
          <w:lang w:eastAsia="en-GB"/>
          <w14:ligatures w14:val="none"/>
        </w:rPr>
      </w:pPr>
    </w:p>
    <w:p w14:paraId="00A20E05" w14:textId="77777777" w:rsidR="00364B7F" w:rsidRPr="000503B8" w:rsidRDefault="00364B7F" w:rsidP="00364B7F">
      <w:pPr>
        <w:spacing w:after="0" w:line="240" w:lineRule="auto"/>
        <w:rPr>
          <w:rFonts w:ascii="Arial" w:eastAsia="Times New Roman" w:hAnsi="Arial" w:cs="Arial"/>
          <w:b/>
          <w:bCs/>
          <w:kern w:val="0"/>
          <w:sz w:val="36"/>
          <w:szCs w:val="36"/>
          <w:lang w:eastAsia="en-GB"/>
          <w14:ligatures w14:val="none"/>
        </w:rPr>
      </w:pPr>
    </w:p>
    <w:p w14:paraId="7656736B" w14:textId="5E6125B5" w:rsidR="000503B8" w:rsidRPr="000503B8" w:rsidRDefault="000503B8" w:rsidP="000503B8">
      <w:pPr>
        <w:spacing w:before="100" w:beforeAutospacing="1" w:after="100" w:afterAutospacing="1" w:line="240" w:lineRule="auto"/>
        <w:outlineLvl w:val="0"/>
        <w:rPr>
          <w:rFonts w:ascii="Arial" w:eastAsia="Times New Roman" w:hAnsi="Arial" w:cs="Arial"/>
          <w:b/>
          <w:bCs/>
          <w:kern w:val="36"/>
          <w:sz w:val="36"/>
          <w:szCs w:val="36"/>
          <w:lang w:eastAsia="en-GB"/>
          <w14:ligatures w14:val="none"/>
        </w:rPr>
      </w:pPr>
      <w:r w:rsidRPr="000503B8">
        <w:rPr>
          <w:rFonts w:ascii="Arial" w:eastAsia="Times New Roman" w:hAnsi="Arial" w:cs="Arial"/>
          <w:b/>
          <w:bCs/>
          <w:kern w:val="36"/>
          <w:sz w:val="36"/>
          <w:szCs w:val="36"/>
          <w:lang w:eastAsia="en-GB"/>
          <w14:ligatures w14:val="none"/>
        </w:rPr>
        <w:lastRenderedPageBreak/>
        <w:t>Critically Reflecting on Additional Methods of Promoting and Ensuring Quality Above Statutory Requirements</w:t>
      </w:r>
      <w:r w:rsidR="002A287B" w:rsidRPr="002A287B">
        <w:rPr>
          <w:rFonts w:ascii="Arial" w:eastAsia="Times New Roman" w:hAnsi="Arial" w:cs="Arial"/>
          <w:b/>
          <w:bCs/>
          <w:kern w:val="36"/>
          <w:sz w:val="36"/>
          <w:szCs w:val="36"/>
          <w:lang w:eastAsia="en-GB"/>
          <w14:ligatures w14:val="none"/>
        </w:rPr>
        <w:t>.</w:t>
      </w:r>
    </w:p>
    <w:p w14:paraId="6D96BF23" w14:textId="77777777" w:rsidR="000503B8" w:rsidRPr="000503B8" w:rsidRDefault="000503B8"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0503B8">
        <w:rPr>
          <w:rFonts w:ascii="Arial" w:eastAsia="Times New Roman" w:hAnsi="Arial" w:cs="Arial"/>
          <w:b/>
          <w:bCs/>
          <w:kern w:val="0"/>
          <w:sz w:val="32"/>
          <w:szCs w:val="32"/>
          <w:lang w:eastAsia="en-GB"/>
          <w14:ligatures w14:val="none"/>
        </w:rPr>
        <w:t>Introduction</w:t>
      </w:r>
    </w:p>
    <w:p w14:paraId="4B2F97E0" w14:textId="728E47D2"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Quality within early years provision is widely recognised as a complex and </w:t>
      </w:r>
      <w:r w:rsidR="0006144B" w:rsidRPr="000503B8">
        <w:rPr>
          <w:rFonts w:ascii="Arial" w:eastAsia="Times New Roman" w:hAnsi="Arial" w:cs="Arial"/>
          <w:kern w:val="0"/>
          <w:lang w:eastAsia="en-GB"/>
          <w14:ligatures w14:val="none"/>
        </w:rPr>
        <w:t>multi</w:t>
      </w:r>
      <w:r w:rsidR="0006144B">
        <w:rPr>
          <w:rFonts w:ascii="Arial" w:eastAsia="Times New Roman" w:hAnsi="Arial" w:cs="Arial"/>
          <w:kern w:val="0"/>
          <w:lang w:eastAsia="en-GB"/>
          <w14:ligatures w14:val="none"/>
        </w:rPr>
        <w:t>-</w:t>
      </w:r>
      <w:r w:rsidR="0006144B" w:rsidRPr="000503B8">
        <w:rPr>
          <w:rFonts w:ascii="Arial" w:eastAsia="Times New Roman" w:hAnsi="Arial" w:cs="Arial"/>
          <w:kern w:val="0"/>
          <w:lang w:eastAsia="en-GB"/>
          <w14:ligatures w14:val="none"/>
        </w:rPr>
        <w:t>dimensional</w:t>
      </w:r>
      <w:r w:rsidRPr="000503B8">
        <w:rPr>
          <w:rFonts w:ascii="Arial" w:eastAsia="Times New Roman" w:hAnsi="Arial" w:cs="Arial"/>
          <w:kern w:val="0"/>
          <w:lang w:eastAsia="en-GB"/>
          <w14:ligatures w14:val="none"/>
        </w:rPr>
        <w:t xml:space="preserve"> concept that cannot be defined solely through compliance with statutory requirements. It encompasses the extent to which early childhood settings provide safe, stimulating and inclusive environments that support children’s learning, development and overall well-being. Quality includes both structural aspects, such as staff qualifications, adult</w:t>
      </w:r>
      <w:r w:rsidR="00995470">
        <w:rPr>
          <w:rFonts w:ascii="Arial" w:eastAsia="Times New Roman" w:hAnsi="Arial" w:cs="Arial"/>
          <w:kern w:val="0"/>
          <w:lang w:eastAsia="en-GB"/>
          <w14:ligatures w14:val="none"/>
        </w:rPr>
        <w:t xml:space="preserve"> </w:t>
      </w:r>
      <w:r w:rsidRPr="000503B8">
        <w:rPr>
          <w:rFonts w:ascii="Arial" w:eastAsia="Times New Roman" w:hAnsi="Arial" w:cs="Arial"/>
          <w:kern w:val="0"/>
          <w:lang w:eastAsia="en-GB"/>
          <w14:ligatures w14:val="none"/>
        </w:rPr>
        <w:t xml:space="preserve">child ratios and physical resources, and process elements, including the quality of interactions, emotional support and the experiences offered to children (Sylva </w:t>
      </w:r>
      <w:r w:rsidRPr="000503B8">
        <w:rPr>
          <w:rFonts w:ascii="Arial" w:eastAsia="Times New Roman" w:hAnsi="Arial" w:cs="Arial"/>
          <w:i/>
          <w:iCs/>
          <w:kern w:val="0"/>
          <w:lang w:eastAsia="en-GB"/>
          <w14:ligatures w14:val="none"/>
        </w:rPr>
        <w:t>et al</w:t>
      </w:r>
      <w:r w:rsidRPr="000503B8">
        <w:rPr>
          <w:rFonts w:ascii="Arial" w:eastAsia="Times New Roman" w:hAnsi="Arial" w:cs="Arial"/>
          <w:kern w:val="0"/>
          <w:lang w:eastAsia="en-GB"/>
          <w14:ligatures w14:val="none"/>
        </w:rPr>
        <w:t>., 2010). While structural elements are often easier to measure and regulate, it is the process elements that are more closely linked to children’s developmental outcomes, suggesting that true quality extends beyond what can be formally assessed.</w:t>
      </w:r>
    </w:p>
    <w:p w14:paraId="7BE25772" w14:textId="7516745B"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The importance of </w:t>
      </w:r>
      <w:r w:rsidR="0006144B" w:rsidRPr="000503B8">
        <w:rPr>
          <w:rFonts w:ascii="Arial" w:eastAsia="Times New Roman" w:hAnsi="Arial" w:cs="Arial"/>
          <w:kern w:val="0"/>
          <w:lang w:eastAsia="en-GB"/>
          <w14:ligatures w14:val="none"/>
        </w:rPr>
        <w:t>high</w:t>
      </w:r>
      <w:r w:rsidR="0006144B">
        <w:rPr>
          <w:rFonts w:ascii="Arial" w:eastAsia="Times New Roman" w:hAnsi="Arial" w:cs="Arial"/>
          <w:kern w:val="0"/>
          <w:lang w:eastAsia="en-GB"/>
          <w14:ligatures w14:val="none"/>
        </w:rPr>
        <w:t>-quality</w:t>
      </w:r>
      <w:r w:rsidRPr="000503B8">
        <w:rPr>
          <w:rFonts w:ascii="Arial" w:eastAsia="Times New Roman" w:hAnsi="Arial" w:cs="Arial"/>
          <w:kern w:val="0"/>
          <w:lang w:eastAsia="en-GB"/>
          <w14:ligatures w14:val="none"/>
        </w:rPr>
        <w:t xml:space="preserve"> early years provision is strongly supported by research. Studies have consistently shown that children who attend high-quality settings demonstrate improved cognitive development, language skills, social competence and emotional well-being, with benefits extending into later educational achievement (</w:t>
      </w:r>
      <w:r w:rsidR="00023B26" w:rsidRPr="00995470">
        <w:rPr>
          <w:rFonts w:ascii="Arial" w:eastAsia="Times New Roman" w:hAnsi="Arial" w:cs="Arial"/>
          <w:kern w:val="0"/>
          <w:lang w:eastAsia="en-GB"/>
          <w14:ligatures w14:val="none"/>
        </w:rPr>
        <w:t xml:space="preserve">Elliot Hall and </w:t>
      </w:r>
      <w:r w:rsidR="008E5884" w:rsidRPr="00995470">
        <w:rPr>
          <w:rFonts w:ascii="Arial" w:eastAsia="Times New Roman" w:hAnsi="Arial" w:cs="Arial"/>
          <w:kern w:val="0"/>
          <w:lang w:eastAsia="en-GB"/>
          <w14:ligatures w14:val="none"/>
        </w:rPr>
        <w:t>Marina Kreppner, 2019)</w:t>
      </w:r>
      <w:r w:rsidRPr="000503B8">
        <w:rPr>
          <w:rFonts w:ascii="Arial" w:eastAsia="Times New Roman" w:hAnsi="Arial" w:cs="Arial"/>
          <w:kern w:val="0"/>
          <w:lang w:eastAsia="en-GB"/>
          <w14:ligatures w14:val="none"/>
        </w:rPr>
        <w:t xml:space="preserve">. These outcomes are particularly significant for children from disadvantaged backgrounds, as </w:t>
      </w:r>
      <w:r w:rsidR="0006144B" w:rsidRPr="000503B8">
        <w:rPr>
          <w:rFonts w:ascii="Arial" w:eastAsia="Times New Roman" w:hAnsi="Arial" w:cs="Arial"/>
          <w:kern w:val="0"/>
          <w:lang w:eastAsia="en-GB"/>
          <w14:ligatures w14:val="none"/>
        </w:rPr>
        <w:t>hig</w:t>
      </w:r>
      <w:r w:rsidR="0006144B">
        <w:rPr>
          <w:rFonts w:ascii="Arial" w:eastAsia="Times New Roman" w:hAnsi="Arial" w:cs="Arial"/>
          <w:kern w:val="0"/>
          <w:lang w:eastAsia="en-GB"/>
          <w14:ligatures w14:val="none"/>
        </w:rPr>
        <w:t>h-quality</w:t>
      </w:r>
      <w:r w:rsidRPr="000503B8">
        <w:rPr>
          <w:rFonts w:ascii="Arial" w:eastAsia="Times New Roman" w:hAnsi="Arial" w:cs="Arial"/>
          <w:kern w:val="0"/>
          <w:lang w:eastAsia="en-GB"/>
          <w14:ligatures w14:val="none"/>
        </w:rPr>
        <w:t xml:space="preserve"> early experiences can help to reduce developmental inequalities and promote more equitable life chances. This highlights that quality is not simply desirable but essential, particularly in relation to promoting fairness and inclusion within society.</w:t>
      </w:r>
    </w:p>
    <w:p w14:paraId="35419FE9" w14:textId="77777777"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This perspective is reinforced by the United Nations Convention on the Rights of the Child (UNCRC), which outlines children’s rights to development, participation and protection (United Nations, 1989). Article 2 emphasises the right to non-discrimination, while Article 12 highlights the importance of children and families having a voice in decisions that affect them. Article 23 further recognises the rights of children with disabilities to receive support that enables full participation. These principles underline that quality provision must be inclusive, responsive and accessible to all children, rather than focused solely on meeting minimum standards.</w:t>
      </w:r>
    </w:p>
    <w:p w14:paraId="31A06BE9" w14:textId="15C5C20D"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In Wales, policy frameworks also emphasise the importance of quality. The Curriculum for Wales promotes a holistic approach to learning, recognising the importance of well-being, identity and social development (Welsh Government, 202</w:t>
      </w:r>
      <w:r w:rsidR="00E75E8A" w:rsidRPr="00995470">
        <w:rPr>
          <w:rFonts w:ascii="Arial" w:eastAsia="Times New Roman" w:hAnsi="Arial" w:cs="Arial"/>
          <w:kern w:val="0"/>
          <w:lang w:eastAsia="en-GB"/>
          <w14:ligatures w14:val="none"/>
        </w:rPr>
        <w:t>3</w:t>
      </w:r>
      <w:r w:rsidRPr="000503B8">
        <w:rPr>
          <w:rFonts w:ascii="Arial" w:eastAsia="Times New Roman" w:hAnsi="Arial" w:cs="Arial"/>
          <w:kern w:val="0"/>
          <w:lang w:eastAsia="en-GB"/>
          <w14:ligatures w14:val="none"/>
        </w:rPr>
        <w:t>). Similarly, the National Minimum Standards for Regulated Childcare set expectations for safe and appropriate provision (Welsh Government, 2016). However, these frameworks primarily define minimum acceptable standards. While they are essential for safeguarding children, they do not necessarily ensure high-quality experiences. The Equality Act 2010 further strengthens the expectation that settings must eliminate discrimination and promote equality of opportunity, requiring practitioners to make reasonable adjustments to meet diverse needs. Despite this, compliance alone does not guarantee inclusive or high-quality practice.</w:t>
      </w:r>
    </w:p>
    <w:p w14:paraId="7258A14F" w14:textId="1C6F38A2"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lastRenderedPageBreak/>
        <w:t>This creates a clear need for additional methods of quality assurance that go beyond statutory requirements. Inspection systems are often periodic and may provide only a snapshot of practice, which can overlook the everyday experiences of children and families. In contrast, ongoing quality assurance methods allow for continuous reflection, evaluation and improvement. Sch</w:t>
      </w:r>
      <w:r w:rsidR="00F85C25">
        <w:rPr>
          <w:rFonts w:ascii="Arial" w:eastAsia="Times New Roman" w:hAnsi="Arial" w:cs="Arial"/>
          <w:kern w:val="0"/>
          <w:lang w:eastAsia="en-GB"/>
          <w14:ligatures w14:val="none"/>
        </w:rPr>
        <w:t>o</w:t>
      </w:r>
      <w:r w:rsidRPr="000503B8">
        <w:rPr>
          <w:rFonts w:ascii="Arial" w:eastAsia="Times New Roman" w:hAnsi="Arial" w:cs="Arial"/>
          <w:kern w:val="0"/>
          <w:lang w:eastAsia="en-GB"/>
          <w14:ligatures w14:val="none"/>
        </w:rPr>
        <w:t>n (</w:t>
      </w:r>
      <w:r w:rsidR="00416478" w:rsidRPr="00995470">
        <w:rPr>
          <w:rFonts w:ascii="Arial" w:eastAsia="Times New Roman" w:hAnsi="Arial" w:cs="Arial"/>
          <w:kern w:val="0"/>
          <w:lang w:eastAsia="en-GB"/>
          <w14:ligatures w14:val="none"/>
        </w:rPr>
        <w:t>2003</w:t>
      </w:r>
      <w:r w:rsidRPr="000503B8">
        <w:rPr>
          <w:rFonts w:ascii="Arial" w:eastAsia="Times New Roman" w:hAnsi="Arial" w:cs="Arial"/>
          <w:kern w:val="0"/>
          <w:lang w:eastAsia="en-GB"/>
          <w14:ligatures w14:val="none"/>
        </w:rPr>
        <w:t xml:space="preserve">) highlights the importance of reflective practice in professional development, suggesting that practitioners must actively evaluate their own work </w:t>
      </w:r>
      <w:r w:rsidR="00AD326F" w:rsidRPr="000503B8">
        <w:rPr>
          <w:rFonts w:ascii="Arial" w:eastAsia="Times New Roman" w:hAnsi="Arial" w:cs="Arial"/>
          <w:kern w:val="0"/>
          <w:lang w:eastAsia="en-GB"/>
          <w14:ligatures w14:val="none"/>
        </w:rPr>
        <w:t>to</w:t>
      </w:r>
      <w:r w:rsidRPr="000503B8">
        <w:rPr>
          <w:rFonts w:ascii="Arial" w:eastAsia="Times New Roman" w:hAnsi="Arial" w:cs="Arial"/>
          <w:kern w:val="0"/>
          <w:lang w:eastAsia="en-GB"/>
          <w14:ligatures w14:val="none"/>
        </w:rPr>
        <w:t xml:space="preserve"> improve outcomes.</w:t>
      </w:r>
    </w:p>
    <w:p w14:paraId="4D314178" w14:textId="2AC7F8C8"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This assignment critically reflects on the use of </w:t>
      </w:r>
      <w:r w:rsidR="005D7AF2" w:rsidRPr="000503B8">
        <w:rPr>
          <w:rFonts w:ascii="Arial" w:eastAsia="Times New Roman" w:hAnsi="Arial" w:cs="Arial"/>
          <w:kern w:val="0"/>
          <w:lang w:eastAsia="en-GB"/>
          <w14:ligatures w14:val="none"/>
        </w:rPr>
        <w:t>parent’s</w:t>
      </w:r>
      <w:r w:rsidRPr="000503B8">
        <w:rPr>
          <w:rFonts w:ascii="Arial" w:eastAsia="Times New Roman" w:hAnsi="Arial" w:cs="Arial"/>
          <w:kern w:val="0"/>
          <w:lang w:eastAsia="en-GB"/>
          <w14:ligatures w14:val="none"/>
        </w:rPr>
        <w:t xml:space="preserve"> evenings and parental questionnaires as additional methods of quality assurance. It analyses their strengths and limitations, considers the type of information they provide, and evaluates how they contribute to improving quality within early years provision.</w:t>
      </w:r>
    </w:p>
    <w:p w14:paraId="75A9767A" w14:textId="6934DE30" w:rsidR="000503B8" w:rsidRPr="000503B8" w:rsidRDefault="000503B8" w:rsidP="000503B8">
      <w:pPr>
        <w:spacing w:after="0" w:line="240" w:lineRule="auto"/>
        <w:rPr>
          <w:rFonts w:ascii="Times New Roman" w:eastAsia="Times New Roman" w:hAnsi="Times New Roman" w:cs="Times New Roman"/>
          <w:kern w:val="0"/>
          <w:lang w:eastAsia="en-GB"/>
          <w14:ligatures w14:val="none"/>
        </w:rPr>
      </w:pPr>
    </w:p>
    <w:p w14:paraId="01331704" w14:textId="77777777" w:rsidR="000503B8" w:rsidRPr="000503B8" w:rsidRDefault="000503B8"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0503B8">
        <w:rPr>
          <w:rFonts w:ascii="Arial" w:eastAsia="Times New Roman" w:hAnsi="Arial" w:cs="Arial"/>
          <w:b/>
          <w:bCs/>
          <w:kern w:val="0"/>
          <w:sz w:val="32"/>
          <w:szCs w:val="32"/>
          <w:lang w:eastAsia="en-GB"/>
          <w14:ligatures w14:val="none"/>
        </w:rPr>
        <w:t>Reflecting on Additional Methods of Quality Assurance</w:t>
      </w:r>
    </w:p>
    <w:p w14:paraId="2006AF20" w14:textId="67C8BD30"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While statutory inspection frameworks play a crucial role in maintaining standards and accountability, they have limitations in capturing the full complexity of early years practice. Inspections are typically carried out at specific intervals and may not reflect the consistency of experiences over time. As a result, they can provide a limited view of quality, focusing more on compliance than on the lived experiences of children and families. This suggests that relying solely on statutory measures may lead to a narrow understanding of what constitutes quality provision</w:t>
      </w:r>
      <w:r w:rsidR="009C6649" w:rsidRPr="009C6649">
        <w:rPr>
          <w:rFonts w:ascii="Arial" w:eastAsia="Times New Roman" w:hAnsi="Arial" w:cs="Arial"/>
          <w:kern w:val="0"/>
          <w:lang w:eastAsia="en-GB"/>
          <w14:ligatures w14:val="none"/>
        </w:rPr>
        <w:t xml:space="preserve"> </w:t>
      </w:r>
      <w:r w:rsidR="009C6649" w:rsidRPr="000503B8">
        <w:rPr>
          <w:rFonts w:ascii="Arial" w:eastAsia="Times New Roman" w:hAnsi="Arial" w:cs="Arial"/>
          <w:kern w:val="0"/>
          <w:lang w:eastAsia="en-GB"/>
          <w14:ligatures w14:val="none"/>
        </w:rPr>
        <w:t xml:space="preserve">(Sylva </w:t>
      </w:r>
      <w:r w:rsidR="009C6649" w:rsidRPr="000503B8">
        <w:rPr>
          <w:rFonts w:ascii="Arial" w:eastAsia="Times New Roman" w:hAnsi="Arial" w:cs="Arial"/>
          <w:i/>
          <w:iCs/>
          <w:kern w:val="0"/>
          <w:lang w:eastAsia="en-GB"/>
          <w14:ligatures w14:val="none"/>
        </w:rPr>
        <w:t>et al</w:t>
      </w:r>
      <w:r w:rsidR="009C6649" w:rsidRPr="000503B8">
        <w:rPr>
          <w:rFonts w:ascii="Arial" w:eastAsia="Times New Roman" w:hAnsi="Arial" w:cs="Arial"/>
          <w:kern w:val="0"/>
          <w:lang w:eastAsia="en-GB"/>
          <w14:ligatures w14:val="none"/>
        </w:rPr>
        <w:t>., 2010).</w:t>
      </w:r>
    </w:p>
    <w:p w14:paraId="3B791AB8" w14:textId="77777777"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Additional quality assurance methods address this limitation by providing ongoing opportunities for evaluation and reflection. These approaches allow settings to gather a wider range of perspectives, particularly from parents and carers, who play a central role in children’s lives. Engaging with families aligns with Article 12 of the UNCRC, which emphasises the importance of participation and ensuring that individuals have a voice in decisions that affect them (United Nations, 1989). It also supports the principles of the Equality Act 2010 by promoting inclusion and ensuring that diverse perspectives are considered when evaluating provision.</w:t>
      </w:r>
    </w:p>
    <w:p w14:paraId="5829D850" w14:textId="77777777" w:rsidR="00D37D32"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In practice, introducing additional methods of quality assurance within a setting can lead to a more responsive and inclusive approach. For example, reflecting on feedback from families may highlight areas of provision that require adaptation, such as communication methods or cultural representation. This demonstrates that quality is not static but requires continuous review and improvement</w:t>
      </w:r>
      <w:r w:rsidR="00F3614E">
        <w:rPr>
          <w:rFonts w:ascii="Arial" w:eastAsia="Times New Roman" w:hAnsi="Arial" w:cs="Arial"/>
          <w:kern w:val="0"/>
          <w:lang w:eastAsia="en-GB"/>
          <w14:ligatures w14:val="none"/>
        </w:rPr>
        <w:t xml:space="preserve"> (Schon, 1983)</w:t>
      </w:r>
      <w:r w:rsidR="00D37D32">
        <w:rPr>
          <w:rFonts w:ascii="Arial" w:eastAsia="Times New Roman" w:hAnsi="Arial" w:cs="Arial"/>
          <w:kern w:val="0"/>
          <w:lang w:eastAsia="en-GB"/>
          <w14:ligatures w14:val="none"/>
        </w:rPr>
        <w:t xml:space="preserve">. </w:t>
      </w:r>
    </w:p>
    <w:p w14:paraId="7901C2E6" w14:textId="4E266235" w:rsidR="000503B8" w:rsidRPr="000503B8" w:rsidRDefault="00D37D32" w:rsidP="000503B8">
      <w:pPr>
        <w:spacing w:before="100" w:beforeAutospacing="1" w:after="100" w:afterAutospacing="1" w:line="240" w:lineRule="auto"/>
        <w:rPr>
          <w:rFonts w:ascii="Arial" w:eastAsia="Times New Roman" w:hAnsi="Arial" w:cs="Arial"/>
          <w:kern w:val="0"/>
          <w:lang w:eastAsia="en-GB"/>
          <w14:ligatures w14:val="none"/>
        </w:rPr>
      </w:pPr>
      <w:r w:rsidRPr="00F85C25">
        <w:rPr>
          <w:rFonts w:ascii="Arial" w:eastAsia="Times New Roman" w:hAnsi="Arial" w:cs="Arial"/>
          <w:kern w:val="0"/>
          <w:lang w:eastAsia="en-GB"/>
          <w14:ligatures w14:val="none"/>
        </w:rPr>
        <w:t>P</w:t>
      </w:r>
      <w:r w:rsidR="000503B8" w:rsidRPr="000503B8">
        <w:rPr>
          <w:rFonts w:ascii="Arial" w:eastAsia="Times New Roman" w:hAnsi="Arial" w:cs="Arial"/>
          <w:kern w:val="0"/>
          <w:lang w:eastAsia="en-GB"/>
          <w14:ligatures w14:val="none"/>
        </w:rPr>
        <w:t>arent</w:t>
      </w:r>
      <w:r w:rsidRPr="00F85C25">
        <w:rPr>
          <w:rFonts w:ascii="Arial" w:eastAsia="Times New Roman" w:hAnsi="Arial" w:cs="Arial"/>
          <w:kern w:val="0"/>
          <w:lang w:eastAsia="en-GB"/>
          <w14:ligatures w14:val="none"/>
        </w:rPr>
        <w:t>’s</w:t>
      </w:r>
      <w:r w:rsidR="000503B8" w:rsidRPr="000503B8">
        <w:rPr>
          <w:rFonts w:ascii="Arial" w:eastAsia="Times New Roman" w:hAnsi="Arial" w:cs="Arial"/>
          <w:kern w:val="0"/>
          <w:lang w:eastAsia="en-GB"/>
          <w14:ligatures w14:val="none"/>
        </w:rPr>
        <w:t xml:space="preserve"> evenings are one method that supports this process by providing opportunities for direct communication between practitioners and families. These structured meetings allow for detailed discussions about children’s development, well-being and individual needs. One of the main strengths of parent</w:t>
      </w:r>
      <w:r w:rsidR="00CB5DF2">
        <w:rPr>
          <w:rFonts w:ascii="Arial" w:eastAsia="Times New Roman" w:hAnsi="Arial" w:cs="Arial"/>
          <w:kern w:val="0"/>
          <w:lang w:eastAsia="en-GB"/>
          <w14:ligatures w14:val="none"/>
        </w:rPr>
        <w:t>’</w:t>
      </w:r>
      <w:r w:rsidR="000503B8" w:rsidRPr="000503B8">
        <w:rPr>
          <w:rFonts w:ascii="Arial" w:eastAsia="Times New Roman" w:hAnsi="Arial" w:cs="Arial"/>
          <w:kern w:val="0"/>
          <w:lang w:eastAsia="en-GB"/>
          <w14:ligatures w14:val="none"/>
        </w:rPr>
        <w:t>s evenings is the depth of information they provide. Face-to-face interactions enable practitioners and parents to share perspectives, clarify misunderstandings and build trust (</w:t>
      </w:r>
      <w:r w:rsidR="00C579CB" w:rsidRPr="00F85C25">
        <w:rPr>
          <w:rFonts w:ascii="Arial" w:eastAsia="Times New Roman" w:hAnsi="Arial" w:cs="Arial"/>
          <w:kern w:val="0"/>
          <w:lang w:eastAsia="en-GB"/>
          <w14:ligatures w14:val="none"/>
        </w:rPr>
        <w:t xml:space="preserve">Joyce Levy </w:t>
      </w:r>
      <w:r w:rsidR="000503B8" w:rsidRPr="000503B8">
        <w:rPr>
          <w:rFonts w:ascii="Arial" w:eastAsia="Times New Roman" w:hAnsi="Arial" w:cs="Arial"/>
          <w:kern w:val="0"/>
          <w:lang w:eastAsia="en-GB"/>
          <w14:ligatures w14:val="none"/>
        </w:rPr>
        <w:t>Epstein, 2018). In many cases, parents feel more comfortable discussing personal aspects of their child’s development in a conversational setting, which can lead to a more holistic understanding of the child.</w:t>
      </w:r>
    </w:p>
    <w:p w14:paraId="539EDB94" w14:textId="218A6FF2"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lastRenderedPageBreak/>
        <w:t>From a reflective perspective, parents’ evenings can reveal insights that may not be evident through observation alone. For example, parents may share information about a child’s interests, cultural background or emotional experiences that can inform planning and support more personalised learning. This aligns with Article 2 of the UNCRC, which emphasises the importance of non-discrimination and recognising individual differences. It also supports inclusive practice by ensuring that children’s identities and experiences are reflected within the setting</w:t>
      </w:r>
      <w:r w:rsidR="004915CC">
        <w:rPr>
          <w:rFonts w:ascii="Arial" w:eastAsia="Times New Roman" w:hAnsi="Arial" w:cs="Arial"/>
          <w:kern w:val="0"/>
          <w:lang w:eastAsia="en-GB"/>
          <w14:ligatures w14:val="none"/>
        </w:rPr>
        <w:t xml:space="preserve"> (UNICEF, 2022).</w:t>
      </w:r>
    </w:p>
    <w:p w14:paraId="105A9782" w14:textId="02604613"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However, despite these strengths, parent</w:t>
      </w:r>
      <w:r w:rsidR="00BB67FC">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 xml:space="preserve">s evenings also present challenges. Attendance can be inconsistent, as not all families are able to attend due to work commitments, childcare responsibilities or other barriers. </w:t>
      </w:r>
      <w:r w:rsidR="00990616" w:rsidRPr="000503B8">
        <w:rPr>
          <w:rFonts w:ascii="Arial" w:eastAsia="Times New Roman" w:hAnsi="Arial" w:cs="Arial"/>
          <w:kern w:val="0"/>
          <w:lang w:eastAsia="en-GB"/>
          <w14:ligatures w14:val="none"/>
        </w:rPr>
        <w:t>This raise</w:t>
      </w:r>
      <w:r w:rsidRPr="000503B8">
        <w:rPr>
          <w:rFonts w:ascii="Arial" w:eastAsia="Times New Roman" w:hAnsi="Arial" w:cs="Arial"/>
          <w:kern w:val="0"/>
          <w:lang w:eastAsia="en-GB"/>
          <w14:ligatures w14:val="none"/>
        </w:rPr>
        <w:t xml:space="preserve"> concerns in relation to the Equality Act </w:t>
      </w:r>
      <w:r w:rsidR="00990616">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2010</w:t>
      </w:r>
      <w:r w:rsidR="00990616">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 as settings have a responsibility to ensure equal access to participation. If certain groups are underrepresented, the information gathered may not reflect the experiences of all families. In practice, this highlights the need to offer flexible approaches, such as alternative meeting times or additional communication methods.</w:t>
      </w:r>
    </w:p>
    <w:p w14:paraId="7E73086D" w14:textId="1F96BD5B"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Another limitation is that parents may feel uncomfortable raising concerns in a face-to-face setting, particularly if they have an established relationship with practitioners. This can lead to responses that are overly positive and may not accurately reflect areas for improvement. Additionally, the informal nature of conversations means that information may not always be recorded systematically, making it difficult to identify patterns or trends across the setting</w:t>
      </w:r>
      <w:r w:rsidR="0035645A" w:rsidRPr="00840131">
        <w:rPr>
          <w:rFonts w:ascii="Arial" w:eastAsia="Times New Roman" w:hAnsi="Arial" w:cs="Arial"/>
          <w:kern w:val="0"/>
          <w:lang w:eastAsia="en-GB"/>
          <w14:ligatures w14:val="none"/>
        </w:rPr>
        <w:t xml:space="preserve"> </w:t>
      </w:r>
      <w:r w:rsidR="0035645A" w:rsidRPr="000503B8">
        <w:rPr>
          <w:rFonts w:ascii="Arial" w:eastAsia="Times New Roman" w:hAnsi="Arial" w:cs="Arial"/>
          <w:kern w:val="0"/>
          <w:lang w:eastAsia="en-GB"/>
          <w14:ligatures w14:val="none"/>
        </w:rPr>
        <w:t>(</w:t>
      </w:r>
      <w:r w:rsidR="0035645A" w:rsidRPr="00840131">
        <w:rPr>
          <w:rFonts w:ascii="Arial" w:eastAsia="Times New Roman" w:hAnsi="Arial" w:cs="Arial"/>
          <w:kern w:val="0"/>
          <w:lang w:eastAsia="en-GB"/>
          <w14:ligatures w14:val="none"/>
        </w:rPr>
        <w:t xml:space="preserve">Joyce Levy </w:t>
      </w:r>
      <w:r w:rsidR="0035645A" w:rsidRPr="000503B8">
        <w:rPr>
          <w:rFonts w:ascii="Arial" w:eastAsia="Times New Roman" w:hAnsi="Arial" w:cs="Arial"/>
          <w:kern w:val="0"/>
          <w:lang w:eastAsia="en-GB"/>
          <w14:ligatures w14:val="none"/>
        </w:rPr>
        <w:t>Epstein, 2018</w:t>
      </w:r>
      <w:r w:rsidR="00840131" w:rsidRPr="00840131">
        <w:rPr>
          <w:rFonts w:ascii="Arial" w:eastAsia="Times New Roman" w:hAnsi="Arial" w:cs="Arial"/>
          <w:kern w:val="0"/>
          <w:lang w:eastAsia="en-GB"/>
          <w14:ligatures w14:val="none"/>
        </w:rPr>
        <w:t>).</w:t>
      </w:r>
    </w:p>
    <w:p w14:paraId="1E173243" w14:textId="021AEAE8"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In contrast, parental questionnaires provide a more structured approach to gathering feedback. These tools enable settings to collect information from a larger number of families, supporting a broader understanding of experiences. The use of standardised questions allows for consistency, making it easier to compare responses and identify trends over time (Siraj-Blatchford, 2002). This can be particularly useful when evaluating specific aspects of provision, such as communication, inclusion or the learning environment.</w:t>
      </w:r>
    </w:p>
    <w:p w14:paraId="7AF00722" w14:textId="084B8451"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From a reflective perspective, parental questionnaires can highlight patterns that may not be evident through individual conversations. For example, if multiple parents identify similar concerns, this may indicate a need for wider changes within the setting. This supports evidence-based decision-making and enables practitioners to prioritise areas for improvement</w:t>
      </w:r>
      <w:r w:rsidR="00F9686D">
        <w:rPr>
          <w:rFonts w:ascii="Arial" w:eastAsia="Times New Roman" w:hAnsi="Arial" w:cs="Arial"/>
          <w:kern w:val="0"/>
          <w:lang w:eastAsia="en-GB"/>
          <w14:ligatures w14:val="none"/>
        </w:rPr>
        <w:t xml:space="preserve"> (Siraj-</w:t>
      </w:r>
      <w:r w:rsidR="000666E9">
        <w:rPr>
          <w:rFonts w:ascii="Arial" w:eastAsia="Times New Roman" w:hAnsi="Arial" w:cs="Arial"/>
          <w:kern w:val="0"/>
          <w:lang w:eastAsia="en-GB"/>
          <w14:ligatures w14:val="none"/>
        </w:rPr>
        <w:t>Blatchford, 2002).</w:t>
      </w:r>
    </w:p>
    <w:p w14:paraId="654E988A" w14:textId="32727AF4" w:rsidR="000503B8" w:rsidRP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However, questionnaires also have limitations. While they provide measurable data, they often lack depth and may not capture the complexity of individual experiences. Responses are typically brief and may not provide sufficient context for interpretation. Additionally, response rates can vary, and some families may be less likely to engage due to literacy or language barriers. This again highlights the importance of considering the Equality Act </w:t>
      </w:r>
      <w:r w:rsidR="007B1D36" w:rsidRPr="007B1D36">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2010</w:t>
      </w:r>
      <w:r w:rsidR="007B1D36" w:rsidRPr="007B1D36">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 as settings must ensure that methods of feedback are accessible to all families. Providing translated questionnaires or offering support in completing them can help address this issue.</w:t>
      </w:r>
    </w:p>
    <w:p w14:paraId="6D3D47EC" w14:textId="77777777" w:rsidR="00CB625B" w:rsidRPr="000503B8" w:rsidRDefault="000503B8" w:rsidP="00CB625B">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Another limitation is that questionnaires rely on parental perceptions, which may not always reflect the quality of teaching or interactions within the setting. Parents may </w:t>
      </w:r>
      <w:r w:rsidRPr="000503B8">
        <w:rPr>
          <w:rFonts w:ascii="Arial" w:eastAsia="Times New Roman" w:hAnsi="Arial" w:cs="Arial"/>
          <w:kern w:val="0"/>
          <w:lang w:eastAsia="en-GB"/>
          <w14:ligatures w14:val="none"/>
        </w:rPr>
        <w:lastRenderedPageBreak/>
        <w:t>focus on visible aspects, such as communication or facilities, rather than underlying pedagogical practice. This suggests that while questionnaires provide valuable insights, they should be used alongside other methods to gain a more comprehensive understanding of quality</w:t>
      </w:r>
      <w:r w:rsidR="00CB625B" w:rsidRPr="00CB625B">
        <w:rPr>
          <w:rFonts w:ascii="Arial" w:eastAsia="Times New Roman" w:hAnsi="Arial" w:cs="Arial"/>
          <w:kern w:val="0"/>
          <w:lang w:eastAsia="en-GB"/>
          <w14:ligatures w14:val="none"/>
        </w:rPr>
        <w:t xml:space="preserve"> </w:t>
      </w:r>
      <w:r w:rsidR="00CB625B" w:rsidRPr="000503B8">
        <w:rPr>
          <w:rFonts w:ascii="Arial" w:eastAsia="Times New Roman" w:hAnsi="Arial" w:cs="Arial"/>
          <w:kern w:val="0"/>
          <w:lang w:eastAsia="en-GB"/>
          <w14:ligatures w14:val="none"/>
        </w:rPr>
        <w:t xml:space="preserve">(Sylva </w:t>
      </w:r>
      <w:r w:rsidR="00CB625B" w:rsidRPr="000503B8">
        <w:rPr>
          <w:rFonts w:ascii="Arial" w:eastAsia="Times New Roman" w:hAnsi="Arial" w:cs="Arial"/>
          <w:i/>
          <w:iCs/>
          <w:kern w:val="0"/>
          <w:lang w:eastAsia="en-GB"/>
          <w14:ligatures w14:val="none"/>
        </w:rPr>
        <w:t>et al</w:t>
      </w:r>
      <w:r w:rsidR="00CB625B" w:rsidRPr="000503B8">
        <w:rPr>
          <w:rFonts w:ascii="Arial" w:eastAsia="Times New Roman" w:hAnsi="Arial" w:cs="Arial"/>
          <w:kern w:val="0"/>
          <w:lang w:eastAsia="en-GB"/>
          <w14:ligatures w14:val="none"/>
        </w:rPr>
        <w:t>., 2010).</w:t>
      </w:r>
    </w:p>
    <w:p w14:paraId="69D5FF70" w14:textId="10C7C1FB" w:rsidR="000503B8" w:rsidRDefault="000503B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When comparing parent</w:t>
      </w:r>
      <w:r w:rsidR="000D2DE3">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 xml:space="preserve">s evenings and parental questionnaires, </w:t>
      </w:r>
      <w:r w:rsidR="00840131" w:rsidRPr="000503B8">
        <w:rPr>
          <w:rFonts w:ascii="Arial" w:eastAsia="Times New Roman" w:hAnsi="Arial" w:cs="Arial"/>
          <w:kern w:val="0"/>
          <w:lang w:eastAsia="en-GB"/>
          <w14:ligatures w14:val="none"/>
        </w:rPr>
        <w:t>both</w:t>
      </w:r>
      <w:r w:rsidRPr="000503B8">
        <w:rPr>
          <w:rFonts w:ascii="Arial" w:eastAsia="Times New Roman" w:hAnsi="Arial" w:cs="Arial"/>
          <w:kern w:val="0"/>
          <w:lang w:eastAsia="en-GB"/>
          <w14:ligatures w14:val="none"/>
        </w:rPr>
        <w:t xml:space="preserve"> methods offer distinct but complementary benefits. Parent</w:t>
      </w:r>
      <w:r w:rsidR="00846A57">
        <w:rPr>
          <w:rFonts w:ascii="Arial" w:eastAsia="Times New Roman" w:hAnsi="Arial" w:cs="Arial"/>
          <w:kern w:val="0"/>
          <w:lang w:eastAsia="en-GB"/>
          <w14:ligatures w14:val="none"/>
        </w:rPr>
        <w:t>’</w:t>
      </w:r>
      <w:r w:rsidRPr="000503B8">
        <w:rPr>
          <w:rFonts w:ascii="Arial" w:eastAsia="Times New Roman" w:hAnsi="Arial" w:cs="Arial"/>
          <w:kern w:val="0"/>
          <w:lang w:eastAsia="en-GB"/>
          <w14:ligatures w14:val="none"/>
        </w:rPr>
        <w:t>s evenings provide detailed, qualitative insights and support relationship-building, while questionnaires offer structured, quantitative data that can be used to identify patterns and monitor progress. However, both methods also have limitations, particularly in relation to inclusivity and reliability. This suggests that using a combination of approaches is most effective, as it allows settings to gather both depth and breadth of information</w:t>
      </w:r>
      <w:r w:rsidR="00E976A7">
        <w:rPr>
          <w:rFonts w:ascii="Arial" w:eastAsia="Times New Roman" w:hAnsi="Arial" w:cs="Arial"/>
          <w:kern w:val="0"/>
          <w:lang w:eastAsia="en-GB"/>
          <w14:ligatures w14:val="none"/>
        </w:rPr>
        <w:t xml:space="preserve"> (Siraj-Blatchford, 2002).</w:t>
      </w:r>
    </w:p>
    <w:p w14:paraId="4E57045C" w14:textId="51FC2237" w:rsidR="008E4326" w:rsidRPr="008E4326" w:rsidRDefault="008E4326" w:rsidP="008E4326">
      <w:pPr>
        <w:spacing w:before="100" w:beforeAutospacing="1" w:after="100" w:afterAutospacing="1" w:line="240" w:lineRule="auto"/>
        <w:rPr>
          <w:rFonts w:ascii="Arial" w:eastAsia="Times New Roman" w:hAnsi="Arial" w:cs="Arial"/>
          <w:kern w:val="0"/>
          <w:lang w:eastAsia="en-GB"/>
          <w14:ligatures w14:val="none"/>
        </w:rPr>
      </w:pPr>
      <w:r w:rsidRPr="008E4326">
        <w:rPr>
          <w:rFonts w:ascii="Arial" w:eastAsia="Times New Roman" w:hAnsi="Arial" w:cs="Arial"/>
          <w:kern w:val="0"/>
          <w:lang w:eastAsia="en-GB"/>
          <w14:ligatures w14:val="none"/>
        </w:rPr>
        <w:t xml:space="preserve">A critical aspect of using additional quality assurance methods is ensuring that the feedback collected </w:t>
      </w:r>
      <w:proofErr w:type="gramStart"/>
      <w:r w:rsidRPr="008E4326">
        <w:rPr>
          <w:rFonts w:ascii="Arial" w:eastAsia="Times New Roman" w:hAnsi="Arial" w:cs="Arial"/>
          <w:kern w:val="0"/>
          <w:lang w:eastAsia="en-GB"/>
          <w14:ligatures w14:val="none"/>
        </w:rPr>
        <w:t>actually leads</w:t>
      </w:r>
      <w:proofErr w:type="gramEnd"/>
      <w:r w:rsidRPr="008E4326">
        <w:rPr>
          <w:rFonts w:ascii="Arial" w:eastAsia="Times New Roman" w:hAnsi="Arial" w:cs="Arial"/>
          <w:kern w:val="0"/>
          <w:lang w:eastAsia="en-GB"/>
          <w14:ligatures w14:val="none"/>
        </w:rPr>
        <w:t xml:space="preserve"> to meaningful improvements in practice. Collecting parental feedback alone is insufficient</w:t>
      </w:r>
      <w:r w:rsidR="00CA2544">
        <w:rPr>
          <w:rFonts w:ascii="Arial" w:eastAsia="Times New Roman" w:hAnsi="Arial" w:cs="Arial"/>
          <w:kern w:val="0"/>
          <w:lang w:eastAsia="en-GB"/>
          <w14:ligatures w14:val="none"/>
        </w:rPr>
        <w:t>,</w:t>
      </w:r>
      <w:r w:rsidRPr="008E4326">
        <w:rPr>
          <w:rFonts w:ascii="Arial" w:eastAsia="Times New Roman" w:hAnsi="Arial" w:cs="Arial"/>
          <w:kern w:val="0"/>
          <w:lang w:eastAsia="en-GB"/>
          <w14:ligatures w14:val="none"/>
        </w:rPr>
        <w:t xml:space="preserve"> it must be analysed, interpreted, and applied thoughtfully to impact children’s experiences. This requires a reflective approach, as outlined by Sch</w:t>
      </w:r>
      <w:r w:rsidR="00846A57">
        <w:rPr>
          <w:rFonts w:ascii="Arial" w:eastAsia="Times New Roman" w:hAnsi="Arial" w:cs="Arial"/>
          <w:kern w:val="0"/>
          <w:lang w:eastAsia="en-GB"/>
          <w14:ligatures w14:val="none"/>
        </w:rPr>
        <w:t>o</w:t>
      </w:r>
      <w:r w:rsidRPr="008E4326">
        <w:rPr>
          <w:rFonts w:ascii="Arial" w:eastAsia="Times New Roman" w:hAnsi="Arial" w:cs="Arial"/>
          <w:kern w:val="0"/>
          <w:lang w:eastAsia="en-GB"/>
          <w14:ligatures w14:val="none"/>
        </w:rPr>
        <w:t>n (1983), where practitioners critically evaluate the information they receive, identify recurring themes, and prioritise actions that will enhance learning and well-being. For instance, if questionnaires reveal that parents feel communication could be improved, settings might introduce regular digital updates, newsletters, or informal discussions to address this. Similarly, insights gained from parents’ evenings can highlight ways to make provision more culturally inclusive or responsive to individual needs, supporting the principles of the Equality Act 2010 and the UNCRC (1989).</w:t>
      </w:r>
    </w:p>
    <w:p w14:paraId="7B4F220C" w14:textId="77777777" w:rsidR="008E4326" w:rsidRPr="008E4326" w:rsidRDefault="008E4326" w:rsidP="008E4326">
      <w:pPr>
        <w:spacing w:before="100" w:beforeAutospacing="1" w:after="100" w:afterAutospacing="1" w:line="240" w:lineRule="auto"/>
        <w:rPr>
          <w:rFonts w:ascii="Arial" w:eastAsia="Times New Roman" w:hAnsi="Arial" w:cs="Arial"/>
          <w:kern w:val="0"/>
          <w:lang w:eastAsia="en-GB"/>
          <w14:ligatures w14:val="none"/>
        </w:rPr>
      </w:pPr>
      <w:r w:rsidRPr="008E4326">
        <w:rPr>
          <w:rFonts w:ascii="Arial" w:eastAsia="Times New Roman" w:hAnsi="Arial" w:cs="Arial"/>
          <w:kern w:val="0"/>
          <w:lang w:eastAsia="en-GB"/>
          <w14:ligatures w14:val="none"/>
        </w:rPr>
        <w:t>It is important to acknowledge the risk of tokenistic responses, where feedback is gathered but not acted upon, which can undermine trust and limit improvement. To avoid this, settings should adopt a structured approach to quality assurance, incorporating feedback into clear action plans, monitoring progress, and involving all staff in implementing changes. When applied effectively, these methods become part of a continuous improvement cycle, enhancing both the quality and inclusivity of provision for all children (Siraj-Blatchford et al., 2002; Sylva et al., 2010).</w:t>
      </w:r>
    </w:p>
    <w:p w14:paraId="25DA2464" w14:textId="2C20407D" w:rsidR="008E4326" w:rsidRPr="008E4326" w:rsidRDefault="008E4326" w:rsidP="008E4326">
      <w:pPr>
        <w:spacing w:after="0" w:line="240" w:lineRule="auto"/>
        <w:rPr>
          <w:rFonts w:ascii="Times New Roman" w:eastAsia="Times New Roman" w:hAnsi="Times New Roman" w:cs="Times New Roman"/>
          <w:kern w:val="0"/>
          <w:lang w:eastAsia="en-GB"/>
          <w14:ligatures w14:val="none"/>
        </w:rPr>
      </w:pPr>
    </w:p>
    <w:p w14:paraId="51B54F91" w14:textId="3D1DB2F7" w:rsidR="000503B8" w:rsidRPr="000503B8" w:rsidRDefault="000503B8" w:rsidP="000503B8">
      <w:pPr>
        <w:spacing w:after="0" w:line="240" w:lineRule="auto"/>
        <w:rPr>
          <w:rFonts w:ascii="Times New Roman" w:eastAsia="Times New Roman" w:hAnsi="Times New Roman" w:cs="Times New Roman"/>
          <w:kern w:val="0"/>
          <w:lang w:eastAsia="en-GB"/>
          <w14:ligatures w14:val="none"/>
        </w:rPr>
      </w:pPr>
    </w:p>
    <w:p w14:paraId="33BA4C63" w14:textId="77777777" w:rsidR="000503B8" w:rsidRPr="000503B8" w:rsidRDefault="000503B8"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0503B8">
        <w:rPr>
          <w:rFonts w:ascii="Arial" w:eastAsia="Times New Roman" w:hAnsi="Arial" w:cs="Arial"/>
          <w:b/>
          <w:bCs/>
          <w:kern w:val="0"/>
          <w:sz w:val="32"/>
          <w:szCs w:val="32"/>
          <w:lang w:eastAsia="en-GB"/>
          <w14:ligatures w14:val="none"/>
        </w:rPr>
        <w:t>Conclusion</w:t>
      </w:r>
    </w:p>
    <w:p w14:paraId="4C72D53E" w14:textId="77777777" w:rsidR="00ED4345" w:rsidRPr="00ED4345" w:rsidRDefault="00ED4345" w:rsidP="00ED4345">
      <w:pPr>
        <w:spacing w:before="100" w:beforeAutospacing="1" w:after="100" w:afterAutospacing="1" w:line="240" w:lineRule="auto"/>
        <w:rPr>
          <w:rFonts w:ascii="Arial" w:eastAsia="Times New Roman" w:hAnsi="Arial" w:cs="Arial"/>
          <w:kern w:val="0"/>
          <w:lang w:eastAsia="en-GB"/>
          <w14:ligatures w14:val="none"/>
        </w:rPr>
      </w:pPr>
      <w:r w:rsidRPr="00ED4345">
        <w:rPr>
          <w:rFonts w:ascii="Arial" w:eastAsia="Times New Roman" w:hAnsi="Arial" w:cs="Arial"/>
          <w:kern w:val="0"/>
          <w:lang w:eastAsia="en-GB"/>
          <w14:ligatures w14:val="none"/>
        </w:rPr>
        <w:t>In conclusion, quality in early years provision extends beyond statutory compliance and requires continuous reflection and improvement. While regulatory frameworks provide essential standards, they do not fully capture the complexity of children’s experiences or the effectiveness of everyday practice (Sylva et al., 2010). This highlights the importance of additional quality assurance methods.</w:t>
      </w:r>
    </w:p>
    <w:p w14:paraId="6C6B8326" w14:textId="0FAF8DA7" w:rsidR="00ED4345" w:rsidRPr="00ED4345" w:rsidRDefault="00ED4345" w:rsidP="00ED4345">
      <w:pPr>
        <w:spacing w:before="100" w:beforeAutospacing="1" w:after="100" w:afterAutospacing="1" w:line="240" w:lineRule="auto"/>
        <w:rPr>
          <w:rFonts w:ascii="Arial" w:eastAsia="Times New Roman" w:hAnsi="Arial" w:cs="Arial"/>
          <w:kern w:val="0"/>
          <w:lang w:eastAsia="en-GB"/>
          <w14:ligatures w14:val="none"/>
        </w:rPr>
      </w:pPr>
      <w:r w:rsidRPr="00ED4345">
        <w:rPr>
          <w:rFonts w:ascii="Arial" w:eastAsia="Times New Roman" w:hAnsi="Arial" w:cs="Arial"/>
          <w:kern w:val="0"/>
          <w:lang w:eastAsia="en-GB"/>
          <w14:ligatures w14:val="none"/>
        </w:rPr>
        <w:t>Parents’ evenings and parental questionnaires both contribute valuable insights into provision, although they do so in different ways. Parent</w:t>
      </w:r>
      <w:r w:rsidR="00846A57">
        <w:rPr>
          <w:rFonts w:ascii="Arial" w:eastAsia="Times New Roman" w:hAnsi="Arial" w:cs="Arial"/>
          <w:kern w:val="0"/>
          <w:lang w:eastAsia="en-GB"/>
          <w14:ligatures w14:val="none"/>
        </w:rPr>
        <w:t>’</w:t>
      </w:r>
      <w:r w:rsidRPr="00ED4345">
        <w:rPr>
          <w:rFonts w:ascii="Arial" w:eastAsia="Times New Roman" w:hAnsi="Arial" w:cs="Arial"/>
          <w:kern w:val="0"/>
          <w:lang w:eastAsia="en-GB"/>
          <w14:ligatures w14:val="none"/>
        </w:rPr>
        <w:t xml:space="preserve">s evenings support meaningful dialogue and provide in-depth understanding, while questionnaires offer </w:t>
      </w:r>
      <w:r w:rsidRPr="00ED4345">
        <w:rPr>
          <w:rFonts w:ascii="Arial" w:eastAsia="Times New Roman" w:hAnsi="Arial" w:cs="Arial"/>
          <w:kern w:val="0"/>
          <w:lang w:eastAsia="en-GB"/>
          <w14:ligatures w14:val="none"/>
        </w:rPr>
        <w:lastRenderedPageBreak/>
        <w:t>structured data that can inform strategic planning. However, both methods have limitations, suggesting that they are most effective when used together (Siraj-Blatchford et al., 2002).</w:t>
      </w:r>
    </w:p>
    <w:p w14:paraId="7393463B" w14:textId="77777777" w:rsidR="00ED4345" w:rsidRPr="00ED4345" w:rsidRDefault="00ED4345" w:rsidP="00ED4345">
      <w:pPr>
        <w:spacing w:before="100" w:beforeAutospacing="1" w:after="100" w:afterAutospacing="1" w:line="240" w:lineRule="auto"/>
        <w:rPr>
          <w:rFonts w:ascii="Arial" w:eastAsia="Times New Roman" w:hAnsi="Arial" w:cs="Arial"/>
          <w:kern w:val="0"/>
          <w:lang w:eastAsia="en-GB"/>
          <w14:ligatures w14:val="none"/>
        </w:rPr>
      </w:pPr>
      <w:r w:rsidRPr="00ED4345">
        <w:rPr>
          <w:rFonts w:ascii="Arial" w:eastAsia="Times New Roman" w:hAnsi="Arial" w:cs="Arial"/>
          <w:kern w:val="0"/>
          <w:lang w:eastAsia="en-GB"/>
          <w14:ligatures w14:val="none"/>
        </w:rPr>
        <w:t>Critically, the value of these methods depends on how the information is used. Collecting feedback alone is not sufficient; it must lead to meaningful changes that improve outcomes for children. This requires a commitment to reflective practice and a willingness to adapt provision in response to feedback (Schön, 1983).</w:t>
      </w:r>
    </w:p>
    <w:p w14:paraId="73FA4855" w14:textId="77777777" w:rsidR="00ED4345" w:rsidRPr="00ED4345" w:rsidRDefault="00ED4345" w:rsidP="00ED4345">
      <w:pPr>
        <w:spacing w:before="100" w:beforeAutospacing="1" w:after="100" w:afterAutospacing="1" w:line="240" w:lineRule="auto"/>
        <w:rPr>
          <w:rFonts w:ascii="Arial" w:eastAsia="Times New Roman" w:hAnsi="Arial" w:cs="Arial"/>
          <w:kern w:val="0"/>
          <w:lang w:eastAsia="en-GB"/>
          <w14:ligatures w14:val="none"/>
        </w:rPr>
      </w:pPr>
      <w:r w:rsidRPr="00ED4345">
        <w:rPr>
          <w:rFonts w:ascii="Arial" w:eastAsia="Times New Roman" w:hAnsi="Arial" w:cs="Arial"/>
          <w:kern w:val="0"/>
          <w:lang w:eastAsia="en-GB"/>
          <w14:ligatures w14:val="none"/>
        </w:rPr>
        <w:t>Ultimately, embedding additional quality assurance methods within practice supports a more inclusive, responsive and reflective approach to early years provision. By doing so, settings can move beyond compliance and work towards achieving genuinely high-quality outcomes that uphold children’s rights and promote equality (United Nations, 1989; Equality Act, 2010).</w:t>
      </w:r>
    </w:p>
    <w:p w14:paraId="63B5CB4E" w14:textId="5B676290" w:rsidR="00ED4345" w:rsidRPr="00ED4345" w:rsidRDefault="00ED4345" w:rsidP="00ED4345">
      <w:pPr>
        <w:spacing w:after="0" w:line="240" w:lineRule="auto"/>
        <w:rPr>
          <w:rFonts w:ascii="Arial" w:eastAsia="Times New Roman" w:hAnsi="Arial" w:cs="Arial"/>
          <w:kern w:val="0"/>
          <w:lang w:eastAsia="en-GB"/>
          <w14:ligatures w14:val="none"/>
        </w:rPr>
      </w:pPr>
    </w:p>
    <w:p w14:paraId="2E7AA99D" w14:textId="77777777" w:rsidR="00872311" w:rsidRDefault="00872311"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209706E" w14:textId="77777777" w:rsidR="00872311" w:rsidRDefault="00872311"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6AADDEA7" w14:textId="77777777" w:rsidR="00872311" w:rsidRDefault="00872311"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2A5427B"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6667F3E5"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43D4D86"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57E34BBF"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6897BC38"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5971497"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E9BC8A0"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1A6D9A05"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F623931"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024AD86E"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7EF050BD" w14:textId="77777777" w:rsidR="008D257A" w:rsidRDefault="008D257A"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2AF80E2D" w14:textId="6456646D" w:rsidR="000503B8" w:rsidRPr="000503B8" w:rsidRDefault="000503B8" w:rsidP="000503B8">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0503B8">
        <w:rPr>
          <w:rFonts w:ascii="Arial" w:eastAsia="Times New Roman" w:hAnsi="Arial" w:cs="Arial"/>
          <w:b/>
          <w:bCs/>
          <w:kern w:val="0"/>
          <w:sz w:val="32"/>
          <w:szCs w:val="32"/>
          <w:lang w:eastAsia="en-GB"/>
          <w14:ligatures w14:val="none"/>
        </w:rPr>
        <w:lastRenderedPageBreak/>
        <w:t>Reference List</w:t>
      </w:r>
    </w:p>
    <w:p w14:paraId="6697DFE7" w14:textId="52A5681C" w:rsidR="00190BA8" w:rsidRPr="008E5884" w:rsidRDefault="00190BA8" w:rsidP="008E5884">
      <w:pPr>
        <w:pStyle w:val="NormalWeb"/>
        <w:spacing w:before="0" w:beforeAutospacing="0" w:after="0" w:afterAutospacing="0" w:line="360" w:lineRule="atLeast"/>
        <w:rPr>
          <w:rFonts w:ascii="Arial" w:hAnsi="Arial" w:cs="Arial"/>
          <w:color w:val="000000"/>
        </w:rPr>
      </w:pPr>
      <w:r w:rsidRPr="00702DA5">
        <w:rPr>
          <w:rFonts w:ascii="Arial" w:hAnsi="Arial" w:cs="Arial"/>
          <w:color w:val="000000"/>
        </w:rPr>
        <w:t>‌</w:t>
      </w:r>
      <w:r w:rsidRPr="008E5884">
        <w:rPr>
          <w:rFonts w:ascii="Arial" w:hAnsi="Arial" w:cs="Arial"/>
          <w:color w:val="000000"/>
        </w:rPr>
        <w:t>Elliot Hall, J. and Marinka Kreppner, J. (2019). </w:t>
      </w:r>
      <w:r w:rsidRPr="008E5884">
        <w:rPr>
          <w:rFonts w:ascii="Arial" w:hAnsi="Arial" w:cs="Arial"/>
          <w:i/>
          <w:iCs/>
          <w:color w:val="000000"/>
        </w:rPr>
        <w:t>How Can Education Better Support the Mental Health &amp; Wellbeing of Young People? Contributions From Developmental Psychopathology &amp; Educational Effectiveness Research</w:t>
      </w:r>
      <w:r w:rsidRPr="008E5884">
        <w:rPr>
          <w:rFonts w:ascii="Arial" w:hAnsi="Arial" w:cs="Arial"/>
          <w:color w:val="000000"/>
        </w:rPr>
        <w:t>. [</w:t>
      </w:r>
      <w:proofErr w:type="spellStart"/>
      <w:r w:rsidRPr="008E5884">
        <w:rPr>
          <w:rFonts w:ascii="Arial" w:hAnsi="Arial" w:cs="Arial"/>
          <w:color w:val="000000"/>
        </w:rPr>
        <w:t>Erscheinungsort</w:t>
      </w:r>
      <w:proofErr w:type="spellEnd"/>
      <w:r w:rsidRPr="008E5884">
        <w:rPr>
          <w:rFonts w:ascii="Arial" w:hAnsi="Arial" w:cs="Arial"/>
          <w:color w:val="000000"/>
        </w:rPr>
        <w:t xml:space="preserve"> nicht </w:t>
      </w:r>
      <w:proofErr w:type="spellStart"/>
      <w:r w:rsidRPr="008E5884">
        <w:rPr>
          <w:rFonts w:ascii="Arial" w:hAnsi="Arial" w:cs="Arial"/>
          <w:color w:val="000000"/>
        </w:rPr>
        <w:t>ermittelbar</w:t>
      </w:r>
      <w:proofErr w:type="spellEnd"/>
      <w:r w:rsidRPr="008E5884">
        <w:rPr>
          <w:rFonts w:ascii="Arial" w:hAnsi="Arial" w:cs="Arial"/>
          <w:color w:val="000000"/>
        </w:rPr>
        <w:t>]: Frontiers Media SA.</w:t>
      </w:r>
    </w:p>
    <w:p w14:paraId="10B8F3C2" w14:textId="77777777" w:rsidR="0001160F" w:rsidRDefault="0001160F" w:rsidP="00702DA5">
      <w:pPr>
        <w:pStyle w:val="NormalWeb"/>
        <w:spacing w:before="0" w:beforeAutospacing="0" w:after="0" w:afterAutospacing="0" w:line="360" w:lineRule="atLeast"/>
        <w:rPr>
          <w:rFonts w:ascii="Arial" w:hAnsi="Arial" w:cs="Arial"/>
          <w:color w:val="000000"/>
        </w:rPr>
      </w:pPr>
    </w:p>
    <w:p w14:paraId="6B757D27" w14:textId="2E97CDA5" w:rsidR="00190BA8" w:rsidRPr="00702DA5" w:rsidRDefault="00190BA8" w:rsidP="00702DA5">
      <w:pPr>
        <w:pStyle w:val="NormalWeb"/>
        <w:spacing w:before="0" w:beforeAutospacing="0" w:after="0" w:afterAutospacing="0" w:line="360" w:lineRule="atLeast"/>
        <w:rPr>
          <w:rFonts w:ascii="Arial" w:hAnsi="Arial" w:cs="Arial"/>
          <w:color w:val="000000"/>
        </w:rPr>
      </w:pPr>
      <w:r w:rsidRPr="00702DA5">
        <w:rPr>
          <w:rFonts w:ascii="Arial" w:hAnsi="Arial" w:cs="Arial"/>
          <w:color w:val="000000"/>
        </w:rPr>
        <w:t>Joyce Levy Epstein (2018). </w:t>
      </w:r>
      <w:r w:rsidRPr="00702DA5">
        <w:rPr>
          <w:rFonts w:ascii="Arial" w:hAnsi="Arial" w:cs="Arial"/>
          <w:i/>
          <w:iCs/>
          <w:color w:val="000000"/>
        </w:rPr>
        <w:t xml:space="preserve">School, family, and community </w:t>
      </w:r>
      <w:proofErr w:type="gramStart"/>
      <w:r w:rsidRPr="00702DA5">
        <w:rPr>
          <w:rFonts w:ascii="Arial" w:hAnsi="Arial" w:cs="Arial"/>
          <w:i/>
          <w:iCs/>
          <w:color w:val="000000"/>
        </w:rPr>
        <w:t>partnerships :</w:t>
      </w:r>
      <w:proofErr w:type="gramEnd"/>
      <w:r w:rsidRPr="00702DA5">
        <w:rPr>
          <w:rFonts w:ascii="Arial" w:hAnsi="Arial" w:cs="Arial"/>
          <w:i/>
          <w:iCs/>
          <w:color w:val="000000"/>
        </w:rPr>
        <w:t xml:space="preserve"> preparing educators and improving schools</w:t>
      </w:r>
      <w:r w:rsidRPr="00702DA5">
        <w:rPr>
          <w:rFonts w:ascii="Arial" w:hAnsi="Arial" w:cs="Arial"/>
          <w:color w:val="000000"/>
        </w:rPr>
        <w:t xml:space="preserve">. New York, New </w:t>
      </w:r>
      <w:proofErr w:type="gramStart"/>
      <w:r w:rsidRPr="00702DA5">
        <w:rPr>
          <w:rFonts w:ascii="Arial" w:hAnsi="Arial" w:cs="Arial"/>
          <w:color w:val="000000"/>
        </w:rPr>
        <w:t>York ;</w:t>
      </w:r>
      <w:proofErr w:type="gramEnd"/>
      <w:r w:rsidRPr="00702DA5">
        <w:rPr>
          <w:rFonts w:ascii="Arial" w:hAnsi="Arial" w:cs="Arial"/>
          <w:color w:val="000000"/>
        </w:rPr>
        <w:t xml:space="preserve"> London, England: Routledge.</w:t>
      </w:r>
    </w:p>
    <w:p w14:paraId="154F3203" w14:textId="77777777" w:rsidR="00190BA8" w:rsidRPr="00E02086" w:rsidRDefault="00190BA8">
      <w:pPr>
        <w:rPr>
          <w:rFonts w:ascii="Arial" w:hAnsi="Arial" w:cs="Arial"/>
        </w:rPr>
      </w:pPr>
      <w:r w:rsidRPr="00E02086">
        <w:rPr>
          <w:rFonts w:ascii="Arial" w:hAnsi="Arial" w:cs="Arial"/>
        </w:rPr>
        <w:t xml:space="preserve">Legislation.Gov UK (2026) </w:t>
      </w:r>
      <w:r w:rsidRPr="00E02086">
        <w:rPr>
          <w:rFonts w:ascii="Arial" w:hAnsi="Arial" w:cs="Arial"/>
          <w:i/>
          <w:iCs/>
        </w:rPr>
        <w:t>Equality Act 2010</w:t>
      </w:r>
      <w:r w:rsidRPr="00E02086">
        <w:rPr>
          <w:rFonts w:ascii="Arial" w:hAnsi="Arial" w:cs="Arial"/>
        </w:rPr>
        <w:t xml:space="preserve">. Available at: </w:t>
      </w:r>
      <w:hyperlink r:id="rId7" w:history="1">
        <w:r w:rsidRPr="00E02086">
          <w:rPr>
            <w:rStyle w:val="Hyperlink"/>
            <w:rFonts w:ascii="Arial" w:hAnsi="Arial" w:cs="Arial"/>
          </w:rPr>
          <w:t>https://www.legislation.gov.uk/ukpga/2010/15/contents</w:t>
        </w:r>
      </w:hyperlink>
      <w:r w:rsidRPr="00E02086">
        <w:rPr>
          <w:rFonts w:ascii="Arial" w:hAnsi="Arial" w:cs="Arial"/>
        </w:rPr>
        <w:t xml:space="preserve"> (Accessed 2nd April 2026).</w:t>
      </w:r>
    </w:p>
    <w:p w14:paraId="1A3E65D9" w14:textId="77777777" w:rsidR="00190BA8" w:rsidRPr="00F1400B" w:rsidRDefault="00190BA8" w:rsidP="0092318B">
      <w:pPr>
        <w:pStyle w:val="NormalWeb"/>
        <w:rPr>
          <w:rFonts w:ascii="Arial" w:hAnsi="Arial" w:cs="Arial"/>
          <w:color w:val="000000"/>
          <w:sz w:val="27"/>
          <w:szCs w:val="27"/>
        </w:rPr>
      </w:pPr>
      <w:r w:rsidRPr="00F1400B">
        <w:rPr>
          <w:rFonts w:ascii="Arial" w:hAnsi="Arial" w:cs="Arial"/>
        </w:rPr>
        <w:t>Sch</w:t>
      </w:r>
      <w:r>
        <w:rPr>
          <w:rFonts w:ascii="Arial" w:hAnsi="Arial" w:cs="Arial"/>
        </w:rPr>
        <w:t>o</w:t>
      </w:r>
      <w:r w:rsidRPr="00F1400B">
        <w:rPr>
          <w:rFonts w:ascii="Arial" w:hAnsi="Arial" w:cs="Arial"/>
        </w:rPr>
        <w:t xml:space="preserve">n, D.A. (1983) </w:t>
      </w:r>
      <w:r w:rsidRPr="00F1400B">
        <w:rPr>
          <w:rStyle w:val="Emphasis"/>
          <w:rFonts w:ascii="Arial" w:eastAsiaTheme="majorEastAsia" w:hAnsi="Arial" w:cs="Arial"/>
        </w:rPr>
        <w:t>The Reflective Practitioner</w:t>
      </w:r>
      <w:r w:rsidRPr="00F1400B">
        <w:rPr>
          <w:rFonts w:ascii="Arial" w:hAnsi="Arial" w:cs="Arial"/>
        </w:rPr>
        <w:t>. New York: Basic Books.</w:t>
      </w:r>
    </w:p>
    <w:p w14:paraId="66D5F79E" w14:textId="77777777" w:rsidR="00190BA8" w:rsidRDefault="00190BA8" w:rsidP="0092318B">
      <w:pPr>
        <w:pStyle w:val="NormalWeb"/>
        <w:rPr>
          <w:rFonts w:ascii="Arial" w:hAnsi="Arial" w:cs="Arial"/>
          <w:color w:val="000000"/>
        </w:rPr>
      </w:pPr>
      <w:r w:rsidRPr="00416478">
        <w:rPr>
          <w:rFonts w:ascii="Arial" w:hAnsi="Arial" w:cs="Arial"/>
          <w:color w:val="000000"/>
        </w:rPr>
        <w:t>Schon, D.A. (2003). </w:t>
      </w:r>
      <w:r w:rsidRPr="00416478">
        <w:rPr>
          <w:rFonts w:ascii="Arial" w:hAnsi="Arial" w:cs="Arial"/>
          <w:i/>
          <w:iCs/>
          <w:color w:val="000000"/>
        </w:rPr>
        <w:t>The Reflective Practitioner</w:t>
      </w:r>
      <w:r w:rsidRPr="00416478">
        <w:rPr>
          <w:rFonts w:ascii="Arial" w:hAnsi="Arial" w:cs="Arial"/>
          <w:color w:val="000000"/>
        </w:rPr>
        <w:t>.</w:t>
      </w:r>
    </w:p>
    <w:p w14:paraId="398954AC" w14:textId="77777777" w:rsidR="00190BA8" w:rsidRPr="0092318B" w:rsidRDefault="00190BA8" w:rsidP="0092318B">
      <w:pPr>
        <w:pStyle w:val="NormalWeb"/>
        <w:spacing w:before="0" w:beforeAutospacing="0" w:after="0" w:afterAutospacing="0" w:line="360" w:lineRule="atLeast"/>
        <w:rPr>
          <w:rFonts w:ascii="Arial" w:hAnsi="Arial" w:cs="Arial"/>
          <w:color w:val="000000"/>
        </w:rPr>
      </w:pPr>
      <w:r w:rsidRPr="0092318B">
        <w:rPr>
          <w:rFonts w:ascii="Arial" w:hAnsi="Arial" w:cs="Arial"/>
          <w:color w:val="000000"/>
        </w:rPr>
        <w:t>‌Siraj-Blatchford, I. (2002). </w:t>
      </w:r>
      <w:r w:rsidRPr="0092318B">
        <w:rPr>
          <w:rFonts w:ascii="Arial" w:hAnsi="Arial" w:cs="Arial"/>
          <w:i/>
          <w:iCs/>
          <w:color w:val="000000"/>
        </w:rPr>
        <w:t>Researching effective pedagogy in the early years</w:t>
      </w:r>
      <w:r w:rsidRPr="0092318B">
        <w:rPr>
          <w:rFonts w:ascii="Arial" w:hAnsi="Arial" w:cs="Arial"/>
          <w:color w:val="000000"/>
        </w:rPr>
        <w:t>. London: Department for Education and Skills.</w:t>
      </w:r>
    </w:p>
    <w:p w14:paraId="64821004" w14:textId="77777777" w:rsidR="00190BA8" w:rsidRPr="00DD70E7" w:rsidRDefault="00190BA8" w:rsidP="00190BA8">
      <w:pPr>
        <w:pStyle w:val="NormalWeb"/>
        <w:rPr>
          <w:rFonts w:ascii="Arial" w:hAnsi="Arial" w:cs="Arial"/>
          <w:color w:val="000000"/>
        </w:rPr>
      </w:pPr>
      <w:r w:rsidRPr="0092318B">
        <w:rPr>
          <w:rFonts w:ascii="Arial" w:hAnsi="Arial" w:cs="Arial"/>
          <w:color w:val="000000"/>
        </w:rPr>
        <w:t>‌</w:t>
      </w:r>
      <w:r w:rsidRPr="00DD70E7">
        <w:rPr>
          <w:rFonts w:ascii="Arial" w:hAnsi="Arial" w:cs="Arial"/>
          <w:color w:val="000000"/>
        </w:rPr>
        <w:t>Sylva, K., Melhuish, E., Sammons, P., Iram Siraj-Blatchford and Taggart, B. (2010). </w:t>
      </w:r>
      <w:r w:rsidRPr="00DD70E7">
        <w:rPr>
          <w:rFonts w:ascii="Arial" w:hAnsi="Arial" w:cs="Arial"/>
          <w:i/>
          <w:iCs/>
          <w:color w:val="000000"/>
        </w:rPr>
        <w:t>Early Childhood Matters</w:t>
      </w:r>
      <w:r w:rsidRPr="00DD70E7">
        <w:rPr>
          <w:rFonts w:ascii="Arial" w:hAnsi="Arial" w:cs="Arial"/>
          <w:color w:val="000000"/>
        </w:rPr>
        <w:t>. Routledge.</w:t>
      </w:r>
    </w:p>
    <w:p w14:paraId="6CAD58DE" w14:textId="77777777" w:rsidR="00190BA8" w:rsidRPr="00A30977" w:rsidRDefault="00190BA8" w:rsidP="00416478">
      <w:pPr>
        <w:pStyle w:val="NormalWeb"/>
        <w:rPr>
          <w:rFonts w:ascii="Arial" w:hAnsi="Arial" w:cs="Arial"/>
          <w:color w:val="000000"/>
        </w:rPr>
      </w:pPr>
      <w:r w:rsidRPr="00DD70E7">
        <w:rPr>
          <w:rFonts w:ascii="Arial" w:hAnsi="Arial" w:cs="Arial"/>
          <w:color w:val="000000"/>
        </w:rPr>
        <w:t>‌</w:t>
      </w:r>
      <w:r w:rsidRPr="00063A99">
        <w:rPr>
          <w:rFonts w:ascii="Arial" w:hAnsi="Arial" w:cs="Arial"/>
        </w:rPr>
        <w:t xml:space="preserve">UNICEF (2022) </w:t>
      </w:r>
      <w:r w:rsidRPr="00063A99">
        <w:rPr>
          <w:rFonts w:ascii="Arial" w:hAnsi="Arial" w:cs="Arial"/>
          <w:i/>
          <w:iCs/>
        </w:rPr>
        <w:t>UNCRC article 12</w:t>
      </w:r>
      <w:r w:rsidRPr="00063A99">
        <w:rPr>
          <w:rFonts w:ascii="Arial" w:hAnsi="Arial" w:cs="Arial"/>
        </w:rPr>
        <w:t xml:space="preserve">. Available at: </w:t>
      </w:r>
      <w:hyperlink r:id="rId8" w:history="1">
        <w:r w:rsidRPr="00063A99">
          <w:rPr>
            <w:rStyle w:val="Hyperlink"/>
            <w:rFonts w:ascii="Arial" w:eastAsiaTheme="majorEastAsia" w:hAnsi="Arial" w:cs="Arial"/>
          </w:rPr>
          <w:t>https://www.unicef.org.uk/wp-content/uploads/2019/10/UNCRC_summary-1_1.pdf</w:t>
        </w:r>
      </w:hyperlink>
      <w:r w:rsidRPr="00063A99">
        <w:rPr>
          <w:rFonts w:ascii="Arial" w:hAnsi="Arial" w:cs="Arial"/>
        </w:rPr>
        <w:t xml:space="preserve"> </w:t>
      </w:r>
      <w:r>
        <w:rPr>
          <w:rFonts w:ascii="Arial" w:hAnsi="Arial" w:cs="Arial"/>
        </w:rPr>
        <w:t>(</w:t>
      </w:r>
      <w:r w:rsidRPr="00063A99">
        <w:rPr>
          <w:rFonts w:ascii="Arial" w:hAnsi="Arial" w:cs="Arial"/>
        </w:rPr>
        <w:t>Accessed 2</w:t>
      </w:r>
      <w:r w:rsidRPr="00063A99">
        <w:rPr>
          <w:rFonts w:ascii="Arial" w:hAnsi="Arial" w:cs="Arial"/>
          <w:vertAlign w:val="superscript"/>
        </w:rPr>
        <w:t>nd</w:t>
      </w:r>
      <w:r w:rsidRPr="00063A99">
        <w:rPr>
          <w:rFonts w:ascii="Arial" w:hAnsi="Arial" w:cs="Arial"/>
        </w:rPr>
        <w:t xml:space="preserve"> April 2026.</w:t>
      </w:r>
      <w:r>
        <w:rPr>
          <w:rFonts w:ascii="Arial" w:hAnsi="Arial" w:cs="Arial"/>
        </w:rPr>
        <w:t>)</w:t>
      </w:r>
    </w:p>
    <w:p w14:paraId="513740AC" w14:textId="77777777" w:rsidR="00190BA8" w:rsidRPr="000503B8" w:rsidRDefault="00190BA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 xml:space="preserve">United Nations (1989) </w:t>
      </w:r>
      <w:r w:rsidRPr="000503B8">
        <w:rPr>
          <w:rFonts w:ascii="Arial" w:eastAsia="Times New Roman" w:hAnsi="Arial" w:cs="Arial"/>
          <w:i/>
          <w:iCs/>
          <w:kern w:val="0"/>
          <w:lang w:eastAsia="en-GB"/>
          <w14:ligatures w14:val="none"/>
        </w:rPr>
        <w:t>United Nations Convention on the Rights of the Child</w:t>
      </w:r>
      <w:r w:rsidRPr="000503B8">
        <w:rPr>
          <w:rFonts w:ascii="Arial" w:eastAsia="Times New Roman" w:hAnsi="Arial" w:cs="Arial"/>
          <w:kern w:val="0"/>
          <w:lang w:eastAsia="en-GB"/>
          <w14:ligatures w14:val="none"/>
        </w:rPr>
        <w:t>.</w:t>
      </w:r>
    </w:p>
    <w:p w14:paraId="4FB8E26C" w14:textId="77777777" w:rsidR="00190BA8" w:rsidRPr="000503B8" w:rsidRDefault="00190BA8" w:rsidP="000503B8">
      <w:pPr>
        <w:spacing w:before="100" w:beforeAutospacing="1" w:after="100" w:afterAutospacing="1" w:line="240" w:lineRule="auto"/>
        <w:rPr>
          <w:rFonts w:ascii="Arial" w:eastAsia="Times New Roman" w:hAnsi="Arial" w:cs="Arial"/>
          <w:kern w:val="0"/>
          <w:lang w:eastAsia="en-GB"/>
          <w14:ligatures w14:val="none"/>
        </w:rPr>
      </w:pPr>
      <w:r w:rsidRPr="000503B8">
        <w:rPr>
          <w:rFonts w:ascii="Arial" w:eastAsia="Times New Roman" w:hAnsi="Arial" w:cs="Arial"/>
          <w:kern w:val="0"/>
          <w:lang w:eastAsia="en-GB"/>
          <w14:ligatures w14:val="none"/>
        </w:rPr>
        <w:t>Welsh Government (20</w:t>
      </w:r>
      <w:r w:rsidRPr="002B2D17">
        <w:rPr>
          <w:rFonts w:ascii="Arial" w:eastAsia="Times New Roman" w:hAnsi="Arial" w:cs="Arial"/>
          <w:kern w:val="0"/>
          <w:lang w:eastAsia="en-GB"/>
          <w14:ligatures w14:val="none"/>
        </w:rPr>
        <w:t>23</w:t>
      </w:r>
      <w:r w:rsidRPr="000503B8">
        <w:rPr>
          <w:rFonts w:ascii="Arial" w:eastAsia="Times New Roman" w:hAnsi="Arial" w:cs="Arial"/>
          <w:kern w:val="0"/>
          <w:lang w:eastAsia="en-GB"/>
          <w14:ligatures w14:val="none"/>
        </w:rPr>
        <w:t xml:space="preserve">) </w:t>
      </w:r>
      <w:r w:rsidRPr="000503B8">
        <w:rPr>
          <w:rFonts w:ascii="Arial" w:eastAsia="Times New Roman" w:hAnsi="Arial" w:cs="Arial"/>
          <w:i/>
          <w:iCs/>
          <w:kern w:val="0"/>
          <w:lang w:eastAsia="en-GB"/>
          <w14:ligatures w14:val="none"/>
        </w:rPr>
        <w:t>National Minimum Standards for Regulated Childcare</w:t>
      </w:r>
      <w:r w:rsidRPr="000503B8">
        <w:rPr>
          <w:rFonts w:ascii="Arial" w:eastAsia="Times New Roman" w:hAnsi="Arial" w:cs="Arial"/>
          <w:kern w:val="0"/>
          <w:lang w:eastAsia="en-GB"/>
          <w14:ligatures w14:val="none"/>
        </w:rPr>
        <w:t>.</w:t>
      </w:r>
      <w:r w:rsidRPr="002B2D17">
        <w:rPr>
          <w:rFonts w:ascii="Arial" w:eastAsia="Times New Roman" w:hAnsi="Arial" w:cs="Arial"/>
          <w:kern w:val="0"/>
          <w:lang w:eastAsia="en-GB"/>
          <w14:ligatures w14:val="none"/>
        </w:rPr>
        <w:t xml:space="preserve"> Available at: </w:t>
      </w:r>
      <w:hyperlink r:id="rId9" w:history="1">
        <w:r>
          <w:rPr>
            <w:rStyle w:val="Hyperlink"/>
            <w:rFonts w:ascii="Arial" w:hAnsi="Arial" w:cs="Arial"/>
          </w:rPr>
          <w:t>https://www.gov.wales/national-minimum-standards-regulated-childcare</w:t>
        </w:r>
      </w:hyperlink>
      <w:r w:rsidRPr="002B2D17">
        <w:rPr>
          <w:rFonts w:ascii="Arial" w:hAnsi="Arial" w:cs="Arial"/>
        </w:rPr>
        <w:t xml:space="preserve"> (Accessed 2</w:t>
      </w:r>
      <w:r w:rsidRPr="002B2D17">
        <w:rPr>
          <w:rFonts w:ascii="Arial" w:hAnsi="Arial" w:cs="Arial"/>
          <w:vertAlign w:val="superscript"/>
        </w:rPr>
        <w:t>nd</w:t>
      </w:r>
      <w:r w:rsidRPr="002B2D17">
        <w:rPr>
          <w:rFonts w:ascii="Arial" w:hAnsi="Arial" w:cs="Arial"/>
        </w:rPr>
        <w:t xml:space="preserve"> April 2026.)</w:t>
      </w:r>
    </w:p>
    <w:sectPr w:rsidR="00190BA8" w:rsidRPr="000503B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AC970" w14:textId="77777777" w:rsidR="00097381" w:rsidRDefault="00097381" w:rsidP="009E002B">
      <w:pPr>
        <w:spacing w:after="0" w:line="240" w:lineRule="auto"/>
      </w:pPr>
      <w:r>
        <w:separator/>
      </w:r>
    </w:p>
  </w:endnote>
  <w:endnote w:type="continuationSeparator" w:id="0">
    <w:p w14:paraId="1EE11E5F" w14:textId="77777777" w:rsidR="00097381" w:rsidRDefault="00097381" w:rsidP="009E0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931673"/>
      <w:docPartObj>
        <w:docPartGallery w:val="Page Numbers (Bottom of Page)"/>
        <w:docPartUnique/>
      </w:docPartObj>
    </w:sdtPr>
    <w:sdtContent>
      <w:p w14:paraId="196DF3FE" w14:textId="785DE15D" w:rsidR="009E002B" w:rsidRDefault="009E002B">
        <w:pPr>
          <w:pStyle w:val="Footer"/>
        </w:pPr>
        <w:r>
          <w:fldChar w:fldCharType="begin"/>
        </w:r>
        <w:r>
          <w:instrText>PAGE   \* MERGEFORMAT</w:instrText>
        </w:r>
        <w:r>
          <w:fldChar w:fldCharType="separate"/>
        </w:r>
        <w:r>
          <w:t>2</w:t>
        </w:r>
        <w:r>
          <w:fldChar w:fldCharType="end"/>
        </w:r>
      </w:p>
    </w:sdtContent>
  </w:sdt>
  <w:p w14:paraId="4796D220" w14:textId="77777777" w:rsidR="009E002B" w:rsidRDefault="009E0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B4317" w14:textId="77777777" w:rsidR="00097381" w:rsidRDefault="00097381" w:rsidP="009E002B">
      <w:pPr>
        <w:spacing w:after="0" w:line="240" w:lineRule="auto"/>
      </w:pPr>
      <w:r>
        <w:separator/>
      </w:r>
    </w:p>
  </w:footnote>
  <w:footnote w:type="continuationSeparator" w:id="0">
    <w:p w14:paraId="6076552C" w14:textId="77777777" w:rsidR="00097381" w:rsidRDefault="00097381" w:rsidP="009E00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09EE" w14:textId="15BD00DB" w:rsidR="009E002B" w:rsidRDefault="00B309CC">
    <w:pPr>
      <w:pStyle w:val="Header"/>
    </w:pPr>
    <w:r>
      <w:t>ECEY6011</w:t>
    </w:r>
  </w:p>
  <w:p w14:paraId="581C0C08" w14:textId="4EF77037" w:rsidR="00B309CC" w:rsidRDefault="00B309CC">
    <w:pPr>
      <w:pStyle w:val="Header"/>
    </w:pPr>
    <w:r>
      <w:t>2418872</w:t>
    </w:r>
  </w:p>
  <w:p w14:paraId="0EB3EA98" w14:textId="77777777" w:rsidR="009E002B" w:rsidRDefault="009E00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72251"/>
    <w:multiLevelType w:val="multilevel"/>
    <w:tmpl w:val="618EE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550E2"/>
    <w:multiLevelType w:val="multilevel"/>
    <w:tmpl w:val="445C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487002">
    <w:abstractNumId w:val="0"/>
  </w:num>
  <w:num w:numId="2" w16cid:durableId="220487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3B8"/>
    <w:rsid w:val="0001160F"/>
    <w:rsid w:val="000131EA"/>
    <w:rsid w:val="00023B26"/>
    <w:rsid w:val="000503B8"/>
    <w:rsid w:val="0006144B"/>
    <w:rsid w:val="00063A99"/>
    <w:rsid w:val="000666E9"/>
    <w:rsid w:val="00097381"/>
    <w:rsid w:val="000A55AE"/>
    <w:rsid w:val="000B1929"/>
    <w:rsid w:val="000D2DE3"/>
    <w:rsid w:val="00102430"/>
    <w:rsid w:val="0013654F"/>
    <w:rsid w:val="00190BA8"/>
    <w:rsid w:val="001973D8"/>
    <w:rsid w:val="0020521D"/>
    <w:rsid w:val="002A287B"/>
    <w:rsid w:val="002B2D17"/>
    <w:rsid w:val="002C155F"/>
    <w:rsid w:val="003400B5"/>
    <w:rsid w:val="0035645A"/>
    <w:rsid w:val="00364B7F"/>
    <w:rsid w:val="004113AE"/>
    <w:rsid w:val="00416478"/>
    <w:rsid w:val="004342B6"/>
    <w:rsid w:val="0044076B"/>
    <w:rsid w:val="00481200"/>
    <w:rsid w:val="004915CC"/>
    <w:rsid w:val="00500AD6"/>
    <w:rsid w:val="005D7AF2"/>
    <w:rsid w:val="00656EF7"/>
    <w:rsid w:val="00693D4A"/>
    <w:rsid w:val="006E759A"/>
    <w:rsid w:val="00702DA5"/>
    <w:rsid w:val="00780F3D"/>
    <w:rsid w:val="007B1D36"/>
    <w:rsid w:val="007B7FAE"/>
    <w:rsid w:val="007D6686"/>
    <w:rsid w:val="00840131"/>
    <w:rsid w:val="00846A57"/>
    <w:rsid w:val="00872311"/>
    <w:rsid w:val="00895813"/>
    <w:rsid w:val="008B6395"/>
    <w:rsid w:val="008C16F7"/>
    <w:rsid w:val="008D257A"/>
    <w:rsid w:val="008D38E9"/>
    <w:rsid w:val="008E4326"/>
    <w:rsid w:val="008E5884"/>
    <w:rsid w:val="00910A45"/>
    <w:rsid w:val="0092318B"/>
    <w:rsid w:val="00930AB9"/>
    <w:rsid w:val="00990616"/>
    <w:rsid w:val="00995470"/>
    <w:rsid w:val="00997F05"/>
    <w:rsid w:val="009B4300"/>
    <w:rsid w:val="009B4734"/>
    <w:rsid w:val="009C6649"/>
    <w:rsid w:val="009E002B"/>
    <w:rsid w:val="00A30977"/>
    <w:rsid w:val="00AD326F"/>
    <w:rsid w:val="00B309CC"/>
    <w:rsid w:val="00B40EE1"/>
    <w:rsid w:val="00BB67FC"/>
    <w:rsid w:val="00C579CB"/>
    <w:rsid w:val="00CA2544"/>
    <w:rsid w:val="00CB5DF2"/>
    <w:rsid w:val="00CB625B"/>
    <w:rsid w:val="00D37D32"/>
    <w:rsid w:val="00D412B1"/>
    <w:rsid w:val="00D938A3"/>
    <w:rsid w:val="00DB7804"/>
    <w:rsid w:val="00DD70E7"/>
    <w:rsid w:val="00E02086"/>
    <w:rsid w:val="00E15090"/>
    <w:rsid w:val="00E262F3"/>
    <w:rsid w:val="00E35F84"/>
    <w:rsid w:val="00E71B0F"/>
    <w:rsid w:val="00E7431B"/>
    <w:rsid w:val="00E75E8A"/>
    <w:rsid w:val="00E92DBD"/>
    <w:rsid w:val="00E976A7"/>
    <w:rsid w:val="00ED4345"/>
    <w:rsid w:val="00EF230E"/>
    <w:rsid w:val="00F1400B"/>
    <w:rsid w:val="00F3614E"/>
    <w:rsid w:val="00F85C25"/>
    <w:rsid w:val="00F96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4A62B"/>
  <w15:chartTrackingRefBased/>
  <w15:docId w15:val="{F43D1091-7B5E-47CE-8D13-CAB0930B6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3B8"/>
    <w:rPr>
      <w:rFonts w:eastAsiaTheme="majorEastAsia" w:cstheme="majorBidi"/>
      <w:color w:val="272727" w:themeColor="text1" w:themeTint="D8"/>
    </w:rPr>
  </w:style>
  <w:style w:type="paragraph" w:styleId="Title">
    <w:name w:val="Title"/>
    <w:basedOn w:val="Normal"/>
    <w:next w:val="Normal"/>
    <w:link w:val="TitleChar"/>
    <w:uiPriority w:val="10"/>
    <w:qFormat/>
    <w:rsid w:val="00050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3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3B8"/>
    <w:pPr>
      <w:spacing w:before="160"/>
      <w:jc w:val="center"/>
    </w:pPr>
    <w:rPr>
      <w:i/>
      <w:iCs/>
      <w:color w:val="404040" w:themeColor="text1" w:themeTint="BF"/>
    </w:rPr>
  </w:style>
  <w:style w:type="character" w:customStyle="1" w:styleId="QuoteChar">
    <w:name w:val="Quote Char"/>
    <w:basedOn w:val="DefaultParagraphFont"/>
    <w:link w:val="Quote"/>
    <w:uiPriority w:val="29"/>
    <w:rsid w:val="000503B8"/>
    <w:rPr>
      <w:i/>
      <w:iCs/>
      <w:color w:val="404040" w:themeColor="text1" w:themeTint="BF"/>
    </w:rPr>
  </w:style>
  <w:style w:type="paragraph" w:styleId="ListParagraph">
    <w:name w:val="List Paragraph"/>
    <w:basedOn w:val="Normal"/>
    <w:uiPriority w:val="34"/>
    <w:qFormat/>
    <w:rsid w:val="000503B8"/>
    <w:pPr>
      <w:ind w:left="720"/>
      <w:contextualSpacing/>
    </w:pPr>
  </w:style>
  <w:style w:type="character" w:styleId="IntenseEmphasis">
    <w:name w:val="Intense Emphasis"/>
    <w:basedOn w:val="DefaultParagraphFont"/>
    <w:uiPriority w:val="21"/>
    <w:qFormat/>
    <w:rsid w:val="000503B8"/>
    <w:rPr>
      <w:i/>
      <w:iCs/>
      <w:color w:val="0F4761" w:themeColor="accent1" w:themeShade="BF"/>
    </w:rPr>
  </w:style>
  <w:style w:type="paragraph" w:styleId="IntenseQuote">
    <w:name w:val="Intense Quote"/>
    <w:basedOn w:val="Normal"/>
    <w:next w:val="Normal"/>
    <w:link w:val="IntenseQuoteChar"/>
    <w:uiPriority w:val="30"/>
    <w:qFormat/>
    <w:rsid w:val="00050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3B8"/>
    <w:rPr>
      <w:i/>
      <w:iCs/>
      <w:color w:val="0F4761" w:themeColor="accent1" w:themeShade="BF"/>
    </w:rPr>
  </w:style>
  <w:style w:type="character" w:styleId="IntenseReference">
    <w:name w:val="Intense Reference"/>
    <w:basedOn w:val="DefaultParagraphFont"/>
    <w:uiPriority w:val="32"/>
    <w:qFormat/>
    <w:rsid w:val="000503B8"/>
    <w:rPr>
      <w:b/>
      <w:bCs/>
      <w:smallCaps/>
      <w:color w:val="0F4761" w:themeColor="accent1" w:themeShade="BF"/>
      <w:spacing w:val="5"/>
    </w:rPr>
  </w:style>
  <w:style w:type="paragraph" w:styleId="NormalWeb">
    <w:name w:val="Normal (Web)"/>
    <w:basedOn w:val="Normal"/>
    <w:uiPriority w:val="99"/>
    <w:unhideWhenUsed/>
    <w:rsid w:val="00702D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0A55AE"/>
    <w:rPr>
      <w:color w:val="0000FF"/>
      <w:u w:val="single"/>
    </w:rPr>
  </w:style>
  <w:style w:type="paragraph" w:styleId="Header">
    <w:name w:val="header"/>
    <w:basedOn w:val="Normal"/>
    <w:link w:val="HeaderChar"/>
    <w:uiPriority w:val="99"/>
    <w:unhideWhenUsed/>
    <w:rsid w:val="009E0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02B"/>
  </w:style>
  <w:style w:type="paragraph" w:styleId="Footer">
    <w:name w:val="footer"/>
    <w:basedOn w:val="Normal"/>
    <w:link w:val="FooterChar"/>
    <w:uiPriority w:val="99"/>
    <w:unhideWhenUsed/>
    <w:rsid w:val="009E0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02B"/>
  </w:style>
  <w:style w:type="character" w:styleId="Emphasis">
    <w:name w:val="Emphasis"/>
    <w:basedOn w:val="DefaultParagraphFont"/>
    <w:uiPriority w:val="20"/>
    <w:qFormat/>
    <w:rsid w:val="00F140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p-content/uploads/2019/10/UNCRC_summary-1_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national-minimum-standards-regulated-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192</TotalTime>
  <Pages>7</Pages>
  <Words>2072</Words>
  <Characters>13249</Characters>
  <Application>Microsoft Office Word</Application>
  <DocSecurity>0</DocSecurity>
  <Lines>255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80</cp:revision>
  <dcterms:created xsi:type="dcterms:W3CDTF">2026-04-02T10:30:00Z</dcterms:created>
  <dcterms:modified xsi:type="dcterms:W3CDTF">2026-04-03T20:52:00Z</dcterms:modified>
</cp:coreProperties>
</file>