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00833" w14:textId="77777777" w:rsidR="00DE3157" w:rsidRDefault="00DE3157" w:rsidP="00DE3157">
      <w:pPr>
        <w:rPr>
          <w:rFonts w:cs="Arial"/>
          <w:color w:val="58595B"/>
          <w:sz w:val="36"/>
          <w:szCs w:val="36"/>
        </w:rPr>
      </w:pPr>
      <w:r>
        <w:rPr>
          <w:rFonts w:cs="Arial"/>
          <w:color w:val="58595B"/>
          <w:sz w:val="36"/>
          <w:szCs w:val="36"/>
        </w:rPr>
        <w:t>Qualification: CIPD Diploma in Applied Human Resources</w:t>
      </w:r>
    </w:p>
    <w:p w14:paraId="78277A5E" w14:textId="77777777" w:rsidR="00DE3157" w:rsidRDefault="00DE3157" w:rsidP="00DE3157">
      <w:pPr>
        <w:rPr>
          <w:rFonts w:cs="Arial"/>
          <w:color w:val="58595B"/>
          <w:sz w:val="36"/>
          <w:szCs w:val="36"/>
        </w:rPr>
      </w:pPr>
    </w:p>
    <w:p w14:paraId="1D8E734B" w14:textId="51FC8205" w:rsidR="00DE3157" w:rsidRDefault="00DE3157" w:rsidP="00DE3157">
      <w:pPr>
        <w:rPr>
          <w:rFonts w:cs="Arial"/>
          <w:color w:val="58595B"/>
          <w:sz w:val="36"/>
          <w:szCs w:val="36"/>
        </w:rPr>
      </w:pPr>
      <w:r>
        <w:rPr>
          <w:rFonts w:cs="Arial"/>
          <w:color w:val="58595B"/>
          <w:sz w:val="36"/>
          <w:szCs w:val="36"/>
        </w:rPr>
        <w:t>Module Name:</w:t>
      </w:r>
      <w:r>
        <w:rPr>
          <w:rFonts w:cs="Arial"/>
          <w:color w:val="58595B"/>
          <w:sz w:val="36"/>
          <w:szCs w:val="36"/>
        </w:rPr>
        <w:t xml:space="preserve"> Understanding the Management of Employment Relations</w:t>
      </w:r>
    </w:p>
    <w:p w14:paraId="7CE9C38F" w14:textId="77777777" w:rsidR="00DE3157" w:rsidRDefault="00DE3157" w:rsidP="00DE3157">
      <w:pPr>
        <w:rPr>
          <w:rFonts w:cs="Arial"/>
          <w:color w:val="58595B"/>
          <w:sz w:val="36"/>
          <w:szCs w:val="36"/>
        </w:rPr>
      </w:pPr>
    </w:p>
    <w:p w14:paraId="2F003172" w14:textId="6A25C961" w:rsidR="00DE3157" w:rsidRDefault="00DE3157" w:rsidP="00DE3157">
      <w:pPr>
        <w:rPr>
          <w:rFonts w:cs="Arial"/>
          <w:color w:val="58595B"/>
          <w:sz w:val="36"/>
          <w:szCs w:val="36"/>
        </w:rPr>
      </w:pPr>
      <w:r>
        <w:rPr>
          <w:rFonts w:cs="Arial"/>
          <w:color w:val="58595B"/>
          <w:sz w:val="36"/>
          <w:szCs w:val="36"/>
        </w:rPr>
        <w:t>Written responses</w:t>
      </w:r>
    </w:p>
    <w:p w14:paraId="3575BCDA" w14:textId="77777777" w:rsidR="00DE3157" w:rsidRDefault="00DE3157" w:rsidP="00DE3157">
      <w:pPr>
        <w:rPr>
          <w:rFonts w:cs="Arial"/>
          <w:color w:val="58595B"/>
          <w:sz w:val="36"/>
          <w:szCs w:val="36"/>
        </w:rPr>
      </w:pPr>
    </w:p>
    <w:p w14:paraId="00DADA41" w14:textId="3FB11A14" w:rsidR="00DE3157" w:rsidRDefault="00DE3157" w:rsidP="00DE3157">
      <w:pPr>
        <w:rPr>
          <w:rFonts w:cs="Arial"/>
          <w:color w:val="58595B"/>
          <w:sz w:val="36"/>
          <w:szCs w:val="36"/>
        </w:rPr>
      </w:pPr>
      <w:r>
        <w:rPr>
          <w:rFonts w:cs="Arial"/>
          <w:color w:val="58595B"/>
          <w:sz w:val="36"/>
          <w:szCs w:val="36"/>
        </w:rPr>
        <w:t>Word Count:</w:t>
      </w:r>
      <w:r>
        <w:rPr>
          <w:rFonts w:cs="Arial"/>
          <w:color w:val="58595B"/>
          <w:sz w:val="36"/>
          <w:szCs w:val="36"/>
        </w:rPr>
        <w:t xml:space="preserve"> 2989</w:t>
      </w:r>
    </w:p>
    <w:p w14:paraId="66F3A808" w14:textId="77777777" w:rsidR="00DE3157" w:rsidRDefault="00DE3157" w:rsidP="00DE3157">
      <w:pPr>
        <w:rPr>
          <w:rFonts w:cs="Arial"/>
          <w:color w:val="58595B"/>
          <w:sz w:val="36"/>
          <w:szCs w:val="36"/>
        </w:rPr>
      </w:pPr>
    </w:p>
    <w:p w14:paraId="2C82327F" w14:textId="77777777" w:rsidR="00DE3157" w:rsidRDefault="00DE3157" w:rsidP="00DE3157">
      <w:pPr>
        <w:rPr>
          <w:rFonts w:cs="Arial"/>
          <w:color w:val="58595B"/>
          <w:sz w:val="36"/>
          <w:szCs w:val="36"/>
        </w:rPr>
      </w:pPr>
    </w:p>
    <w:p w14:paraId="19D7ED2F" w14:textId="77777777" w:rsidR="00DE3157" w:rsidRDefault="00DE3157" w:rsidP="00DE3157">
      <w:pPr>
        <w:rPr>
          <w:rFonts w:cs="Arial"/>
          <w:color w:val="58595B"/>
          <w:sz w:val="36"/>
          <w:szCs w:val="36"/>
        </w:rPr>
      </w:pPr>
    </w:p>
    <w:p w14:paraId="0BB2DCA6" w14:textId="77777777" w:rsidR="00DE3157" w:rsidRDefault="00DE3157" w:rsidP="00DE3157">
      <w:pPr>
        <w:rPr>
          <w:rFonts w:cs="Arial"/>
          <w:color w:val="58595B"/>
          <w:sz w:val="36"/>
          <w:szCs w:val="36"/>
        </w:rPr>
      </w:pPr>
    </w:p>
    <w:p w14:paraId="67C78519" w14:textId="77777777" w:rsidR="00DE3157" w:rsidRDefault="00DE3157" w:rsidP="00DE3157">
      <w:pPr>
        <w:rPr>
          <w:rFonts w:cs="Arial"/>
          <w:color w:val="58595B"/>
          <w:sz w:val="36"/>
          <w:szCs w:val="36"/>
        </w:rPr>
      </w:pPr>
    </w:p>
    <w:p w14:paraId="6C4A0425" w14:textId="77777777" w:rsidR="00DE3157" w:rsidRDefault="00DE3157" w:rsidP="00DE3157">
      <w:pPr>
        <w:rPr>
          <w:rFonts w:cs="Arial"/>
          <w:color w:val="58595B"/>
          <w:sz w:val="36"/>
          <w:szCs w:val="36"/>
        </w:rPr>
      </w:pPr>
    </w:p>
    <w:p w14:paraId="6E8DE724" w14:textId="77777777" w:rsidR="00DE3157" w:rsidRDefault="00DE3157" w:rsidP="00DE3157">
      <w:pPr>
        <w:rPr>
          <w:rFonts w:cs="Arial"/>
          <w:color w:val="58595B"/>
          <w:sz w:val="36"/>
          <w:szCs w:val="36"/>
        </w:rPr>
      </w:pPr>
    </w:p>
    <w:p w14:paraId="54E938E7" w14:textId="3F859689" w:rsidR="00DE3157" w:rsidRDefault="00DE3157" w:rsidP="00DE3157">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r>
      <w:r>
        <w:rPr>
          <w:rFonts w:cs="Arial"/>
          <w:color w:val="58595B"/>
          <w:sz w:val="36"/>
          <w:szCs w:val="36"/>
        </w:rPr>
        <w:t>Tara Jeffreys</w:t>
      </w:r>
      <w:r>
        <w:rPr>
          <w:rFonts w:cs="Arial"/>
          <w:color w:val="58595B"/>
          <w:sz w:val="36"/>
          <w:szCs w:val="36"/>
        </w:rPr>
        <w:tab/>
      </w:r>
      <w:r>
        <w:rPr>
          <w:rFonts w:cs="Arial"/>
          <w:color w:val="58595B"/>
          <w:sz w:val="36"/>
          <w:szCs w:val="36"/>
        </w:rPr>
        <w:tab/>
      </w:r>
      <w:r>
        <w:rPr>
          <w:rFonts w:cs="Arial"/>
          <w:color w:val="58595B"/>
          <w:sz w:val="36"/>
          <w:szCs w:val="36"/>
        </w:rPr>
        <w:tab/>
      </w:r>
    </w:p>
    <w:p w14:paraId="1238D441" w14:textId="306E29A1" w:rsidR="00DE3157" w:rsidRDefault="00DE3157" w:rsidP="00DE3157">
      <w:pPr>
        <w:rPr>
          <w:rFonts w:cs="Arial"/>
          <w:color w:val="58595B"/>
          <w:sz w:val="36"/>
          <w:szCs w:val="36"/>
        </w:rPr>
      </w:pPr>
      <w:r>
        <w:rPr>
          <w:rFonts w:cs="Arial"/>
          <w:color w:val="58595B"/>
          <w:sz w:val="36"/>
          <w:szCs w:val="36"/>
        </w:rPr>
        <w:t>Student Number:</w:t>
      </w:r>
      <w:r>
        <w:rPr>
          <w:rFonts w:cs="Arial"/>
          <w:color w:val="58595B"/>
          <w:sz w:val="36"/>
          <w:szCs w:val="36"/>
        </w:rPr>
        <w:tab/>
      </w:r>
      <w:r>
        <w:rPr>
          <w:rFonts w:cs="Arial"/>
          <w:color w:val="58595B"/>
          <w:sz w:val="36"/>
          <w:szCs w:val="36"/>
        </w:rPr>
        <w:t>2005784</w:t>
      </w:r>
      <w:r>
        <w:rPr>
          <w:rFonts w:cs="Arial"/>
          <w:color w:val="58595B"/>
          <w:sz w:val="36"/>
          <w:szCs w:val="36"/>
        </w:rPr>
        <w:tab/>
      </w:r>
      <w:r>
        <w:rPr>
          <w:rFonts w:cs="Arial"/>
          <w:color w:val="58595B"/>
          <w:sz w:val="36"/>
          <w:szCs w:val="36"/>
        </w:rPr>
        <w:tab/>
      </w:r>
      <w:r>
        <w:rPr>
          <w:rFonts w:cs="Arial"/>
          <w:color w:val="58595B"/>
          <w:sz w:val="36"/>
          <w:szCs w:val="36"/>
        </w:rPr>
        <w:tab/>
      </w:r>
    </w:p>
    <w:p w14:paraId="29338F64" w14:textId="2DADE684" w:rsidR="00DE3157" w:rsidRDefault="00DE3157" w:rsidP="00DE3157">
      <w:pPr>
        <w:rPr>
          <w:rFonts w:cs="Arial"/>
          <w:color w:val="58595B"/>
          <w:sz w:val="36"/>
          <w:szCs w:val="36"/>
        </w:rPr>
      </w:pPr>
      <w:r>
        <w:rPr>
          <w:rFonts w:cs="Arial"/>
          <w:color w:val="58595B"/>
          <w:sz w:val="36"/>
          <w:szCs w:val="36"/>
        </w:rPr>
        <w:t>CIPD Membership Number:</w:t>
      </w:r>
      <w:r>
        <w:rPr>
          <w:rFonts w:cs="Arial"/>
          <w:color w:val="58595B"/>
          <w:sz w:val="36"/>
          <w:szCs w:val="36"/>
        </w:rPr>
        <w:t xml:space="preserve"> 80931290</w:t>
      </w:r>
      <w:r>
        <w:rPr>
          <w:rFonts w:cs="Arial"/>
          <w:color w:val="58595B"/>
          <w:sz w:val="36"/>
          <w:szCs w:val="36"/>
        </w:rPr>
        <w:tab/>
      </w:r>
    </w:p>
    <w:p w14:paraId="3A10B7A2" w14:textId="77777777" w:rsidR="00DE3157" w:rsidRDefault="00DE3157" w:rsidP="00DE3157">
      <w:pPr>
        <w:rPr>
          <w:rFonts w:cs="Arial"/>
          <w:color w:val="58595B"/>
          <w:sz w:val="36"/>
          <w:szCs w:val="36"/>
        </w:rPr>
      </w:pPr>
    </w:p>
    <w:p w14:paraId="2E61A68E" w14:textId="77777777" w:rsidR="00DE3157" w:rsidRDefault="00DE3157" w:rsidP="00DE3157">
      <w:pPr>
        <w:rPr>
          <w:rFonts w:cs="Arial"/>
          <w:color w:val="58595B"/>
          <w:sz w:val="36"/>
          <w:szCs w:val="36"/>
        </w:rPr>
      </w:pPr>
    </w:p>
    <w:p w14:paraId="733F7438" w14:textId="77777777" w:rsidR="00DE3157" w:rsidRDefault="00DE3157" w:rsidP="00DE3157">
      <w:pPr>
        <w:rPr>
          <w:rFonts w:cs="Arial"/>
          <w:color w:val="58595B"/>
          <w:sz w:val="36"/>
          <w:szCs w:val="36"/>
        </w:rPr>
      </w:pPr>
    </w:p>
    <w:p w14:paraId="645A71FE" w14:textId="77777777" w:rsidR="00DE3157" w:rsidRDefault="00DE3157" w:rsidP="00DE3157">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CD3FB9B" w14:textId="77777777" w:rsidR="00DE3157" w:rsidRDefault="00DE3157" w:rsidP="00DE3157">
      <w:pPr>
        <w:rPr>
          <w:rFonts w:cs="Arial"/>
          <w:color w:val="58595B"/>
          <w:sz w:val="36"/>
          <w:szCs w:val="36"/>
        </w:rPr>
      </w:pPr>
    </w:p>
    <w:p w14:paraId="6B685D72" w14:textId="77777777" w:rsidR="00DE3157" w:rsidRDefault="00DE3157" w:rsidP="00DE3157">
      <w:pPr>
        <w:rPr>
          <w:rFonts w:cs="Arial"/>
          <w:color w:val="58595B"/>
          <w:sz w:val="36"/>
          <w:szCs w:val="36"/>
        </w:rPr>
      </w:pPr>
    </w:p>
    <w:p w14:paraId="1DD5CD3C" w14:textId="77777777" w:rsidR="00DE3157" w:rsidRDefault="00DE3157" w:rsidP="00DE3157">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r>
    </w:p>
    <w:p w14:paraId="2E2F4326" w14:textId="77777777" w:rsidR="00DE3157" w:rsidRDefault="00DE3157" w:rsidP="00DE3157">
      <w:pPr>
        <w:rPr>
          <w:rFonts w:cs="Arial"/>
          <w:color w:val="58595B"/>
          <w:sz w:val="36"/>
          <w:szCs w:val="36"/>
        </w:rPr>
      </w:pPr>
      <w:r>
        <w:rPr>
          <w:rFonts w:cs="Arial"/>
          <w:color w:val="58595B"/>
          <w:sz w:val="36"/>
          <w:szCs w:val="36"/>
        </w:rPr>
        <w:t xml:space="preserve">Date: </w:t>
      </w:r>
    </w:p>
    <w:p w14:paraId="662FE62A" w14:textId="77777777" w:rsidR="00DE3157" w:rsidRDefault="00DE3157" w:rsidP="00DE3157"/>
    <w:p w14:paraId="569DBF89" w14:textId="77777777" w:rsidR="00DE3157" w:rsidRDefault="00DE3157" w:rsidP="00DE3157"/>
    <w:p w14:paraId="109DE488" w14:textId="5F14CA23" w:rsidR="00B4225C" w:rsidRDefault="00B4225C"/>
    <w:p w14:paraId="3B9B9621" w14:textId="5ADB3BAA" w:rsidR="00DE3157" w:rsidRDefault="00DE3157"/>
    <w:p w14:paraId="278CD422" w14:textId="60B2DAFD" w:rsidR="00DE3157" w:rsidRDefault="00DE3157"/>
    <w:p w14:paraId="4888166B" w14:textId="27D0E00A" w:rsidR="00DE3157" w:rsidRDefault="00DE3157"/>
    <w:p w14:paraId="132F98F5" w14:textId="240BA0C2" w:rsidR="00DE3157" w:rsidRDefault="00DE3157"/>
    <w:p w14:paraId="6D22FD54" w14:textId="725D6AF6" w:rsidR="00DE3157" w:rsidRPr="00DE3157" w:rsidRDefault="00DE3157">
      <w:pPr>
        <w:rPr>
          <w:rFonts w:cs="Arial"/>
        </w:rPr>
      </w:pPr>
    </w:p>
    <w:p w14:paraId="77782A6C" w14:textId="6F56FE5C" w:rsidR="00DE3157" w:rsidRPr="00DE3157" w:rsidRDefault="00DE3157" w:rsidP="00DE3157">
      <w:pPr>
        <w:suppressAutoHyphens w:val="0"/>
        <w:rPr>
          <w:rFonts w:eastAsia="Times New Roman" w:cs="Arial"/>
          <w:color w:val="auto"/>
          <w:sz w:val="24"/>
          <w:szCs w:val="24"/>
          <w:lang w:eastAsia="en-GB"/>
        </w:rPr>
      </w:pPr>
      <w:r>
        <w:rPr>
          <w:rFonts w:eastAsia="Times New Roman" w:cs="Arial"/>
          <w:color w:val="auto"/>
          <w:sz w:val="24"/>
          <w:szCs w:val="24"/>
          <w:lang w:eastAsia="en-GB"/>
        </w:rPr>
        <w:t>LO1</w:t>
      </w:r>
      <w:r w:rsidRPr="00DE3157">
        <w:rPr>
          <w:rFonts w:eastAsia="Times New Roman" w:cs="Arial"/>
          <w:color w:val="auto"/>
          <w:sz w:val="24"/>
          <w:szCs w:val="24"/>
          <w:lang w:eastAsia="en-GB"/>
        </w:rPr>
        <w:t xml:space="preserve"> Explain the concept of employment relations and what is meant by the term ‘the indeterminate nature of employment </w:t>
      </w:r>
      <w:r w:rsidRPr="00DE3157">
        <w:rPr>
          <w:rFonts w:eastAsia="Times New Roman" w:cs="Arial"/>
          <w:color w:val="auto"/>
          <w:sz w:val="24"/>
          <w:szCs w:val="24"/>
          <w:lang w:eastAsia="en-GB"/>
        </w:rPr>
        <w:t>relations</w:t>
      </w:r>
      <w:r w:rsidRPr="00DE3157">
        <w:rPr>
          <w:rFonts w:eastAsia="Times New Roman" w:cs="Arial"/>
          <w:color w:val="auto"/>
          <w:sz w:val="24"/>
          <w:szCs w:val="24"/>
          <w:lang w:eastAsia="en-GB"/>
        </w:rPr>
        <w:t>. Define and compare unitarist and pluralist approaches to employment relations.</w:t>
      </w:r>
    </w:p>
    <w:p w14:paraId="04DD4B7E" w14:textId="1A169FF2" w:rsidR="00DE3157" w:rsidRDefault="00DE3157"/>
    <w:p w14:paraId="7102C301" w14:textId="57235651" w:rsidR="00DE3157" w:rsidRDefault="00DE3157">
      <w:r>
        <w:t>1:1 Explain what is meant by the indeterminate nature of employment relations</w:t>
      </w:r>
    </w:p>
    <w:p w14:paraId="01B34190" w14:textId="7A5C3E32" w:rsidR="00DE3157" w:rsidRDefault="00DE3157"/>
    <w:p w14:paraId="3FCAF562" w14:textId="58BEC82D" w:rsidR="00DE3157" w:rsidRDefault="00DE3157">
      <w:r>
        <w:t>When looking at the term indeterminate nature of employment relations this refers to the uncertainty/vagueness where relationships between employers and employees are unequal (Colling &amp; Terry, 2010)</w:t>
      </w:r>
    </w:p>
    <w:p w14:paraId="11C74628" w14:textId="77777777" w:rsidR="00DE3157" w:rsidRDefault="00DE3157"/>
    <w:p w14:paraId="1F5DA5F0" w14:textId="4D3700CF" w:rsidR="00DE3157" w:rsidRDefault="00DE3157">
      <w:r>
        <w:t xml:space="preserve">According to Taylor and Woodhams there are 2 main definitions of employment relations, the first focuses on regulations and the second that focuses on relationships (Taylor &amp; Woodhams, 2016) </w:t>
      </w:r>
    </w:p>
    <w:p w14:paraId="36BFBE98" w14:textId="5ED9263B" w:rsidR="00DE3157" w:rsidRDefault="00DE3157">
      <w:r>
        <w:t>The regulatory focus definition is supported by Gennard and Judge “the purpose of employment relations is to establish rules, regulations and agreements to regulate the employment relationship” (Gennard &amp; Judge, 2010)</w:t>
      </w:r>
    </w:p>
    <w:p w14:paraId="701C35DA" w14:textId="2A124B0E" w:rsidR="00DE3157" w:rsidRDefault="00DE3157">
      <w:r>
        <w:t>The focus on relationships is supported by the CIPD, who state employment relations is the new term for the relationship between employers and employees, this replaced the traditional term industrial relations.  Employment relations refers to individual and collective workplace relationships.  The CIPD profession map recognises employee relations as an area of specialist knowledge, however there is a shift from ER being an HR led activity to an emphasis on line-managers building trust in workplace relationships, research shows that two of the skills that line managers have the most difficulty with is managing conflict and managing difficult conversations, the research shows organisations and HR have work to do to build line manager capability to support them with building effective employment relationships. (CIPD, 2013)</w:t>
      </w:r>
    </w:p>
    <w:p w14:paraId="1AD6105C" w14:textId="2F602FB2" w:rsidR="00DE3157" w:rsidRDefault="00DE3157">
      <w:r>
        <w:t>“Employee relations in contemporary organisations is about creating and sustaining effective employee relationships between employer and employees within the constraints and opportunities presented organisational contexts” (Ellis, 2016)</w:t>
      </w:r>
    </w:p>
    <w:p w14:paraId="707769F0" w14:textId="385DE327" w:rsidR="00DE3157" w:rsidRDefault="00DE3157">
      <w:r>
        <w:t>When looking at Ellis definition there are several factors that can influence employment relationships:</w:t>
      </w:r>
    </w:p>
    <w:p w14:paraId="04E027AA" w14:textId="154CB615" w:rsidR="00DE3157" w:rsidRDefault="00DE3157">
      <w:r>
        <w:t xml:space="preserve">Turbulent external factors – instability in economy </w:t>
      </w:r>
    </w:p>
    <w:p w14:paraId="6CD8692A" w14:textId="7553873A" w:rsidR="00DE3157" w:rsidRDefault="00DE3157">
      <w:r>
        <w:t>Power relations – the balance of power between employer and employee, how work lives are influenced (CIPD, 217)</w:t>
      </w:r>
    </w:p>
    <w:p w14:paraId="7F6F5E5F" w14:textId="1B85AF2D" w:rsidR="00DE3157" w:rsidRDefault="00DE3157">
      <w:r>
        <w:t>Shifting trends in the labour markets – globalisation, increase in women and aging workforce, reduction in union membership (CIPD,2013)</w:t>
      </w:r>
    </w:p>
    <w:p w14:paraId="3CBD631B" w14:textId="71242778" w:rsidR="00DE3157" w:rsidRDefault="00DE3157">
      <w:r>
        <w:t xml:space="preserve">Legal Framework – legislation covering individual and collective relationships </w:t>
      </w:r>
    </w:p>
    <w:p w14:paraId="53B28B0F" w14:textId="4CE8DDD1" w:rsidR="00DE3157" w:rsidRDefault="00DE3157">
      <w:r>
        <w:t xml:space="preserve">Covid 19 – amazon workers strike over coronavirus safety concerns </w:t>
      </w:r>
    </w:p>
    <w:p w14:paraId="17380D77" w14:textId="7ECBC089" w:rsidR="00DE3157" w:rsidRDefault="00DE3157">
      <w:r>
        <w:t>Social activism – employees taking to social media platforms when unhappy with workplace relationships</w:t>
      </w:r>
    </w:p>
    <w:p w14:paraId="16F3F191" w14:textId="1C927897" w:rsidR="00DE3157" w:rsidRDefault="00DE3157"/>
    <w:p w14:paraId="3A28EE48" w14:textId="77777777" w:rsidR="00DE3157" w:rsidRDefault="00DE3157"/>
    <w:p w14:paraId="009D1600" w14:textId="04421F72" w:rsidR="00DE3157" w:rsidRDefault="00DE3157">
      <w:r>
        <w:t>1:2 Compare unitarist and pluralist approaches to employment relations</w:t>
      </w:r>
    </w:p>
    <w:p w14:paraId="77BD1D58" w14:textId="77777777" w:rsidR="00DE3157" w:rsidRDefault="00DE3157"/>
    <w:p w14:paraId="66029DC4" w14:textId="3336C5FF" w:rsidR="00DE3157" w:rsidRDefault="00DE3157">
      <w:r>
        <w:t>According to Fox there are three main approaches to employment relations, Unitarist, pluralist and radical</w:t>
      </w:r>
    </w:p>
    <w:p w14:paraId="6F80DBE9" w14:textId="2D1BBD5E" w:rsidR="00DE3157" w:rsidRDefault="00DE3157"/>
    <w:p w14:paraId="1C3C977E" w14:textId="60518063" w:rsidR="00DE3157" w:rsidRDefault="00DE3157">
      <w:r>
        <w:t>Unitarist</w:t>
      </w:r>
    </w:p>
    <w:p w14:paraId="31B74CBA" w14:textId="5286E94E" w:rsidR="00DE3157" w:rsidRDefault="00DE3157">
      <w:r>
        <w:t xml:space="preserve">This approach relies on a shared interest between employer and employees, it is based in cooperation and a shared goal. The approach relied on collaborative working where the end results benefit both the organisation and employee. It is argued that this approach is not </w:t>
      </w:r>
      <w:r>
        <w:lastRenderedPageBreak/>
        <w:t>realistic as it denies conflict and sees it as dysfunctional, (Fox,1966) therefore should be suppressed through coercive means (Rose,2004)</w:t>
      </w:r>
    </w:p>
    <w:p w14:paraId="2B23ABE5" w14:textId="12862F95" w:rsidR="00DE3157" w:rsidRDefault="00DE3157"/>
    <w:p w14:paraId="40DC343B" w14:textId="4601881E" w:rsidR="00DE3157" w:rsidRDefault="00DE3157">
      <w:r>
        <w:t>Pluralist</w:t>
      </w:r>
    </w:p>
    <w:p w14:paraId="43CFC8AE" w14:textId="08AA9848" w:rsidR="00DE3157" w:rsidRDefault="00DE3157">
      <w:r>
        <w:t>While employees and employers may have common goals, they will have different demands (Fox 1966). The pluralist approach falls more in line with modern society, there is more of a focus on compromise and collective bargaining, this approach recognises that different subgroups will have different interests and that within each subgroup there will be its own source of loyalty. The pluralist recognises conflict as rational and inevitable (Rose 2004) trade unions are recognised as a legitimate employee representative and conflict is resolved through negotiation (</w:t>
      </w:r>
      <w:proofErr w:type="spellStart"/>
      <w:r>
        <w:t>Cradden</w:t>
      </w:r>
      <w:proofErr w:type="spellEnd"/>
      <w:r>
        <w:t>, 2011)</w:t>
      </w:r>
    </w:p>
    <w:p w14:paraId="13A0CAB1" w14:textId="1A8C952F" w:rsidR="00DE3157" w:rsidRDefault="00DE3157"/>
    <w:p w14:paraId="1E43FE59" w14:textId="23834302" w:rsidR="00DE3157" w:rsidRDefault="00DE3157">
      <w:r>
        <w:t>Radical</w:t>
      </w:r>
    </w:p>
    <w:p w14:paraId="7DAE7BEA" w14:textId="14035C0B" w:rsidR="00DE3157" w:rsidRDefault="00DE3157">
      <w:r>
        <w:t xml:space="preserve">This approach has a broader scope, it embraces social, political and economic structures of society, sometimes referred to as the </w:t>
      </w:r>
      <w:proofErr w:type="spellStart"/>
      <w:r>
        <w:t>marxist</w:t>
      </w:r>
      <w:proofErr w:type="spellEnd"/>
      <w:r>
        <w:t xml:space="preserve"> theory, there is a strict divide between employer and employee, therefore conflict is continuous and shows itself in the form of industrial action and other collective actions such as ‘work to rule’ or ‘go slows’. Trade unions are very active in protecting the interests of employees (wood &amp; Elliott, 1997)</w:t>
      </w:r>
    </w:p>
    <w:p w14:paraId="5FEEC745" w14:textId="665F8186" w:rsidR="00DE3157" w:rsidRDefault="00DE3157"/>
    <w:p w14:paraId="78F8DB40" w14:textId="22264962" w:rsidR="00DE3157" w:rsidRDefault="00DE3157">
      <w:r>
        <w:t>In addition to the traditional perspectives above there are two alternative views on employment relationships, economic exchange, and psychological contract.</w:t>
      </w:r>
    </w:p>
    <w:p w14:paraId="31DA06B9" w14:textId="77777777" w:rsidR="00DE3157" w:rsidRDefault="00DE3157"/>
    <w:p w14:paraId="5AD712C4" w14:textId="6FA21AED" w:rsidR="00DE3157" w:rsidRDefault="00DE3157">
      <w:r>
        <w:t>Economic exchange</w:t>
      </w:r>
    </w:p>
    <w:p w14:paraId="38EFDBC7" w14:textId="2696E717" w:rsidR="00DE3157" w:rsidRDefault="00DE3157">
      <w:r>
        <w:t xml:space="preserve">This view states that the employment relationship is based on a financial gain where the employee works for financial reward therefore works harder for more money, this view can be criticised for having </w:t>
      </w:r>
      <w:proofErr w:type="gramStart"/>
      <w:r>
        <w:t>too</w:t>
      </w:r>
      <w:proofErr w:type="gramEnd"/>
      <w:r>
        <w:t xml:space="preserve"> narrow a view point and does not take into consideration the other reasons an employee works such as job satisfaction and personal fulfilment. (</w:t>
      </w:r>
      <w:proofErr w:type="spellStart"/>
      <w:r>
        <w:t>Taylor&amp;Woodham</w:t>
      </w:r>
      <w:proofErr w:type="spellEnd"/>
      <w:r>
        <w:t>, 2016)</w:t>
      </w:r>
    </w:p>
    <w:p w14:paraId="484CDFCC" w14:textId="77777777" w:rsidR="00DE3157" w:rsidRDefault="00DE3157"/>
    <w:p w14:paraId="27F53C8D" w14:textId="5CF0A6C8" w:rsidR="00DE3157" w:rsidRDefault="00DE3157">
      <w:r>
        <w:t>Psychological contract</w:t>
      </w:r>
    </w:p>
    <w:p w14:paraId="173B3960" w14:textId="132BECFF" w:rsidR="00DE3157" w:rsidRDefault="00DE3157">
      <w:r>
        <w:t>This view has increased in popularity and is defined as ‘the perceptions of the two parties, employee and employer, of what their mutual obligations are towards each other’ (Guest and Conway, 2002) The view is based on perceived obligations such as pay, training and development.  When both parties meet obligations, this will result in positive behaviours and attitudes, however if the psychological contract is perceived to be breached it will result in negative behaviours and attitudes (Taylor and Woodham, 2016)</w:t>
      </w:r>
    </w:p>
    <w:p w14:paraId="0198E421" w14:textId="77777777" w:rsidR="00DE3157" w:rsidRDefault="00DE3157"/>
    <w:p w14:paraId="5AA1277A" w14:textId="77777777" w:rsidR="00DE3157" w:rsidRDefault="00DE3157">
      <w:pPr>
        <w:rPr>
          <w:color w:val="000000" w:themeColor="text1"/>
          <w:sz w:val="24"/>
          <w:szCs w:val="24"/>
        </w:rPr>
      </w:pPr>
    </w:p>
    <w:p w14:paraId="4FCF4EEB" w14:textId="77777777" w:rsidR="00DE3157" w:rsidRDefault="00DE3157">
      <w:pPr>
        <w:rPr>
          <w:color w:val="000000" w:themeColor="text1"/>
          <w:sz w:val="24"/>
          <w:szCs w:val="24"/>
        </w:rPr>
      </w:pPr>
    </w:p>
    <w:p w14:paraId="0906364A" w14:textId="77777777" w:rsidR="00DE3157" w:rsidRDefault="00DE3157">
      <w:pPr>
        <w:rPr>
          <w:color w:val="000000" w:themeColor="text1"/>
          <w:sz w:val="24"/>
          <w:szCs w:val="24"/>
        </w:rPr>
      </w:pPr>
    </w:p>
    <w:p w14:paraId="70DB1EB2" w14:textId="77777777" w:rsidR="00DE3157" w:rsidRDefault="00DE3157">
      <w:pPr>
        <w:rPr>
          <w:color w:val="000000" w:themeColor="text1"/>
          <w:sz w:val="24"/>
          <w:szCs w:val="24"/>
        </w:rPr>
      </w:pPr>
    </w:p>
    <w:p w14:paraId="1B7ECC5E" w14:textId="77777777" w:rsidR="00DE3157" w:rsidRDefault="00DE3157">
      <w:pPr>
        <w:rPr>
          <w:color w:val="000000" w:themeColor="text1"/>
          <w:sz w:val="24"/>
          <w:szCs w:val="24"/>
        </w:rPr>
      </w:pPr>
    </w:p>
    <w:p w14:paraId="58DC6EE3" w14:textId="77777777" w:rsidR="00DE3157" w:rsidRDefault="00DE3157">
      <w:pPr>
        <w:rPr>
          <w:color w:val="000000" w:themeColor="text1"/>
          <w:sz w:val="24"/>
          <w:szCs w:val="24"/>
        </w:rPr>
      </w:pPr>
    </w:p>
    <w:p w14:paraId="0383EFB6" w14:textId="77777777" w:rsidR="00DE3157" w:rsidRDefault="00DE3157">
      <w:pPr>
        <w:rPr>
          <w:color w:val="000000" w:themeColor="text1"/>
          <w:sz w:val="24"/>
          <w:szCs w:val="24"/>
        </w:rPr>
      </w:pPr>
    </w:p>
    <w:p w14:paraId="62EAD1EA" w14:textId="77777777" w:rsidR="00DE3157" w:rsidRDefault="00DE3157">
      <w:pPr>
        <w:rPr>
          <w:color w:val="000000" w:themeColor="text1"/>
          <w:sz w:val="24"/>
          <w:szCs w:val="24"/>
        </w:rPr>
      </w:pPr>
    </w:p>
    <w:p w14:paraId="10F90F1B" w14:textId="77777777" w:rsidR="00DE3157" w:rsidRDefault="00DE3157">
      <w:pPr>
        <w:rPr>
          <w:color w:val="000000" w:themeColor="text1"/>
          <w:sz w:val="24"/>
          <w:szCs w:val="24"/>
        </w:rPr>
      </w:pPr>
    </w:p>
    <w:p w14:paraId="538850C6" w14:textId="77777777" w:rsidR="00DE3157" w:rsidRDefault="00DE3157">
      <w:pPr>
        <w:rPr>
          <w:color w:val="000000" w:themeColor="text1"/>
          <w:sz w:val="24"/>
          <w:szCs w:val="24"/>
        </w:rPr>
      </w:pPr>
    </w:p>
    <w:p w14:paraId="33ADAA03" w14:textId="77777777" w:rsidR="00DE3157" w:rsidRDefault="00DE3157">
      <w:pPr>
        <w:rPr>
          <w:color w:val="000000" w:themeColor="text1"/>
          <w:sz w:val="24"/>
          <w:szCs w:val="24"/>
        </w:rPr>
      </w:pPr>
    </w:p>
    <w:p w14:paraId="092686C1" w14:textId="77777777" w:rsidR="00DE3157" w:rsidRDefault="00DE3157">
      <w:pPr>
        <w:rPr>
          <w:color w:val="000000" w:themeColor="text1"/>
          <w:sz w:val="24"/>
          <w:szCs w:val="24"/>
        </w:rPr>
      </w:pPr>
    </w:p>
    <w:p w14:paraId="441D0818" w14:textId="77777777" w:rsidR="00DE3157" w:rsidRDefault="00DE3157">
      <w:pPr>
        <w:rPr>
          <w:color w:val="000000" w:themeColor="text1"/>
          <w:sz w:val="24"/>
          <w:szCs w:val="24"/>
        </w:rPr>
      </w:pPr>
    </w:p>
    <w:p w14:paraId="402B8F1C" w14:textId="77777777" w:rsidR="00DE3157" w:rsidRDefault="00DE3157">
      <w:pPr>
        <w:rPr>
          <w:color w:val="000000" w:themeColor="text1"/>
          <w:sz w:val="24"/>
          <w:szCs w:val="24"/>
        </w:rPr>
      </w:pPr>
    </w:p>
    <w:p w14:paraId="30D04A2A" w14:textId="77777777" w:rsidR="00DE3157" w:rsidRDefault="00DE3157">
      <w:pPr>
        <w:rPr>
          <w:color w:val="000000" w:themeColor="text1"/>
          <w:sz w:val="24"/>
          <w:szCs w:val="24"/>
        </w:rPr>
      </w:pPr>
    </w:p>
    <w:p w14:paraId="7500562D" w14:textId="081A20EC" w:rsidR="00DE3157" w:rsidRPr="00DE3157" w:rsidRDefault="00DE3157">
      <w:pPr>
        <w:rPr>
          <w:color w:val="000000" w:themeColor="text1"/>
          <w:sz w:val="24"/>
          <w:szCs w:val="24"/>
        </w:rPr>
      </w:pPr>
      <w:r w:rsidRPr="00DE3157">
        <w:rPr>
          <w:color w:val="000000" w:themeColor="text1"/>
          <w:sz w:val="24"/>
          <w:szCs w:val="24"/>
        </w:rPr>
        <w:lastRenderedPageBreak/>
        <w:t>LO2 Explain the roles and typical approaches taken by the key parties in employment relations: trade unions, management, government, and its employment relations agencies such as ACAS</w:t>
      </w:r>
    </w:p>
    <w:p w14:paraId="658E2A3D" w14:textId="19F756EE" w:rsidR="00DE3157" w:rsidRDefault="00DE3157"/>
    <w:p w14:paraId="40CEAA19" w14:textId="3F095869" w:rsidR="00DE3157" w:rsidRDefault="00DE3157">
      <w:r>
        <w:t>2:1 Explain the purpose and key developments of the trade union movement</w:t>
      </w:r>
    </w:p>
    <w:p w14:paraId="6491891C" w14:textId="77777777" w:rsidR="00DE3157" w:rsidRDefault="00DE3157"/>
    <w:p w14:paraId="08F228A0" w14:textId="5AC41BD5" w:rsidR="00DE3157" w:rsidRDefault="00DE3157">
      <w:r>
        <w:t xml:space="preserve">Trade unions are a key party in employment relations. </w:t>
      </w:r>
    </w:p>
    <w:p w14:paraId="306C9711" w14:textId="54509F27" w:rsidR="00DE3157" w:rsidRDefault="00DE3157">
      <w:r>
        <w:t>Trade unions were legalised in Great Britain in 1871 with the introduction of the Trade Union act 1871, the trade unions movement led to the creation of the Labour Representation Committee in 1900 which formed the basis for the Labour Party we know today.</w:t>
      </w:r>
    </w:p>
    <w:p w14:paraId="33F6729C" w14:textId="1097A38A" w:rsidR="00DE3157" w:rsidRDefault="00DE3157"/>
    <w:p w14:paraId="2469A8F2" w14:textId="74C17490" w:rsidR="00DE3157" w:rsidRDefault="00DE3157">
      <w:r>
        <w:t>A trade union is a membership-based organisation which is usually made up of workers from a particular industry. “Workers of one or more description and whose principal purpose include regulation of relations between workers and employers “(trade unions and labour relation (consolidation) Act 1992)</w:t>
      </w:r>
    </w:p>
    <w:p w14:paraId="4FB98F05" w14:textId="79BDC692" w:rsidR="00DE3157" w:rsidRDefault="00DE3157">
      <w:r>
        <w:t>The purpose of a trade union is to represent its members either individually or collectively, to ensure fairness in the workplace, they can represent employees with workplace issues such as payment, disputes and working conditions. (NIdirect.gov)</w:t>
      </w:r>
    </w:p>
    <w:p w14:paraId="0077C2A8" w14:textId="0D736500" w:rsidR="00DE3157" w:rsidRDefault="00DE3157"/>
    <w:p w14:paraId="1EF66CCC" w14:textId="4EEDCDF7" w:rsidR="00DE3157" w:rsidRDefault="00DE3157">
      <w:r>
        <w:t>Since the government reform in the 1980’s trade union membership has seen a steady decline, some state this is down to the decline in manufacturing in the UK, however some state the decline is down to employers going non-union following the 1980’s (Bryson et al, 2004)</w:t>
      </w:r>
    </w:p>
    <w:p w14:paraId="2F9FDB05" w14:textId="22A20B96" w:rsidR="00DE3157" w:rsidRDefault="00DE3157"/>
    <w:p w14:paraId="3DA338E2" w14:textId="74CA9AFE" w:rsidR="00DE3157" w:rsidRDefault="00DE3157">
      <w:r>
        <w:t xml:space="preserve">Over the last 4 consecutive years however Trade union membership has seen an increase in numbers, the increase is being driven by the public sector, where 50% of workers are unionised, on the flipside of this there is a decline in the number of private sector memberships where only 13% of workers are unionised </w:t>
      </w:r>
    </w:p>
    <w:p w14:paraId="09D62E52" w14:textId="1BA8EF4C" w:rsidR="00DE3157" w:rsidRDefault="00DE3157">
      <w:r>
        <w:t>Covid 19 has highlighted poor working conditions and the trade unions have been influential in furlough schemes.  Trade unions are developing digitally and globalising to ensure unions can continue grow.</w:t>
      </w:r>
      <w:r w:rsidRPr="00DE3157">
        <w:t xml:space="preserve"> </w:t>
      </w:r>
      <w:r>
        <w:t>(</w:t>
      </w:r>
      <w:r>
        <w:t>Guardian, 20021)</w:t>
      </w:r>
    </w:p>
    <w:p w14:paraId="032901D1" w14:textId="77777777" w:rsidR="00DE3157" w:rsidRDefault="00DE3157"/>
    <w:p w14:paraId="0EFC248D" w14:textId="79AA2144" w:rsidR="00DE3157" w:rsidRDefault="00DE3157">
      <w:r>
        <w:t>2:2 Compare different management approaches to employment relations</w:t>
      </w:r>
    </w:p>
    <w:p w14:paraId="0ECB297D" w14:textId="23035696" w:rsidR="00DE3157" w:rsidRDefault="00DE3157"/>
    <w:p w14:paraId="521D787B" w14:textId="25CD6818" w:rsidR="00DE3157" w:rsidRDefault="00DE3157">
      <w:r>
        <w:t>When looking at employment relationships there are 3 main parties involved that can influence the employment relationships</w:t>
      </w:r>
    </w:p>
    <w:p w14:paraId="541F1BC3" w14:textId="77777777" w:rsidR="00DE3157" w:rsidRDefault="00DE3157"/>
    <w:p w14:paraId="61D42810" w14:textId="56A98AB1" w:rsidR="00DE3157" w:rsidRDefault="00DE3157" w:rsidP="00DE3157">
      <w:pPr>
        <w:pStyle w:val="ListParagraph"/>
        <w:numPr>
          <w:ilvl w:val="0"/>
          <w:numId w:val="1"/>
        </w:numPr>
      </w:pPr>
      <w:r>
        <w:t>Management</w:t>
      </w:r>
    </w:p>
    <w:p w14:paraId="413A7E05" w14:textId="1DD1FF76" w:rsidR="00DE3157" w:rsidRDefault="00DE3157" w:rsidP="00DE3157">
      <w:pPr>
        <w:pStyle w:val="ListParagraph"/>
        <w:numPr>
          <w:ilvl w:val="0"/>
          <w:numId w:val="1"/>
        </w:numPr>
      </w:pPr>
      <w:r>
        <w:t>Employees and their representatives (trade unions)</w:t>
      </w:r>
    </w:p>
    <w:p w14:paraId="1C421F0C" w14:textId="6A8BED47" w:rsidR="00DE3157" w:rsidRDefault="00DE3157" w:rsidP="00DE3157">
      <w:pPr>
        <w:pStyle w:val="ListParagraph"/>
        <w:numPr>
          <w:ilvl w:val="0"/>
          <w:numId w:val="1"/>
        </w:numPr>
      </w:pPr>
      <w:r>
        <w:t>The government and government agencies (Taylor and Woodhams, 2016)</w:t>
      </w:r>
    </w:p>
    <w:p w14:paraId="225FF590" w14:textId="0031C550" w:rsidR="00DE3157" w:rsidRDefault="00DE3157" w:rsidP="00DE3157">
      <w:r>
        <w:t xml:space="preserve">Management is a term used to refer to a process or system of authority based on power and a group of people, it can operate as an individual or a collective who have responsibility for the smooth running of the organisation. </w:t>
      </w:r>
    </w:p>
    <w:p w14:paraId="106B44EA" w14:textId="1B9C355F" w:rsidR="00DE3157" w:rsidRDefault="00DE3157" w:rsidP="00DE3157">
      <w:r>
        <w:t xml:space="preserve">Management has increased in influence within the employment relationship, and it is </w:t>
      </w:r>
      <w:proofErr w:type="gramStart"/>
      <w:r>
        <w:t>argues</w:t>
      </w:r>
      <w:proofErr w:type="gramEnd"/>
      <w:r>
        <w:t xml:space="preserve"> that management ‘has become the major force for change in the arrangements governing the employee relationship’ (Sisson,2010). This suggests the role of the line manager is more influential than governments and trade unions in the employment relationship.</w:t>
      </w:r>
    </w:p>
    <w:p w14:paraId="2584A26A" w14:textId="6C577048" w:rsidR="00DE3157" w:rsidRDefault="00DE3157" w:rsidP="00DE3157"/>
    <w:p w14:paraId="717B67B3" w14:textId="72E84FD4" w:rsidR="00DE3157" w:rsidRDefault="00DE3157" w:rsidP="00DE3157">
      <w:r>
        <w:t xml:space="preserve">The management style describes the approach taken by managers when having employee interactions, there are 3 main types of line managers </w:t>
      </w:r>
    </w:p>
    <w:p w14:paraId="554B6A21" w14:textId="3F45138B" w:rsidR="00DE3157" w:rsidRDefault="00DE3157" w:rsidP="00DE3157">
      <w:pPr>
        <w:pStyle w:val="ListParagraph"/>
        <w:numPr>
          <w:ilvl w:val="0"/>
          <w:numId w:val="2"/>
        </w:numPr>
      </w:pPr>
      <w:r>
        <w:t>Organisational Leader</w:t>
      </w:r>
    </w:p>
    <w:p w14:paraId="580B8C91" w14:textId="26B328B4" w:rsidR="00DE3157" w:rsidRDefault="00DE3157" w:rsidP="00DE3157">
      <w:pPr>
        <w:pStyle w:val="ListParagraph"/>
        <w:numPr>
          <w:ilvl w:val="0"/>
          <w:numId w:val="2"/>
        </w:numPr>
      </w:pPr>
      <w:r>
        <w:t>Policy enactor</w:t>
      </w:r>
    </w:p>
    <w:p w14:paraId="422D5875" w14:textId="1000EE22" w:rsidR="00DE3157" w:rsidRDefault="00DE3157" w:rsidP="00DE3157">
      <w:pPr>
        <w:pStyle w:val="ListParagraph"/>
        <w:numPr>
          <w:ilvl w:val="0"/>
          <w:numId w:val="2"/>
        </w:numPr>
      </w:pPr>
      <w:r>
        <w:t xml:space="preserve">Employee coach (Kilroy and </w:t>
      </w:r>
      <w:proofErr w:type="spellStart"/>
      <w:r>
        <w:t>Dundon</w:t>
      </w:r>
      <w:proofErr w:type="spellEnd"/>
      <w:r>
        <w:t>, 2015)</w:t>
      </w:r>
    </w:p>
    <w:p w14:paraId="07F18C20" w14:textId="52B8357B" w:rsidR="00DE3157" w:rsidRDefault="00DE3157"/>
    <w:p w14:paraId="7FE8A3D2" w14:textId="764D78FD" w:rsidR="00DE3157" w:rsidRDefault="00DE3157">
      <w:r>
        <w:lastRenderedPageBreak/>
        <w:t>Organisational Leader</w:t>
      </w:r>
    </w:p>
    <w:p w14:paraId="15277A79" w14:textId="2BF71500" w:rsidR="00DE3157" w:rsidRDefault="00DE3157">
      <w:r>
        <w:t xml:space="preserve">Of the 3 types of managers the organisational leader is the dominant type as identified by employees. This approach implements HR policies whilst considering employee experience. The approach is described as ‘a whole series of small actions which managers undertake </w:t>
      </w:r>
      <w:proofErr w:type="gramStart"/>
      <w:r>
        <w:t>on a daily basis</w:t>
      </w:r>
      <w:proofErr w:type="gramEnd"/>
      <w:r>
        <w:t xml:space="preserve"> that have a major impact on the employees experience of working life’ (Purcell et al, 2003)</w:t>
      </w:r>
    </w:p>
    <w:p w14:paraId="682F6EDA" w14:textId="7EBC81D9" w:rsidR="00DE3157" w:rsidRDefault="00DE3157"/>
    <w:p w14:paraId="20CE6E2D" w14:textId="0F7FB6BC" w:rsidR="00DE3157" w:rsidRDefault="00DE3157">
      <w:r>
        <w:t>Policy enactor</w:t>
      </w:r>
    </w:p>
    <w:p w14:paraId="31920F75" w14:textId="01A98E77" w:rsidR="00DE3157" w:rsidRDefault="00DE3157">
      <w:r>
        <w:t>This approach is very structed and rigid with the implementation of policies and procedures, based on a hierarchical structure, it demonstrates a culture of low trust / high control, this approach often sees the policy as being given as the reason for a course of action.</w:t>
      </w:r>
    </w:p>
    <w:p w14:paraId="61D556B1" w14:textId="163CB4ED" w:rsidR="00DE3157" w:rsidRDefault="00DE3157"/>
    <w:p w14:paraId="31F59BB9" w14:textId="2E22F346" w:rsidR="00DE3157" w:rsidRDefault="00DE3157">
      <w:r>
        <w:t>Employee Coach</w:t>
      </w:r>
    </w:p>
    <w:p w14:paraId="56FB83CC" w14:textId="4C8CB961" w:rsidR="00DE3157" w:rsidRDefault="00DE3157">
      <w:r>
        <w:t>This approach implements policy and procedure based on individual needs of the employee and the situation, this approach encourages colleague engagement and commitment, this style sees the use of formal procedures such as disciplinary as a failure of their management style.</w:t>
      </w:r>
    </w:p>
    <w:p w14:paraId="32A7125D" w14:textId="4E783CEC" w:rsidR="00DE3157" w:rsidRDefault="00DE3157"/>
    <w:p w14:paraId="75C5F9FB" w14:textId="4DB08E7C" w:rsidR="00DE3157" w:rsidRDefault="00DE3157">
      <w:r>
        <w:t xml:space="preserve">The 3 approaches above can be used as a tool by managers to help explore different approaches however there has been an increase in management styles being identified which could lead to confusion for line managers.  Managers </w:t>
      </w:r>
      <w:proofErr w:type="gramStart"/>
      <w:r>
        <w:t>are able to</w:t>
      </w:r>
      <w:proofErr w:type="gramEnd"/>
      <w:r>
        <w:t xml:space="preserve"> shift between styles and adapt their approach depending on the employee and situation. (Taylor and Woodham, 2016)</w:t>
      </w:r>
    </w:p>
    <w:p w14:paraId="0957197F" w14:textId="6D79C692" w:rsidR="00DE3157" w:rsidRDefault="00DE3157"/>
    <w:p w14:paraId="73C3BA09" w14:textId="77777777" w:rsidR="00DE3157" w:rsidRDefault="00DE3157"/>
    <w:p w14:paraId="509243B7" w14:textId="77777777" w:rsidR="00DE3157" w:rsidRDefault="00DE3157"/>
    <w:p w14:paraId="0E0C68D6" w14:textId="36C4D3CC" w:rsidR="00DE3157" w:rsidRDefault="00DE3157">
      <w:r>
        <w:t>2:3 Explain the role of UK and EU governments and the principal employment relations agencies of the state</w:t>
      </w:r>
    </w:p>
    <w:p w14:paraId="37FDFB92" w14:textId="25A8EE4D" w:rsidR="00DE3157" w:rsidRDefault="00DE3157"/>
    <w:p w14:paraId="5CCAC6C7" w14:textId="1DA560FA" w:rsidR="00DE3157" w:rsidRDefault="00DE3157">
      <w:r>
        <w:t>The term Government is made up of the current conservative government and government agencies such as Advisory, Conciliation and Arbitration services (ACAS) and Equality and Human Rights Commission (EHRC).  The government has a significant impact on employment relations through its role as an employer, legislator and through its agencies that focus on improving employment relationships by offering guidance and best practice.</w:t>
      </w:r>
    </w:p>
    <w:p w14:paraId="6C862AAA" w14:textId="721F9F69" w:rsidR="00DE3157" w:rsidRDefault="00DE3157"/>
    <w:p w14:paraId="42336F76" w14:textId="79FE2F2D" w:rsidR="00DE3157" w:rsidRDefault="00DE3157">
      <w:r>
        <w:t>The Government the legislator</w:t>
      </w:r>
    </w:p>
    <w:p w14:paraId="2764C976" w14:textId="4FE05894" w:rsidR="00DE3157" w:rsidRDefault="00DE3157">
      <w:r>
        <w:t xml:space="preserve">The government affects the employment relationship through legislation that is derived from UK parliament and the European Union. </w:t>
      </w:r>
      <w:proofErr w:type="gramStart"/>
      <w:r>
        <w:t>In an attempt to</w:t>
      </w:r>
      <w:proofErr w:type="gramEnd"/>
      <w:r>
        <w:t xml:space="preserve"> regulate the flow of changes being introduced the UK government introduces changes on 6</w:t>
      </w:r>
      <w:r w:rsidRPr="00DE3157">
        <w:rPr>
          <w:vertAlign w:val="superscript"/>
        </w:rPr>
        <w:t>th</w:t>
      </w:r>
      <w:r>
        <w:t xml:space="preserve"> April and 1 October. (Taylor and Woodham, 2016) With the UK leaving the EU through Brexit employment laws derived from EU directives would need to be repealed or amended as they have been passed as UK law, </w:t>
      </w:r>
      <w:proofErr w:type="gramStart"/>
      <w:r>
        <w:t>In</w:t>
      </w:r>
      <w:proofErr w:type="gramEnd"/>
      <w:r>
        <w:t xml:space="preserve"> summary from the 31 December 2020 the European Court of Justice (ECJ) will no longer have a constitutional role in the UK, however any findings from the ECJ will still have “persuasive precent’ as opposed to previous ‘binding precedent’. (CIPD, 2021)</w:t>
      </w:r>
    </w:p>
    <w:p w14:paraId="6EF147F3" w14:textId="396227B2" w:rsidR="00DE3157" w:rsidRDefault="00DE3157"/>
    <w:p w14:paraId="0599993B" w14:textId="10CC3387" w:rsidR="00DE3157" w:rsidRDefault="00DE3157">
      <w:r>
        <w:t>The Government the employer</w:t>
      </w:r>
    </w:p>
    <w:p w14:paraId="04E17B98" w14:textId="0366774C" w:rsidR="00DE3157" w:rsidRDefault="00DE3157">
      <w:r>
        <w:t>The government is a major employer in the UK due to the size of the public sector which includes central and local governments and NHS trusts. The government employs 5.7 million people, 16.5% of the employed population are employed by the government (ONS,2021)</w:t>
      </w:r>
    </w:p>
    <w:p w14:paraId="0CFB5682" w14:textId="6CB3017A" w:rsidR="00DE3157" w:rsidRDefault="00DE3157">
      <w:r>
        <w:t xml:space="preserve">The government can impact employment relationship as a major employer to demonstrate best practice in </w:t>
      </w:r>
      <w:proofErr w:type="spellStart"/>
      <w:proofErr w:type="gramStart"/>
      <w:r>
        <w:t>it’s</w:t>
      </w:r>
      <w:proofErr w:type="spellEnd"/>
      <w:proofErr w:type="gramEnd"/>
      <w:r>
        <w:t xml:space="preserve"> own employment relationships. Traditionally the public sector was seen as a model employer in terms of job security, pay levels and pension schemes in comparison to the private sector.  Recent years has seen a change in the model employer status where governments have looked to the public sector for inspiration in employment relationships </w:t>
      </w:r>
      <w:proofErr w:type="gramStart"/>
      <w:r>
        <w:t>in an attempt to</w:t>
      </w:r>
      <w:proofErr w:type="gramEnd"/>
      <w:r>
        <w:t xml:space="preserve"> save costs and improve productivity through performance </w:t>
      </w:r>
      <w:r>
        <w:lastRenderedPageBreak/>
        <w:t>related pay. The introduction of austerity measures has had a negative impact on the employment relationship with public sector workers. (Taylor and Woodham, 2016)</w:t>
      </w:r>
    </w:p>
    <w:p w14:paraId="2A4C8BC0" w14:textId="559A03EA" w:rsidR="00DE3157" w:rsidRDefault="00DE3157"/>
    <w:p w14:paraId="10950692" w14:textId="06899967" w:rsidR="00DE3157" w:rsidRDefault="00DE3157">
      <w:r>
        <w:t>The principal employment agencies of the state</w:t>
      </w:r>
    </w:p>
    <w:p w14:paraId="67CEC5FA" w14:textId="4A1319BD" w:rsidR="00DE3157" w:rsidRDefault="00DE3157">
      <w:r>
        <w:t>ACAS ‘work with millions of employers and employees every year to improve workplace relationships. We’re an independent public body that receives funding from the government’ (ACAS) ACAS provide advice, information and training to help resolve workplace disputes, from 2014 the government introduced a requirement for all workplace issues to be lodged with ACAS prior to placing a claim through the employment tribunal. (Taylor and Woodham, 2016)</w:t>
      </w:r>
    </w:p>
    <w:p w14:paraId="59CF3E80" w14:textId="0137C3A6" w:rsidR="00DE3157" w:rsidRDefault="00DE3157">
      <w:r>
        <w:t>EHRC – Equality and Human Rights Commission was established in 2010 by the Equality Act 2006, it is made from combining three previous equality organisations, CRE Commission for racial equality, DRC disability rights commission and EOC equal opportunities commission, the EHRC job is ‘to help make Britain fairer, by safeguarding and enforcing laws that protect people’s right to fairness, dignity and respect” (EHRC) The EHRC influences the management of employment relationships to support the delivery of the governments equality commitments the aims of the agency are to enforce discrimination legislation and promote equal opportunities in society. (Taylor and Woodham,2016)</w:t>
      </w:r>
    </w:p>
    <w:p w14:paraId="0EAF5169" w14:textId="0627CADB" w:rsidR="00DE3157" w:rsidRDefault="00DE3157">
      <w:pPr>
        <w:rPr>
          <w:rFonts w:cs="Arial"/>
        </w:rPr>
      </w:pPr>
    </w:p>
    <w:p w14:paraId="3F9DDF64" w14:textId="268FE322" w:rsidR="00DE3157" w:rsidRDefault="00DE3157">
      <w:pPr>
        <w:rPr>
          <w:rFonts w:cs="Arial"/>
        </w:rPr>
      </w:pPr>
    </w:p>
    <w:p w14:paraId="79096717" w14:textId="77777777" w:rsidR="00DE3157" w:rsidRPr="00DE3157" w:rsidRDefault="00DE3157">
      <w:pPr>
        <w:rPr>
          <w:rFonts w:cs="Arial"/>
        </w:rPr>
      </w:pPr>
    </w:p>
    <w:p w14:paraId="6E977DEB" w14:textId="77777777" w:rsidR="00DE3157" w:rsidRDefault="00DE3157" w:rsidP="00DE3157">
      <w:pPr>
        <w:suppressAutoHyphens w:val="0"/>
        <w:rPr>
          <w:rFonts w:eastAsia="Times New Roman" w:cs="Arial"/>
          <w:color w:val="auto"/>
          <w:sz w:val="24"/>
          <w:szCs w:val="24"/>
          <w:lang w:eastAsia="en-GB"/>
        </w:rPr>
      </w:pPr>
    </w:p>
    <w:p w14:paraId="0F4AE459" w14:textId="77777777" w:rsidR="00DE3157" w:rsidRDefault="00DE3157" w:rsidP="00DE3157">
      <w:pPr>
        <w:suppressAutoHyphens w:val="0"/>
        <w:rPr>
          <w:rFonts w:eastAsia="Times New Roman" w:cs="Arial"/>
          <w:color w:val="auto"/>
          <w:sz w:val="24"/>
          <w:szCs w:val="24"/>
          <w:lang w:eastAsia="en-GB"/>
        </w:rPr>
      </w:pPr>
    </w:p>
    <w:p w14:paraId="395FFCA3" w14:textId="77777777" w:rsidR="00DE3157" w:rsidRDefault="00DE3157" w:rsidP="00DE3157">
      <w:pPr>
        <w:suppressAutoHyphens w:val="0"/>
        <w:rPr>
          <w:rFonts w:eastAsia="Times New Roman" w:cs="Arial"/>
          <w:color w:val="auto"/>
          <w:sz w:val="24"/>
          <w:szCs w:val="24"/>
          <w:lang w:eastAsia="en-GB"/>
        </w:rPr>
      </w:pPr>
    </w:p>
    <w:p w14:paraId="6F4A1DB6" w14:textId="77777777" w:rsidR="00DE3157" w:rsidRDefault="00DE3157" w:rsidP="00DE3157">
      <w:pPr>
        <w:suppressAutoHyphens w:val="0"/>
        <w:rPr>
          <w:rFonts w:eastAsia="Times New Roman" w:cs="Arial"/>
          <w:color w:val="auto"/>
          <w:sz w:val="24"/>
          <w:szCs w:val="24"/>
          <w:lang w:eastAsia="en-GB"/>
        </w:rPr>
      </w:pPr>
    </w:p>
    <w:p w14:paraId="2AE9DA4E" w14:textId="77777777" w:rsidR="00DE3157" w:rsidRDefault="00DE3157" w:rsidP="00DE3157">
      <w:pPr>
        <w:suppressAutoHyphens w:val="0"/>
        <w:rPr>
          <w:rFonts w:eastAsia="Times New Roman" w:cs="Arial"/>
          <w:color w:val="auto"/>
          <w:sz w:val="24"/>
          <w:szCs w:val="24"/>
          <w:lang w:eastAsia="en-GB"/>
        </w:rPr>
      </w:pPr>
    </w:p>
    <w:p w14:paraId="119B2378" w14:textId="77777777" w:rsidR="00DE3157" w:rsidRDefault="00DE3157" w:rsidP="00DE3157">
      <w:pPr>
        <w:suppressAutoHyphens w:val="0"/>
        <w:rPr>
          <w:rFonts w:eastAsia="Times New Roman" w:cs="Arial"/>
          <w:color w:val="auto"/>
          <w:sz w:val="24"/>
          <w:szCs w:val="24"/>
          <w:lang w:eastAsia="en-GB"/>
        </w:rPr>
      </w:pPr>
    </w:p>
    <w:p w14:paraId="7A6782A2" w14:textId="77777777" w:rsidR="00DE3157" w:rsidRDefault="00DE3157" w:rsidP="00DE3157">
      <w:pPr>
        <w:suppressAutoHyphens w:val="0"/>
        <w:rPr>
          <w:rFonts w:eastAsia="Times New Roman" w:cs="Arial"/>
          <w:color w:val="auto"/>
          <w:sz w:val="24"/>
          <w:szCs w:val="24"/>
          <w:lang w:eastAsia="en-GB"/>
        </w:rPr>
      </w:pPr>
    </w:p>
    <w:p w14:paraId="0243805B" w14:textId="77777777" w:rsidR="00DE3157" w:rsidRDefault="00DE3157" w:rsidP="00DE3157">
      <w:pPr>
        <w:suppressAutoHyphens w:val="0"/>
        <w:rPr>
          <w:rFonts w:eastAsia="Times New Roman" w:cs="Arial"/>
          <w:color w:val="auto"/>
          <w:sz w:val="24"/>
          <w:szCs w:val="24"/>
          <w:lang w:eastAsia="en-GB"/>
        </w:rPr>
      </w:pPr>
    </w:p>
    <w:p w14:paraId="76FC2E34" w14:textId="77777777" w:rsidR="00DE3157" w:rsidRDefault="00DE3157" w:rsidP="00DE3157">
      <w:pPr>
        <w:suppressAutoHyphens w:val="0"/>
        <w:rPr>
          <w:rFonts w:eastAsia="Times New Roman" w:cs="Arial"/>
          <w:color w:val="auto"/>
          <w:sz w:val="24"/>
          <w:szCs w:val="24"/>
          <w:lang w:eastAsia="en-GB"/>
        </w:rPr>
      </w:pPr>
    </w:p>
    <w:p w14:paraId="70D0A8D4" w14:textId="77777777" w:rsidR="00DE3157" w:rsidRDefault="00DE3157" w:rsidP="00DE3157">
      <w:pPr>
        <w:suppressAutoHyphens w:val="0"/>
        <w:rPr>
          <w:rFonts w:eastAsia="Times New Roman" w:cs="Arial"/>
          <w:color w:val="auto"/>
          <w:sz w:val="24"/>
          <w:szCs w:val="24"/>
          <w:lang w:eastAsia="en-GB"/>
        </w:rPr>
      </w:pPr>
    </w:p>
    <w:p w14:paraId="16C916A6" w14:textId="77777777" w:rsidR="00DE3157" w:rsidRDefault="00DE3157" w:rsidP="00DE3157">
      <w:pPr>
        <w:suppressAutoHyphens w:val="0"/>
        <w:rPr>
          <w:rFonts w:eastAsia="Times New Roman" w:cs="Arial"/>
          <w:color w:val="auto"/>
          <w:sz w:val="24"/>
          <w:szCs w:val="24"/>
          <w:lang w:eastAsia="en-GB"/>
        </w:rPr>
      </w:pPr>
    </w:p>
    <w:p w14:paraId="50A381BB" w14:textId="77777777" w:rsidR="00DE3157" w:rsidRDefault="00DE3157" w:rsidP="00DE3157">
      <w:pPr>
        <w:suppressAutoHyphens w:val="0"/>
        <w:rPr>
          <w:rFonts w:eastAsia="Times New Roman" w:cs="Arial"/>
          <w:color w:val="auto"/>
          <w:sz w:val="24"/>
          <w:szCs w:val="24"/>
          <w:lang w:eastAsia="en-GB"/>
        </w:rPr>
      </w:pPr>
    </w:p>
    <w:p w14:paraId="5002A65E" w14:textId="77777777" w:rsidR="00DE3157" w:rsidRDefault="00DE3157" w:rsidP="00DE3157">
      <w:pPr>
        <w:suppressAutoHyphens w:val="0"/>
        <w:rPr>
          <w:rFonts w:eastAsia="Times New Roman" w:cs="Arial"/>
          <w:color w:val="auto"/>
          <w:sz w:val="24"/>
          <w:szCs w:val="24"/>
          <w:lang w:eastAsia="en-GB"/>
        </w:rPr>
      </w:pPr>
    </w:p>
    <w:p w14:paraId="15D5708A" w14:textId="77777777" w:rsidR="00DE3157" w:rsidRDefault="00DE3157" w:rsidP="00DE3157">
      <w:pPr>
        <w:suppressAutoHyphens w:val="0"/>
        <w:rPr>
          <w:rFonts w:eastAsia="Times New Roman" w:cs="Arial"/>
          <w:color w:val="auto"/>
          <w:sz w:val="24"/>
          <w:szCs w:val="24"/>
          <w:lang w:eastAsia="en-GB"/>
        </w:rPr>
      </w:pPr>
    </w:p>
    <w:p w14:paraId="34E0A8F9" w14:textId="77777777" w:rsidR="00DE3157" w:rsidRDefault="00DE3157" w:rsidP="00DE3157">
      <w:pPr>
        <w:suppressAutoHyphens w:val="0"/>
        <w:rPr>
          <w:rFonts w:eastAsia="Times New Roman" w:cs="Arial"/>
          <w:color w:val="auto"/>
          <w:sz w:val="24"/>
          <w:szCs w:val="24"/>
          <w:lang w:eastAsia="en-GB"/>
        </w:rPr>
      </w:pPr>
    </w:p>
    <w:p w14:paraId="238CA6BA" w14:textId="77777777" w:rsidR="00DE3157" w:rsidRDefault="00DE3157" w:rsidP="00DE3157">
      <w:pPr>
        <w:suppressAutoHyphens w:val="0"/>
        <w:rPr>
          <w:rFonts w:eastAsia="Times New Roman" w:cs="Arial"/>
          <w:color w:val="auto"/>
          <w:sz w:val="24"/>
          <w:szCs w:val="24"/>
          <w:lang w:eastAsia="en-GB"/>
        </w:rPr>
      </w:pPr>
    </w:p>
    <w:p w14:paraId="1CED093E" w14:textId="77777777" w:rsidR="00DE3157" w:rsidRDefault="00DE3157" w:rsidP="00DE3157">
      <w:pPr>
        <w:suppressAutoHyphens w:val="0"/>
        <w:rPr>
          <w:rFonts w:eastAsia="Times New Roman" w:cs="Arial"/>
          <w:color w:val="auto"/>
          <w:sz w:val="24"/>
          <w:szCs w:val="24"/>
          <w:lang w:eastAsia="en-GB"/>
        </w:rPr>
      </w:pPr>
    </w:p>
    <w:p w14:paraId="261F9EE7" w14:textId="77777777" w:rsidR="00DE3157" w:rsidRDefault="00DE3157" w:rsidP="00DE3157">
      <w:pPr>
        <w:suppressAutoHyphens w:val="0"/>
        <w:rPr>
          <w:rFonts w:eastAsia="Times New Roman" w:cs="Arial"/>
          <w:color w:val="auto"/>
          <w:sz w:val="24"/>
          <w:szCs w:val="24"/>
          <w:lang w:eastAsia="en-GB"/>
        </w:rPr>
      </w:pPr>
    </w:p>
    <w:p w14:paraId="2B77BC18" w14:textId="77777777" w:rsidR="00DE3157" w:rsidRDefault="00DE3157" w:rsidP="00DE3157">
      <w:pPr>
        <w:suppressAutoHyphens w:val="0"/>
        <w:rPr>
          <w:rFonts w:eastAsia="Times New Roman" w:cs="Arial"/>
          <w:color w:val="auto"/>
          <w:sz w:val="24"/>
          <w:szCs w:val="24"/>
          <w:lang w:eastAsia="en-GB"/>
        </w:rPr>
      </w:pPr>
    </w:p>
    <w:p w14:paraId="2BBC66C9" w14:textId="77777777" w:rsidR="00DE3157" w:rsidRDefault="00DE3157" w:rsidP="00DE3157">
      <w:pPr>
        <w:suppressAutoHyphens w:val="0"/>
        <w:rPr>
          <w:rFonts w:eastAsia="Times New Roman" w:cs="Arial"/>
          <w:color w:val="auto"/>
          <w:sz w:val="24"/>
          <w:szCs w:val="24"/>
          <w:lang w:eastAsia="en-GB"/>
        </w:rPr>
      </w:pPr>
    </w:p>
    <w:p w14:paraId="6291DA91" w14:textId="77777777" w:rsidR="00DE3157" w:rsidRDefault="00DE3157" w:rsidP="00DE3157">
      <w:pPr>
        <w:suppressAutoHyphens w:val="0"/>
        <w:rPr>
          <w:rFonts w:eastAsia="Times New Roman" w:cs="Arial"/>
          <w:color w:val="auto"/>
          <w:sz w:val="24"/>
          <w:szCs w:val="24"/>
          <w:lang w:eastAsia="en-GB"/>
        </w:rPr>
      </w:pPr>
    </w:p>
    <w:p w14:paraId="53C4E91A" w14:textId="77777777" w:rsidR="00DE3157" w:rsidRDefault="00DE3157" w:rsidP="00DE3157">
      <w:pPr>
        <w:suppressAutoHyphens w:val="0"/>
        <w:rPr>
          <w:rFonts w:eastAsia="Times New Roman" w:cs="Arial"/>
          <w:color w:val="auto"/>
          <w:sz w:val="24"/>
          <w:szCs w:val="24"/>
          <w:lang w:eastAsia="en-GB"/>
        </w:rPr>
      </w:pPr>
    </w:p>
    <w:p w14:paraId="6CD02C07" w14:textId="77777777" w:rsidR="00DE3157" w:rsidRDefault="00DE3157" w:rsidP="00DE3157">
      <w:pPr>
        <w:suppressAutoHyphens w:val="0"/>
        <w:rPr>
          <w:rFonts w:eastAsia="Times New Roman" w:cs="Arial"/>
          <w:color w:val="auto"/>
          <w:sz w:val="24"/>
          <w:szCs w:val="24"/>
          <w:lang w:eastAsia="en-GB"/>
        </w:rPr>
      </w:pPr>
    </w:p>
    <w:p w14:paraId="78CC5B33" w14:textId="77777777" w:rsidR="00DE3157" w:rsidRDefault="00DE3157" w:rsidP="00DE3157">
      <w:pPr>
        <w:suppressAutoHyphens w:val="0"/>
        <w:rPr>
          <w:rFonts w:eastAsia="Times New Roman" w:cs="Arial"/>
          <w:color w:val="auto"/>
          <w:sz w:val="24"/>
          <w:szCs w:val="24"/>
          <w:lang w:eastAsia="en-GB"/>
        </w:rPr>
      </w:pPr>
    </w:p>
    <w:p w14:paraId="1DFF0621" w14:textId="77777777" w:rsidR="00DE3157" w:rsidRDefault="00DE3157" w:rsidP="00DE3157">
      <w:pPr>
        <w:suppressAutoHyphens w:val="0"/>
        <w:rPr>
          <w:rFonts w:eastAsia="Times New Roman" w:cs="Arial"/>
          <w:color w:val="auto"/>
          <w:sz w:val="24"/>
          <w:szCs w:val="24"/>
          <w:lang w:eastAsia="en-GB"/>
        </w:rPr>
      </w:pPr>
    </w:p>
    <w:p w14:paraId="6069CE79" w14:textId="77777777" w:rsidR="00DE3157" w:rsidRDefault="00DE3157" w:rsidP="00DE3157">
      <w:pPr>
        <w:suppressAutoHyphens w:val="0"/>
        <w:rPr>
          <w:rFonts w:eastAsia="Times New Roman" w:cs="Arial"/>
          <w:color w:val="auto"/>
          <w:sz w:val="24"/>
          <w:szCs w:val="24"/>
          <w:lang w:eastAsia="en-GB"/>
        </w:rPr>
      </w:pPr>
    </w:p>
    <w:p w14:paraId="15ED7633" w14:textId="77777777" w:rsidR="00DE3157" w:rsidRDefault="00DE3157" w:rsidP="00DE3157">
      <w:pPr>
        <w:suppressAutoHyphens w:val="0"/>
        <w:rPr>
          <w:rFonts w:eastAsia="Times New Roman" w:cs="Arial"/>
          <w:color w:val="auto"/>
          <w:sz w:val="24"/>
          <w:szCs w:val="24"/>
          <w:lang w:eastAsia="en-GB"/>
        </w:rPr>
      </w:pPr>
    </w:p>
    <w:p w14:paraId="09F0A071" w14:textId="77777777" w:rsidR="00DE3157" w:rsidRDefault="00DE3157" w:rsidP="00DE3157">
      <w:pPr>
        <w:suppressAutoHyphens w:val="0"/>
        <w:rPr>
          <w:rFonts w:eastAsia="Times New Roman" w:cs="Arial"/>
          <w:color w:val="auto"/>
          <w:sz w:val="24"/>
          <w:szCs w:val="24"/>
          <w:lang w:eastAsia="en-GB"/>
        </w:rPr>
      </w:pPr>
    </w:p>
    <w:p w14:paraId="2F46637C" w14:textId="77777777" w:rsidR="00DE3157" w:rsidRDefault="00DE3157" w:rsidP="00DE3157">
      <w:pPr>
        <w:suppressAutoHyphens w:val="0"/>
        <w:rPr>
          <w:rFonts w:eastAsia="Times New Roman" w:cs="Arial"/>
          <w:color w:val="auto"/>
          <w:sz w:val="24"/>
          <w:szCs w:val="24"/>
          <w:lang w:eastAsia="en-GB"/>
        </w:rPr>
      </w:pPr>
    </w:p>
    <w:p w14:paraId="0E49352E" w14:textId="77777777" w:rsidR="00DE3157" w:rsidRDefault="00DE3157" w:rsidP="00DE3157">
      <w:pPr>
        <w:suppressAutoHyphens w:val="0"/>
        <w:rPr>
          <w:rFonts w:eastAsia="Times New Roman" w:cs="Arial"/>
          <w:color w:val="auto"/>
          <w:sz w:val="24"/>
          <w:szCs w:val="24"/>
          <w:lang w:eastAsia="en-GB"/>
        </w:rPr>
      </w:pPr>
    </w:p>
    <w:p w14:paraId="07AEEC6A" w14:textId="3A634B36" w:rsidR="00DE3157" w:rsidRDefault="00DE3157" w:rsidP="00DE3157">
      <w:pPr>
        <w:suppressAutoHyphens w:val="0"/>
        <w:rPr>
          <w:rFonts w:eastAsia="Times New Roman" w:cs="Arial"/>
          <w:color w:val="auto"/>
          <w:sz w:val="24"/>
          <w:szCs w:val="24"/>
          <w:lang w:eastAsia="en-GB"/>
        </w:rPr>
      </w:pPr>
      <w:r w:rsidRPr="00DE3157">
        <w:rPr>
          <w:rFonts w:eastAsia="Times New Roman" w:cs="Arial"/>
          <w:color w:val="auto"/>
          <w:sz w:val="24"/>
          <w:szCs w:val="24"/>
          <w:lang w:eastAsia="en-GB"/>
        </w:rPr>
        <w:lastRenderedPageBreak/>
        <w:t xml:space="preserve">LO3 </w:t>
      </w:r>
      <w:r w:rsidRPr="00DE3157">
        <w:rPr>
          <w:rFonts w:eastAsia="Times New Roman" w:cs="Arial"/>
          <w:color w:val="auto"/>
          <w:sz w:val="24"/>
          <w:szCs w:val="24"/>
          <w:lang w:eastAsia="en-GB"/>
        </w:rPr>
        <w:t>Explain different models of employee representation, clarifying terms such as employee involvement; participation; partnership; information and consultation</w:t>
      </w:r>
    </w:p>
    <w:p w14:paraId="107DE76C" w14:textId="77777777" w:rsidR="00DE3157" w:rsidRPr="00DE3157" w:rsidRDefault="00DE3157">
      <w:pPr>
        <w:rPr>
          <w:sz w:val="24"/>
          <w:szCs w:val="24"/>
        </w:rPr>
      </w:pPr>
    </w:p>
    <w:p w14:paraId="4D6D65AE" w14:textId="370DE5E6" w:rsidR="00DE3157" w:rsidRDefault="00DE3157">
      <w:r>
        <w:t>3:1 Explain the difference between employee involvement, participation, partnership, information, and consultation</w:t>
      </w:r>
    </w:p>
    <w:p w14:paraId="1996C775" w14:textId="53595E57" w:rsidR="00DE3157" w:rsidRDefault="00DE3157"/>
    <w:p w14:paraId="268521CD" w14:textId="2BAABDB8" w:rsidR="00DE3157" w:rsidRDefault="00DE3157">
      <w:r>
        <w:t>Employee voice is made of two forms, involvement and participation which gives the employee the chance to voice concerns and influence management actions (Benson and Brown, 2010</w:t>
      </w:r>
      <w:proofErr w:type="gramStart"/>
      <w:r>
        <w:t>)  “</w:t>
      </w:r>
      <w:proofErr w:type="gramEnd"/>
      <w:r>
        <w:t>Employee voice is the cheapest smoke alarm in an organisation” (</w:t>
      </w:r>
      <w:proofErr w:type="spellStart"/>
      <w:r>
        <w:t>Macloed</w:t>
      </w:r>
      <w:proofErr w:type="spellEnd"/>
      <w:r>
        <w:t xml:space="preserve"> and Clarke, 2009) Employee voice is traditionally associated with third parties such as trade unions, however with the ever decreasing decline in union memberships we see an increase in non-union forms of employee voice. ACAS can also form part of third-party involvement. Until 2005 employment voice practices were optional for organisations, however following the introduction of ICE regulations now give employees the statutory right to request information and consultation arrangements in the workplace, allowing communication between management and employees, the threshold to trigger a request has been amended from 10% of the workforce required to 2% (CIPD,2020)</w:t>
      </w:r>
    </w:p>
    <w:p w14:paraId="503D136F" w14:textId="521F7020" w:rsidR="00DE3157" w:rsidRDefault="00DE3157"/>
    <w:p w14:paraId="1B1D5D8F" w14:textId="760BDDF9" w:rsidR="00DE3157" w:rsidRDefault="00DE3157">
      <w:r>
        <w:t>Employee Participation</w:t>
      </w:r>
    </w:p>
    <w:p w14:paraId="404F93E4" w14:textId="3C03B5F2" w:rsidR="00DE3157" w:rsidRDefault="00DE3157">
      <w:r>
        <w:t>“employees participate in decision making through their representatives” (Taylor and Woodham, 2016</w:t>
      </w:r>
      <w:proofErr w:type="gramStart"/>
      <w:r>
        <w:t>)  This</w:t>
      </w:r>
      <w:proofErr w:type="gramEnd"/>
      <w:r>
        <w:t xml:space="preserve"> form of voice tends to utilise third parties such as trade unions or ACAS.  Examples of employee participation include </w:t>
      </w:r>
    </w:p>
    <w:p w14:paraId="29EAB33D" w14:textId="20433D57" w:rsidR="00DE3157" w:rsidRDefault="00DE3157" w:rsidP="00DE3157">
      <w:pPr>
        <w:pStyle w:val="ListParagraph"/>
        <w:numPr>
          <w:ilvl w:val="0"/>
          <w:numId w:val="3"/>
        </w:numPr>
      </w:pPr>
      <w:r>
        <w:t>Partnership</w:t>
      </w:r>
    </w:p>
    <w:p w14:paraId="4E94E661" w14:textId="35B2578F" w:rsidR="00DE3157" w:rsidRDefault="00DE3157" w:rsidP="00DE3157">
      <w:pPr>
        <w:pStyle w:val="ListParagraph"/>
        <w:numPr>
          <w:ilvl w:val="0"/>
          <w:numId w:val="3"/>
        </w:numPr>
      </w:pPr>
      <w:r>
        <w:t>Joint Consultation Committee</w:t>
      </w:r>
    </w:p>
    <w:p w14:paraId="74622CFB" w14:textId="37067B9A" w:rsidR="00DE3157" w:rsidRDefault="00DE3157" w:rsidP="00DE3157">
      <w:pPr>
        <w:pStyle w:val="ListParagraph"/>
        <w:numPr>
          <w:ilvl w:val="0"/>
          <w:numId w:val="3"/>
        </w:numPr>
      </w:pPr>
      <w:r>
        <w:t>Employee forums</w:t>
      </w:r>
    </w:p>
    <w:p w14:paraId="0EC093B9" w14:textId="62F482B3" w:rsidR="00DE3157" w:rsidRDefault="00DE3157" w:rsidP="00DE3157">
      <w:pPr>
        <w:pStyle w:val="ListParagraph"/>
        <w:numPr>
          <w:ilvl w:val="0"/>
          <w:numId w:val="3"/>
        </w:numPr>
      </w:pPr>
      <w:r>
        <w:t>Collective representation</w:t>
      </w:r>
    </w:p>
    <w:p w14:paraId="5946FB9F" w14:textId="4E8F8D79" w:rsidR="00DE3157" w:rsidRDefault="00DE3157" w:rsidP="00DE3157">
      <w:pPr>
        <w:pStyle w:val="ListParagraph"/>
        <w:numPr>
          <w:ilvl w:val="0"/>
          <w:numId w:val="3"/>
        </w:numPr>
      </w:pPr>
      <w:r>
        <w:t xml:space="preserve">European work councils </w:t>
      </w:r>
    </w:p>
    <w:p w14:paraId="4584BDEE" w14:textId="2638B9D0" w:rsidR="00DE3157" w:rsidRDefault="00DE3157" w:rsidP="00DE3157"/>
    <w:p w14:paraId="693D195B" w14:textId="43E74FDC" w:rsidR="00DE3157" w:rsidRDefault="00DE3157" w:rsidP="00DE3157">
      <w:r>
        <w:t>Employee involvement</w:t>
      </w:r>
    </w:p>
    <w:p w14:paraId="4785FA98" w14:textId="2C2FCB6B" w:rsidR="00DE3157" w:rsidRDefault="00DE3157" w:rsidP="00DE3157">
      <w:r>
        <w:t>“Management introduce practices directly with employees in order to gain their ideas and cooperation” (Taylor and Woodham, 2016) Examples of employee participation include</w:t>
      </w:r>
    </w:p>
    <w:p w14:paraId="0EF41A8A" w14:textId="62B15D2F" w:rsidR="00DE3157" w:rsidRDefault="00DE3157" w:rsidP="00DE3157">
      <w:pPr>
        <w:pStyle w:val="ListParagraph"/>
        <w:numPr>
          <w:ilvl w:val="0"/>
          <w:numId w:val="4"/>
        </w:numPr>
      </w:pPr>
      <w:r>
        <w:t xml:space="preserve">Email Communications </w:t>
      </w:r>
    </w:p>
    <w:p w14:paraId="4950B2DC" w14:textId="08C0888D" w:rsidR="00DE3157" w:rsidRDefault="00DE3157" w:rsidP="00DE3157">
      <w:pPr>
        <w:pStyle w:val="ListParagraph"/>
        <w:numPr>
          <w:ilvl w:val="0"/>
          <w:numId w:val="4"/>
        </w:numPr>
      </w:pPr>
      <w:r>
        <w:t>Face to face meetings</w:t>
      </w:r>
    </w:p>
    <w:p w14:paraId="5D433461" w14:textId="05F8DB6C" w:rsidR="00DE3157" w:rsidRDefault="00DE3157" w:rsidP="00DE3157">
      <w:pPr>
        <w:pStyle w:val="ListParagraph"/>
        <w:numPr>
          <w:ilvl w:val="0"/>
          <w:numId w:val="4"/>
        </w:numPr>
      </w:pPr>
      <w:r>
        <w:t xml:space="preserve">Surveys </w:t>
      </w:r>
    </w:p>
    <w:p w14:paraId="6763C9A1" w14:textId="32E51997" w:rsidR="00DE3157" w:rsidRDefault="00DE3157" w:rsidP="00DE3157">
      <w:pPr>
        <w:pStyle w:val="ListParagraph"/>
        <w:numPr>
          <w:ilvl w:val="0"/>
          <w:numId w:val="4"/>
        </w:numPr>
      </w:pPr>
      <w:r>
        <w:t>Briefings</w:t>
      </w:r>
    </w:p>
    <w:p w14:paraId="1A138D39" w14:textId="14692AF5" w:rsidR="00DE3157" w:rsidRDefault="00DE3157" w:rsidP="00DE3157">
      <w:pPr>
        <w:pStyle w:val="ListParagraph"/>
        <w:numPr>
          <w:ilvl w:val="0"/>
          <w:numId w:val="4"/>
        </w:numPr>
      </w:pPr>
      <w:r>
        <w:t>Newsletters</w:t>
      </w:r>
    </w:p>
    <w:p w14:paraId="21A1C189" w14:textId="7493477E" w:rsidR="00DE3157" w:rsidRDefault="00DE3157" w:rsidP="00DE3157">
      <w:pPr>
        <w:pStyle w:val="ListParagraph"/>
        <w:numPr>
          <w:ilvl w:val="0"/>
          <w:numId w:val="4"/>
        </w:numPr>
      </w:pPr>
      <w:r>
        <w:t>Suggestion schemes</w:t>
      </w:r>
    </w:p>
    <w:p w14:paraId="512AA751" w14:textId="4EB0E3EE" w:rsidR="00DE3157" w:rsidRDefault="00DE3157" w:rsidP="00DE3157">
      <w:pPr>
        <w:pStyle w:val="ListParagraph"/>
        <w:numPr>
          <w:ilvl w:val="0"/>
          <w:numId w:val="4"/>
        </w:numPr>
      </w:pPr>
      <w:r>
        <w:t>Problem solving groups</w:t>
      </w:r>
    </w:p>
    <w:p w14:paraId="7324F959" w14:textId="17D85E96" w:rsidR="00DE3157" w:rsidRDefault="00DE3157" w:rsidP="00DE3157">
      <w:r>
        <w:t>This approach is more common in contemporary organisations and supports the trend in shifting to non-union forms of voice (WERS,2013) in contrast to employee participation.  Employee involvement gets employees to willingly get involved, this support higher levels of colleague engagement, improves job satisfaction and increases career opportunities (CIPD, 2019)</w:t>
      </w:r>
    </w:p>
    <w:p w14:paraId="53EB65C0" w14:textId="77777777" w:rsidR="00DE3157" w:rsidRDefault="00DE3157"/>
    <w:p w14:paraId="136C5C10" w14:textId="3F1495FF" w:rsidR="00DE3157" w:rsidRDefault="00DE3157"/>
    <w:p w14:paraId="13CB3CB8" w14:textId="77777777" w:rsidR="00DE3157" w:rsidRDefault="00DE3157"/>
    <w:p w14:paraId="4B6DACF6" w14:textId="77777777" w:rsidR="00DE3157" w:rsidRDefault="00DE3157" w:rsidP="00DE3157">
      <w:pPr>
        <w:suppressAutoHyphens w:val="0"/>
        <w:rPr>
          <w:rFonts w:eastAsia="Times New Roman" w:cs="Arial"/>
          <w:color w:val="auto"/>
          <w:sz w:val="24"/>
          <w:szCs w:val="24"/>
          <w:lang w:eastAsia="en-GB"/>
        </w:rPr>
      </w:pPr>
      <w:r w:rsidRPr="00DE3157">
        <w:rPr>
          <w:rFonts w:eastAsia="Times New Roman" w:cs="Arial"/>
          <w:color w:val="auto"/>
          <w:sz w:val="24"/>
          <w:szCs w:val="24"/>
          <w:lang w:eastAsia="en-GB"/>
        </w:rPr>
        <w:t xml:space="preserve">LO4 </w:t>
      </w:r>
      <w:r w:rsidRPr="00DE3157">
        <w:rPr>
          <w:rFonts w:eastAsia="Times New Roman" w:cs="Arial"/>
          <w:color w:val="auto"/>
          <w:sz w:val="24"/>
          <w:szCs w:val="24"/>
          <w:lang w:eastAsia="en-GB"/>
        </w:rPr>
        <w:t xml:space="preserve">Explain different types of individual and collective conflict behaviour and some of the evolving approaches that can be used to manage these. Your response should include and distinguish between: </w:t>
      </w:r>
    </w:p>
    <w:p w14:paraId="618EB3A0" w14:textId="77777777" w:rsidR="00DE3157" w:rsidRDefault="00DE3157" w:rsidP="00DE3157">
      <w:pPr>
        <w:suppressAutoHyphens w:val="0"/>
        <w:rPr>
          <w:rFonts w:eastAsia="Times New Roman" w:cs="Arial"/>
          <w:color w:val="auto"/>
          <w:sz w:val="24"/>
          <w:szCs w:val="24"/>
          <w:lang w:eastAsia="en-GB"/>
        </w:rPr>
      </w:pPr>
      <w:r w:rsidRPr="00DE3157">
        <w:rPr>
          <w:rFonts w:eastAsia="Times New Roman" w:cs="Arial"/>
          <w:color w:val="auto"/>
          <w:sz w:val="24"/>
          <w:szCs w:val="24"/>
          <w:lang w:eastAsia="en-GB"/>
        </w:rPr>
        <w:sym w:font="Symbol" w:char="F0B7"/>
      </w:r>
      <w:r w:rsidRPr="00DE3157">
        <w:rPr>
          <w:rFonts w:eastAsia="Times New Roman" w:cs="Arial"/>
          <w:color w:val="auto"/>
          <w:sz w:val="24"/>
          <w:szCs w:val="24"/>
          <w:lang w:eastAsia="en-GB"/>
        </w:rPr>
        <w:t xml:space="preserve"> conflict and misbehaviour </w:t>
      </w:r>
    </w:p>
    <w:p w14:paraId="6F58246D" w14:textId="77777777" w:rsidR="00DE3157" w:rsidRDefault="00DE3157" w:rsidP="00DE3157">
      <w:pPr>
        <w:suppressAutoHyphens w:val="0"/>
        <w:rPr>
          <w:rFonts w:eastAsia="Times New Roman" w:cs="Arial"/>
          <w:color w:val="auto"/>
          <w:sz w:val="24"/>
          <w:szCs w:val="24"/>
          <w:lang w:eastAsia="en-GB"/>
        </w:rPr>
      </w:pPr>
      <w:r w:rsidRPr="00DE3157">
        <w:rPr>
          <w:rFonts w:eastAsia="Times New Roman" w:cs="Arial"/>
          <w:color w:val="auto"/>
          <w:sz w:val="24"/>
          <w:szCs w:val="24"/>
          <w:lang w:eastAsia="en-GB"/>
        </w:rPr>
        <w:sym w:font="Symbol" w:char="F0B7"/>
      </w:r>
      <w:r w:rsidRPr="00DE3157">
        <w:rPr>
          <w:rFonts w:eastAsia="Times New Roman" w:cs="Arial"/>
          <w:color w:val="auto"/>
          <w:sz w:val="24"/>
          <w:szCs w:val="24"/>
          <w:lang w:eastAsia="en-GB"/>
        </w:rPr>
        <w:t xml:space="preserve"> official and unofficial industrial action </w:t>
      </w:r>
    </w:p>
    <w:p w14:paraId="7B8F7982" w14:textId="3A8DDCB0" w:rsidR="00DE3157" w:rsidRPr="00DE3157" w:rsidRDefault="00DE3157" w:rsidP="00DE3157">
      <w:pPr>
        <w:suppressAutoHyphens w:val="0"/>
        <w:rPr>
          <w:rFonts w:eastAsia="Times New Roman" w:cs="Arial"/>
          <w:color w:val="auto"/>
          <w:sz w:val="24"/>
          <w:szCs w:val="24"/>
          <w:lang w:eastAsia="en-GB"/>
        </w:rPr>
      </w:pPr>
      <w:r w:rsidRPr="00DE3157">
        <w:rPr>
          <w:rFonts w:eastAsia="Times New Roman" w:cs="Arial"/>
          <w:color w:val="auto"/>
          <w:sz w:val="24"/>
          <w:szCs w:val="24"/>
          <w:lang w:eastAsia="en-GB"/>
        </w:rPr>
        <w:sym w:font="Symbol" w:char="F0B7"/>
      </w:r>
      <w:r w:rsidRPr="00DE3157">
        <w:rPr>
          <w:rFonts w:eastAsia="Times New Roman" w:cs="Arial"/>
          <w:color w:val="auto"/>
          <w:sz w:val="24"/>
          <w:szCs w:val="24"/>
          <w:lang w:eastAsia="en-GB"/>
        </w:rPr>
        <w:t xml:space="preserve"> third party conciliation, </w:t>
      </w:r>
      <w:proofErr w:type="gramStart"/>
      <w:r w:rsidRPr="00DE3157">
        <w:rPr>
          <w:rFonts w:eastAsia="Times New Roman" w:cs="Arial"/>
          <w:color w:val="auto"/>
          <w:sz w:val="24"/>
          <w:szCs w:val="24"/>
          <w:lang w:eastAsia="en-GB"/>
        </w:rPr>
        <w:t>mediation</w:t>
      </w:r>
      <w:proofErr w:type="gramEnd"/>
      <w:r w:rsidRPr="00DE3157">
        <w:rPr>
          <w:rFonts w:eastAsia="Times New Roman" w:cs="Arial"/>
          <w:color w:val="auto"/>
          <w:sz w:val="24"/>
          <w:szCs w:val="24"/>
          <w:lang w:eastAsia="en-GB"/>
        </w:rPr>
        <w:t xml:space="preserve"> and arbitration</w:t>
      </w:r>
    </w:p>
    <w:p w14:paraId="55176784" w14:textId="2B39871E" w:rsidR="00DE3157" w:rsidRDefault="00DE3157"/>
    <w:p w14:paraId="59014637" w14:textId="614C8D20" w:rsidR="00DE3157" w:rsidRDefault="00DE3157">
      <w:r>
        <w:lastRenderedPageBreak/>
        <w:t>4:1 Distinguish between conflict and misbehaviour and between official and unofficial industrial action</w:t>
      </w:r>
    </w:p>
    <w:p w14:paraId="50CEF10C" w14:textId="77777777" w:rsidR="00DE3157" w:rsidRDefault="00DE3157"/>
    <w:p w14:paraId="5F659742" w14:textId="332E3280" w:rsidR="00DE3157" w:rsidRDefault="00DE3157">
      <w:r>
        <w:t xml:space="preserve">In accordance with the pluralist view on employment relationships conflict is inevitable there are numerous definitions of conflict, according to Sisson (2010) conflict can be defined as the discontent arising from a perceived clash of interests and can involve individuals or groups and can take a number if expressions. </w:t>
      </w:r>
    </w:p>
    <w:p w14:paraId="0E542814" w14:textId="4D9236FF" w:rsidR="00DE3157" w:rsidRDefault="00DE3157"/>
    <w:p w14:paraId="5D977426" w14:textId="351085A5" w:rsidR="00DE3157" w:rsidRDefault="00DE3157">
      <w:r>
        <w:t xml:space="preserve">There are different forms of conflict organised and unorganised </w:t>
      </w:r>
    </w:p>
    <w:p w14:paraId="55E3E36E" w14:textId="6ADCDD16" w:rsidR="00DE3157" w:rsidRDefault="00DE3157">
      <w:r>
        <w:t>Organised (official industrial action)</w:t>
      </w:r>
      <w:r>
        <w:tab/>
      </w:r>
      <w:r>
        <w:tab/>
      </w:r>
      <w:r>
        <w:tab/>
      </w:r>
      <w:r>
        <w:tab/>
      </w:r>
      <w:r>
        <w:tab/>
      </w:r>
      <w:r>
        <w:tab/>
      </w:r>
    </w:p>
    <w:p w14:paraId="5735DBEA" w14:textId="51F0D374" w:rsidR="00DE3157" w:rsidRDefault="00DE3157" w:rsidP="00DE3157">
      <w:pPr>
        <w:pStyle w:val="ListParagraph"/>
        <w:numPr>
          <w:ilvl w:val="0"/>
          <w:numId w:val="6"/>
        </w:numPr>
      </w:pPr>
      <w:r>
        <w:t>Strikes</w:t>
      </w:r>
    </w:p>
    <w:p w14:paraId="1EECF710" w14:textId="6DD5982E" w:rsidR="00DE3157" w:rsidRDefault="00DE3157" w:rsidP="00DE3157">
      <w:pPr>
        <w:pStyle w:val="ListParagraph"/>
        <w:numPr>
          <w:ilvl w:val="0"/>
          <w:numId w:val="6"/>
        </w:numPr>
      </w:pPr>
      <w:r>
        <w:t>Protests/demonstrations / boycotts</w:t>
      </w:r>
    </w:p>
    <w:p w14:paraId="363C0D54" w14:textId="5FBBC0DB" w:rsidR="00DE3157" w:rsidRDefault="00DE3157" w:rsidP="00DE3157">
      <w:pPr>
        <w:pStyle w:val="ListParagraph"/>
        <w:numPr>
          <w:ilvl w:val="0"/>
          <w:numId w:val="6"/>
        </w:numPr>
      </w:pPr>
      <w:r>
        <w:t>Work to rule, go slow, overtime bans</w:t>
      </w:r>
    </w:p>
    <w:p w14:paraId="40E28C84" w14:textId="0C40D02A" w:rsidR="00DE3157" w:rsidRDefault="00DE3157" w:rsidP="00DE3157">
      <w:r>
        <w:t xml:space="preserve">Organised conflict usually relates to a collective, strikes such as the BA strikes are formed through trade unions and are official industrial action, official industrial action usually organised through trade unions will be lawful and conform to the legal framework set out in TULRCA (1992).  In line with the decrease in union membership collective actions have seen a steady decline, however in contemporary organisations conflict is becoming more associated with individuals such as grievances and complaints to employment </w:t>
      </w:r>
      <w:proofErr w:type="gramStart"/>
      <w:r>
        <w:t>tribunals(</w:t>
      </w:r>
      <w:proofErr w:type="gramEnd"/>
      <w:r>
        <w:t>Taylor and Woodhams, 2016)</w:t>
      </w:r>
    </w:p>
    <w:p w14:paraId="1A465DCA" w14:textId="1888C60F" w:rsidR="00DE3157" w:rsidRDefault="00DE3157" w:rsidP="00DE3157"/>
    <w:p w14:paraId="5222EADA" w14:textId="0FD859B0" w:rsidR="00DE3157" w:rsidRDefault="00DE3157" w:rsidP="00DE3157">
      <w:r>
        <w:t>Unorganised conflict (otherwise know as misbehaviour)</w:t>
      </w:r>
    </w:p>
    <w:p w14:paraId="79F57FCA" w14:textId="798E777C" w:rsidR="00DE3157" w:rsidRDefault="00DE3157" w:rsidP="00DE3157">
      <w:pPr>
        <w:pStyle w:val="ListParagraph"/>
        <w:numPr>
          <w:ilvl w:val="0"/>
          <w:numId w:val="7"/>
        </w:numPr>
      </w:pPr>
      <w:r>
        <w:t>Fiddles / Theft</w:t>
      </w:r>
    </w:p>
    <w:p w14:paraId="698AC190" w14:textId="29606802" w:rsidR="00DE3157" w:rsidRDefault="00DE3157" w:rsidP="00DE3157">
      <w:pPr>
        <w:pStyle w:val="ListParagraph"/>
        <w:numPr>
          <w:ilvl w:val="0"/>
          <w:numId w:val="7"/>
        </w:numPr>
      </w:pPr>
      <w:r>
        <w:t>Sabotage</w:t>
      </w:r>
    </w:p>
    <w:p w14:paraId="7282E892" w14:textId="156BDEB7" w:rsidR="00DE3157" w:rsidRDefault="00DE3157" w:rsidP="00DE3157">
      <w:pPr>
        <w:pStyle w:val="ListParagraph"/>
        <w:numPr>
          <w:ilvl w:val="0"/>
          <w:numId w:val="7"/>
        </w:numPr>
      </w:pPr>
      <w:r>
        <w:t>Absence / resignation</w:t>
      </w:r>
    </w:p>
    <w:p w14:paraId="664BDF48" w14:textId="0378012D" w:rsidR="00DE3157" w:rsidRDefault="00DE3157" w:rsidP="00DE3157">
      <w:r>
        <w:t>Unorganised conflict or misbehaviour such as absence can be just as costly to an organisation as organised official industrial action (CIPD,2021)</w:t>
      </w:r>
    </w:p>
    <w:p w14:paraId="2DD1DF3C" w14:textId="676DCA00" w:rsidR="00DE3157" w:rsidRDefault="00DE3157" w:rsidP="00DE3157"/>
    <w:p w14:paraId="79EB4D98" w14:textId="5B01B25A" w:rsidR="00DE3157" w:rsidRDefault="00DE3157" w:rsidP="00DE3157">
      <w:r>
        <w:t>Prompts of conflict can be divided into two categories</w:t>
      </w:r>
    </w:p>
    <w:p w14:paraId="1233B33F" w14:textId="75C8BCB7" w:rsidR="00DE3157" w:rsidRDefault="00DE3157" w:rsidP="00DE3157">
      <w:r>
        <w:t>Organisational</w:t>
      </w:r>
    </w:p>
    <w:p w14:paraId="6A233A0A" w14:textId="40BCB4C2" w:rsidR="00DE3157" w:rsidRDefault="00DE3157" w:rsidP="00DE3157">
      <w:pPr>
        <w:pStyle w:val="ListParagraph"/>
        <w:numPr>
          <w:ilvl w:val="0"/>
          <w:numId w:val="8"/>
        </w:numPr>
      </w:pPr>
      <w:r>
        <w:t>Competition over scarce resources</w:t>
      </w:r>
    </w:p>
    <w:p w14:paraId="226F550A" w14:textId="3EAB87AA" w:rsidR="00DE3157" w:rsidRDefault="00DE3157" w:rsidP="00DE3157">
      <w:pPr>
        <w:pStyle w:val="ListParagraph"/>
        <w:numPr>
          <w:ilvl w:val="0"/>
          <w:numId w:val="8"/>
        </w:numPr>
      </w:pPr>
      <w:r>
        <w:t>Uncertainty over responsibilities</w:t>
      </w:r>
    </w:p>
    <w:p w14:paraId="55806C88" w14:textId="0C976CE5" w:rsidR="00DE3157" w:rsidRDefault="00DE3157" w:rsidP="00DE3157">
      <w:pPr>
        <w:pStyle w:val="ListParagraph"/>
        <w:numPr>
          <w:ilvl w:val="0"/>
          <w:numId w:val="8"/>
        </w:numPr>
      </w:pPr>
      <w:r>
        <w:t>Inter dependence</w:t>
      </w:r>
    </w:p>
    <w:p w14:paraId="61CD9B15" w14:textId="1DFB677C" w:rsidR="00DE3157" w:rsidRDefault="00DE3157" w:rsidP="00DE3157">
      <w:pPr>
        <w:pStyle w:val="ListParagraph"/>
        <w:numPr>
          <w:ilvl w:val="0"/>
          <w:numId w:val="8"/>
        </w:numPr>
      </w:pPr>
      <w:r>
        <w:t>Reward systems that pit people against each other</w:t>
      </w:r>
    </w:p>
    <w:p w14:paraId="50BDB120" w14:textId="0FF4403A" w:rsidR="00DE3157" w:rsidRDefault="00DE3157" w:rsidP="00DE3157">
      <w:pPr>
        <w:pStyle w:val="ListParagraph"/>
        <w:numPr>
          <w:ilvl w:val="0"/>
          <w:numId w:val="8"/>
        </w:numPr>
      </w:pPr>
      <w:r>
        <w:t xml:space="preserve">Power differentials </w:t>
      </w:r>
    </w:p>
    <w:p w14:paraId="2850A85F" w14:textId="72106575" w:rsidR="00DE3157" w:rsidRDefault="00DE3157" w:rsidP="00DE3157">
      <w:r>
        <w:t>Interpersonal</w:t>
      </w:r>
    </w:p>
    <w:p w14:paraId="7A113356" w14:textId="1632CD35" w:rsidR="00DE3157" w:rsidRDefault="00DE3157" w:rsidP="00DE3157">
      <w:pPr>
        <w:pStyle w:val="ListParagraph"/>
        <w:numPr>
          <w:ilvl w:val="0"/>
          <w:numId w:val="9"/>
        </w:numPr>
      </w:pPr>
      <w:r>
        <w:t>Errors</w:t>
      </w:r>
    </w:p>
    <w:p w14:paraId="35F72B38" w14:textId="28A67270" w:rsidR="00DE3157" w:rsidRDefault="00DE3157" w:rsidP="00DE3157">
      <w:pPr>
        <w:pStyle w:val="ListParagraph"/>
        <w:numPr>
          <w:ilvl w:val="0"/>
          <w:numId w:val="9"/>
        </w:numPr>
      </w:pPr>
      <w:r>
        <w:t>Poor communication / lack of understanding</w:t>
      </w:r>
    </w:p>
    <w:p w14:paraId="1480F6E0" w14:textId="02966D7C" w:rsidR="00DE3157" w:rsidRDefault="00DE3157" w:rsidP="00DE3157">
      <w:pPr>
        <w:pStyle w:val="ListParagraph"/>
        <w:numPr>
          <w:ilvl w:val="0"/>
          <w:numId w:val="9"/>
        </w:numPr>
      </w:pPr>
      <w:r>
        <w:t>Personal characteristics or traits</w:t>
      </w:r>
    </w:p>
    <w:p w14:paraId="5FF2DBD4" w14:textId="7B90254E" w:rsidR="00DE3157" w:rsidRDefault="00DE3157" w:rsidP="00DE3157"/>
    <w:p w14:paraId="63F41BC4" w14:textId="2CE93661" w:rsidR="00DE3157" w:rsidRDefault="00DE3157" w:rsidP="00DE3157">
      <w:r>
        <w:t xml:space="preserve">Despite the pluralist view that conflict is inevitable there is an appetite to resolve conflict to reduce the impact on the employment relationship, </w:t>
      </w:r>
      <w:proofErr w:type="gramStart"/>
      <w:r>
        <w:t>brand</w:t>
      </w:r>
      <w:proofErr w:type="gramEnd"/>
      <w:r>
        <w:t xml:space="preserve"> and company performance. According to the CIPD the amount of investment in training managers on conflict management / resolution has increased significantly (CIPD, 2011a)</w:t>
      </w:r>
    </w:p>
    <w:p w14:paraId="732B2989" w14:textId="59E57058" w:rsidR="00DE3157" w:rsidRDefault="00DE3157" w:rsidP="00DE3157">
      <w:pPr>
        <w:pStyle w:val="ListParagraph"/>
      </w:pPr>
    </w:p>
    <w:p w14:paraId="5213B84F" w14:textId="77777777" w:rsidR="00DE3157" w:rsidRDefault="00DE3157" w:rsidP="00DE3157"/>
    <w:p w14:paraId="54D2AA65" w14:textId="77777777" w:rsidR="00DE3157" w:rsidRDefault="00DE3157"/>
    <w:p w14:paraId="658FBB01" w14:textId="09D7F89D" w:rsidR="00DE3157" w:rsidRDefault="00DE3157">
      <w:r>
        <w:t>4:2 Distinguish between third party conciliation mediation and arbitration</w:t>
      </w:r>
    </w:p>
    <w:p w14:paraId="3D695C8D" w14:textId="0E106BEF" w:rsidR="00DE3157" w:rsidRDefault="00DE3157"/>
    <w:p w14:paraId="27097A14" w14:textId="3E1639AF" w:rsidR="00DE3157" w:rsidRDefault="00DE3157">
      <w:r>
        <w:t>ACAS advises employees to try and resolve workplace disputes internally by raising an informal complaint or raising a formal grievance (ACAS) the CIPD conflict management survey supports this advice as it shows that 85% of disciplinaries and grievances are resolved internally (CIPD, 2011a)</w:t>
      </w:r>
    </w:p>
    <w:p w14:paraId="75AFB1A2" w14:textId="3FC22136" w:rsidR="00DE3157" w:rsidRDefault="00DE3157">
      <w:r>
        <w:lastRenderedPageBreak/>
        <w:t>Despite the high percentage of disputes being resolved internally some issues will still need to be resolved externally, when all avenues have been explored and all other internal options exhausted then support can be sought from third party organisations such as ACAS, they can offer 3 ways to resolve disputes prior to making a claim at an employment tribunal, Conciliation, arbitration, and mediation.  ACAS must be notified prior to making a claim to an employment tribunal</w:t>
      </w:r>
    </w:p>
    <w:p w14:paraId="4223D826" w14:textId="7427F33B" w:rsidR="00DE3157" w:rsidRDefault="00DE3157"/>
    <w:p w14:paraId="3BAB1EF0" w14:textId="73072DFC" w:rsidR="00DE3157" w:rsidRDefault="00DE3157">
      <w:r>
        <w:t xml:space="preserve">Conciliation – this is a service offered prior to making a claim to an employment tribunal, an independent conciliator will talk to both the claimant and the respondent about the dispute and try to reach a mutual agreement without having to go to tribunal, conciliation does not make recommendations </w:t>
      </w:r>
    </w:p>
    <w:p w14:paraId="2C5157CF" w14:textId="47A2740B" w:rsidR="00DE3157" w:rsidRDefault="00DE3157"/>
    <w:p w14:paraId="3E4AADA7" w14:textId="51F4A979" w:rsidR="00DE3157" w:rsidRDefault="00DE3157"/>
    <w:p w14:paraId="32165D93" w14:textId="73BC848D" w:rsidR="00DE3157" w:rsidRDefault="00DE3157">
      <w:r>
        <w:t xml:space="preserve">Arbitration – can resolve collective disputes between and employer and a group of employees or individual arbitration that relates to disputes such as unfair dismissal and flexible working, this involves an arbitrator reviewing the arguments from both parties and </w:t>
      </w:r>
      <w:proofErr w:type="gramStart"/>
      <w:r>
        <w:t>makes a decision</w:t>
      </w:r>
      <w:proofErr w:type="gramEnd"/>
      <w:r>
        <w:t xml:space="preserve"> in writing called an award, which is blinding. The dispute cannot be taken to tribunal following arbitration</w:t>
      </w:r>
    </w:p>
    <w:p w14:paraId="16056E7B" w14:textId="696C30E2" w:rsidR="00DE3157" w:rsidRDefault="00DE3157"/>
    <w:p w14:paraId="769C43E3" w14:textId="63E549FB" w:rsidR="00DE3157" w:rsidRDefault="00DE3157"/>
    <w:p w14:paraId="6E541F63" w14:textId="70685768" w:rsidR="00DE3157" w:rsidRDefault="00DE3157">
      <w:r>
        <w:t>Mediation – this service is very much the same as conciliation except the dispute is not panned to make a claim in tribunal, the process involves an independent mediator who holds individual meeting with both parties and then a joint meeting where a resolution will be agreed and the mediator will clarify roles and responsibilities to making it work, mediation cannot be offered if conciliation is being undertaken,(ACAS) mediation is not suitable for all types of disputes primarily around the breakdown of relationships (Taylor and Woodhams, 2016)</w:t>
      </w:r>
    </w:p>
    <w:p w14:paraId="132F7DCB" w14:textId="1FF99496" w:rsidR="00DE3157" w:rsidRDefault="00DE3157"/>
    <w:p w14:paraId="44C60F0A" w14:textId="1580F640" w:rsidR="00DE3157" w:rsidRDefault="00DE3157"/>
    <w:p w14:paraId="0F73C2BB" w14:textId="67022C5D" w:rsidR="00DE3157" w:rsidRDefault="00DE3157"/>
    <w:p w14:paraId="596CE0F9" w14:textId="40FF8D98" w:rsidR="00DE3157" w:rsidRDefault="00DE3157"/>
    <w:p w14:paraId="26E7D198" w14:textId="266071BD" w:rsidR="00DE3157" w:rsidRDefault="00DE3157"/>
    <w:p w14:paraId="5CF81801" w14:textId="34BDCEFB" w:rsidR="00DE3157" w:rsidRDefault="00DE3157"/>
    <w:p w14:paraId="70BA4D3F" w14:textId="36325077" w:rsidR="00DE3157" w:rsidRDefault="00DE3157"/>
    <w:p w14:paraId="4345B255" w14:textId="63D73D32" w:rsidR="00DE3157" w:rsidRDefault="00DE3157"/>
    <w:p w14:paraId="53538A98" w14:textId="46F8C47B" w:rsidR="00DE3157" w:rsidRDefault="00DE3157"/>
    <w:p w14:paraId="509685AA" w14:textId="3992A293" w:rsidR="00DE3157" w:rsidRDefault="00DE3157"/>
    <w:p w14:paraId="4973B6BF" w14:textId="773692F4" w:rsidR="00DE3157" w:rsidRDefault="00DE3157"/>
    <w:p w14:paraId="03B0851E" w14:textId="25EF87B9" w:rsidR="00DE3157" w:rsidRDefault="00DE3157"/>
    <w:p w14:paraId="7136840B" w14:textId="537490E8" w:rsidR="00DE3157" w:rsidRDefault="00DE3157"/>
    <w:p w14:paraId="39E7F850" w14:textId="132DDB59" w:rsidR="00DE3157" w:rsidRDefault="00DE3157"/>
    <w:p w14:paraId="6144A758" w14:textId="21D4B5C9" w:rsidR="00DE3157" w:rsidRDefault="00DE3157"/>
    <w:p w14:paraId="784E9930" w14:textId="7A57B6FA" w:rsidR="00DE3157" w:rsidRDefault="00DE3157"/>
    <w:p w14:paraId="12138E6F" w14:textId="134BE44F" w:rsidR="00DE3157" w:rsidRDefault="00DE3157"/>
    <w:p w14:paraId="61827613" w14:textId="64F8ACC3" w:rsidR="00DE3157" w:rsidRDefault="00DE3157"/>
    <w:p w14:paraId="3308AA54" w14:textId="6E7B2B29" w:rsidR="00DE3157" w:rsidRDefault="00DE3157"/>
    <w:p w14:paraId="0633AB26" w14:textId="07398FF9" w:rsidR="00DE3157" w:rsidRDefault="00DE3157"/>
    <w:p w14:paraId="4654FBA7" w14:textId="45471859" w:rsidR="00DE3157" w:rsidRDefault="00DE3157"/>
    <w:p w14:paraId="537DF0A3" w14:textId="2185830B" w:rsidR="00DE3157" w:rsidRDefault="00DE3157"/>
    <w:p w14:paraId="1A011111" w14:textId="35F88B60" w:rsidR="00DE3157" w:rsidRDefault="00DE3157"/>
    <w:p w14:paraId="1B079F52" w14:textId="0E77BE2C" w:rsidR="00DE3157" w:rsidRDefault="00DE3157"/>
    <w:p w14:paraId="22C74600" w14:textId="51D52153" w:rsidR="00DE3157" w:rsidRDefault="00DE3157"/>
    <w:p w14:paraId="786C573F" w14:textId="6F5C13E1" w:rsidR="00DE3157" w:rsidRDefault="00DE3157"/>
    <w:p w14:paraId="3A7392A7" w14:textId="7ECDEA81" w:rsidR="00DE3157" w:rsidRDefault="00DE3157"/>
    <w:p w14:paraId="3CAA4EE6" w14:textId="6CA1A717" w:rsidR="00DE3157" w:rsidRDefault="00DE3157"/>
    <w:p w14:paraId="10941FE2" w14:textId="1D97E4C4" w:rsidR="00DE3157" w:rsidRDefault="00DE3157"/>
    <w:p w14:paraId="672FE780" w14:textId="54E91AE4" w:rsidR="00DE3157" w:rsidRDefault="00DE3157">
      <w:r>
        <w:t>References</w:t>
      </w:r>
    </w:p>
    <w:p w14:paraId="0DB97133" w14:textId="1E38793C" w:rsidR="00DE3157" w:rsidRDefault="00DE3157"/>
    <w:p w14:paraId="778FC61D" w14:textId="11066136" w:rsidR="00DE3157" w:rsidRPr="00DE3157" w:rsidRDefault="00DE3157">
      <w:r>
        <w:t xml:space="preserve">Bryson, A, Gomez, R, Willman, P, (2004) </w:t>
      </w:r>
      <w:r>
        <w:rPr>
          <w:i/>
          <w:iCs/>
        </w:rPr>
        <w:t xml:space="preserve">The end of the affair: The decline in </w:t>
      </w:r>
      <w:proofErr w:type="gramStart"/>
      <w:r>
        <w:rPr>
          <w:i/>
          <w:iCs/>
        </w:rPr>
        <w:t>employers</w:t>
      </w:r>
      <w:proofErr w:type="gramEnd"/>
      <w:r>
        <w:rPr>
          <w:i/>
          <w:iCs/>
        </w:rPr>
        <w:t xml:space="preserve"> propensity to unionise, </w:t>
      </w:r>
      <w:r>
        <w:t>Union organisation</w:t>
      </w:r>
    </w:p>
    <w:p w14:paraId="2042AB41" w14:textId="38B0B242" w:rsidR="00DE3157" w:rsidRDefault="00DE3157"/>
    <w:p w14:paraId="6DB3590D" w14:textId="41D2B1CD" w:rsidR="00DE3157" w:rsidRDefault="00DE3157">
      <w:r>
        <w:t xml:space="preserve">Benson, J, and Brown, M, (2010), </w:t>
      </w:r>
      <w:r w:rsidRPr="00DE3157">
        <w:rPr>
          <w:i/>
          <w:iCs/>
        </w:rPr>
        <w:t>Employee Voice: does union membership matter?</w:t>
      </w:r>
      <w:r>
        <w:t xml:space="preserve"> Human Resourcing Management Journal</w:t>
      </w:r>
    </w:p>
    <w:p w14:paraId="38A92939" w14:textId="4C9F340B" w:rsidR="00DE3157" w:rsidRDefault="00DE3157"/>
    <w:p w14:paraId="129C56A7" w14:textId="31292219" w:rsidR="00DE3157" w:rsidRDefault="00DE3157">
      <w:r>
        <w:t xml:space="preserve">CIPD, (2021), </w:t>
      </w:r>
      <w:r>
        <w:rPr>
          <w:i/>
          <w:iCs/>
        </w:rPr>
        <w:t>Employment Law, UK, EU and Brexit,</w:t>
      </w:r>
      <w:r>
        <w:t xml:space="preserve"> Chartered Institute of Personnel and Development, London</w:t>
      </w:r>
    </w:p>
    <w:p w14:paraId="120DDD6B" w14:textId="38F41E86" w:rsidR="00DE3157" w:rsidRDefault="00DE3157"/>
    <w:p w14:paraId="199667E0" w14:textId="77777777" w:rsidR="00DE3157" w:rsidRPr="00DE3157" w:rsidRDefault="00DE3157" w:rsidP="00DE3157">
      <w:r>
        <w:t xml:space="preserve">CIPD, (2020), </w:t>
      </w:r>
      <w:r>
        <w:rPr>
          <w:i/>
          <w:iCs/>
        </w:rPr>
        <w:t>Information and Consultation of Employees (ICE</w:t>
      </w:r>
      <w:proofErr w:type="gramStart"/>
      <w:r>
        <w:rPr>
          <w:i/>
          <w:iCs/>
        </w:rPr>
        <w:t>) :</w:t>
      </w:r>
      <w:proofErr w:type="gramEnd"/>
      <w:r>
        <w:rPr>
          <w:i/>
          <w:iCs/>
        </w:rPr>
        <w:t xml:space="preserve"> what, why, how, </w:t>
      </w:r>
      <w:r>
        <w:t>Chartered Institute of Personnel and Development, London</w:t>
      </w:r>
    </w:p>
    <w:p w14:paraId="0843CD8E" w14:textId="5480A0FE" w:rsidR="00DE3157" w:rsidRDefault="00DE3157">
      <w:pPr>
        <w:rPr>
          <w:i/>
          <w:iCs/>
        </w:rPr>
      </w:pPr>
    </w:p>
    <w:p w14:paraId="39CD1B0C" w14:textId="11236A45" w:rsidR="00DE3157" w:rsidRPr="00DE3157" w:rsidRDefault="00DE3157" w:rsidP="00DE3157">
      <w:r>
        <w:t xml:space="preserve">CIPD, (2019), </w:t>
      </w:r>
      <w:r>
        <w:rPr>
          <w:i/>
          <w:iCs/>
        </w:rPr>
        <w:t>Employee Voice,</w:t>
      </w:r>
      <w:r w:rsidRPr="00DE3157">
        <w:t xml:space="preserve"> </w:t>
      </w:r>
      <w:r>
        <w:t>Chartered Institute of Personnel and Development, London</w:t>
      </w:r>
    </w:p>
    <w:p w14:paraId="65AD2276" w14:textId="16B095FC" w:rsidR="00DE3157" w:rsidRDefault="00DE3157"/>
    <w:p w14:paraId="33055A1B" w14:textId="77777777" w:rsidR="00DE3157" w:rsidRPr="00DE3157" w:rsidRDefault="00DE3157" w:rsidP="00DE3157">
      <w:r>
        <w:t xml:space="preserve">CIPD, (2011a), </w:t>
      </w:r>
      <w:r>
        <w:rPr>
          <w:i/>
          <w:iCs/>
        </w:rPr>
        <w:t xml:space="preserve">Conflict Management Survey, </w:t>
      </w:r>
      <w:r>
        <w:t>Chartered Institute of Personnel and Development, London</w:t>
      </w:r>
    </w:p>
    <w:p w14:paraId="0F76B1E0" w14:textId="18126DD4" w:rsidR="00DE3157" w:rsidRDefault="00DE3157">
      <w:pPr>
        <w:rPr>
          <w:i/>
          <w:iCs/>
        </w:rPr>
      </w:pPr>
    </w:p>
    <w:p w14:paraId="69912D16" w14:textId="77777777" w:rsidR="00DE3157" w:rsidRPr="00DE3157" w:rsidRDefault="00DE3157" w:rsidP="00DE3157">
      <w:r>
        <w:t xml:space="preserve">CIPD, (2021), </w:t>
      </w:r>
      <w:r>
        <w:rPr>
          <w:i/>
          <w:iCs/>
        </w:rPr>
        <w:t xml:space="preserve">Employee Relations: an introduction, </w:t>
      </w:r>
      <w:r>
        <w:t>Chartered Institute of Personnel and Development, London</w:t>
      </w:r>
    </w:p>
    <w:p w14:paraId="160C1BFC" w14:textId="7ABD578A" w:rsidR="00DE3157" w:rsidRDefault="00DE3157">
      <w:pPr>
        <w:rPr>
          <w:i/>
          <w:iCs/>
        </w:rPr>
      </w:pPr>
    </w:p>
    <w:p w14:paraId="7A0D3BFF" w14:textId="77777777" w:rsidR="00DE3157" w:rsidRPr="00DE3157" w:rsidRDefault="00DE3157" w:rsidP="00DE3157">
      <w:r>
        <w:t xml:space="preserve">CIPD, (2013) </w:t>
      </w:r>
      <w:r>
        <w:rPr>
          <w:i/>
          <w:iCs/>
        </w:rPr>
        <w:t xml:space="preserve">Real life leaders: closing the knowing doing gap, </w:t>
      </w:r>
      <w:r>
        <w:t>Chartered Institute of Personnel and Development, London</w:t>
      </w:r>
    </w:p>
    <w:p w14:paraId="4CD43362" w14:textId="34847D71" w:rsidR="00DE3157" w:rsidRDefault="00DE3157">
      <w:pPr>
        <w:rPr>
          <w:i/>
          <w:iCs/>
        </w:rPr>
      </w:pPr>
    </w:p>
    <w:p w14:paraId="51050D04" w14:textId="38C0CF12" w:rsidR="00DE3157" w:rsidRPr="00DE3157" w:rsidRDefault="00DE3157" w:rsidP="00DE3157">
      <w:r>
        <w:t xml:space="preserve">CIPD, (2017), </w:t>
      </w:r>
      <w:r>
        <w:rPr>
          <w:i/>
          <w:iCs/>
        </w:rPr>
        <w:t xml:space="preserve">Power dynamic in work and employment relationships: the capacity for employee influence, </w:t>
      </w:r>
      <w:r>
        <w:t>Chartered Institute of Personnel and Development, London</w:t>
      </w:r>
    </w:p>
    <w:p w14:paraId="59CD17BD" w14:textId="57D4B962" w:rsidR="00DE3157" w:rsidRDefault="00DE3157">
      <w:pPr>
        <w:rPr>
          <w:i/>
          <w:iCs/>
        </w:rPr>
      </w:pPr>
    </w:p>
    <w:p w14:paraId="32E25024" w14:textId="78C724C0" w:rsidR="00DE3157" w:rsidRPr="00DE3157" w:rsidRDefault="00DE3157" w:rsidP="00DE3157">
      <w:r>
        <w:t xml:space="preserve">CIPD, (2013), </w:t>
      </w:r>
      <w:r>
        <w:rPr>
          <w:i/>
          <w:iCs/>
        </w:rPr>
        <w:t xml:space="preserve">Megatrends: the trends shaping work and working lives, </w:t>
      </w:r>
      <w:r>
        <w:t>Chartered Institute of Personnel and Development, London</w:t>
      </w:r>
    </w:p>
    <w:p w14:paraId="16D8C842" w14:textId="5BEE1FC3" w:rsidR="00DE3157" w:rsidRDefault="00DE3157">
      <w:pPr>
        <w:rPr>
          <w:i/>
          <w:iCs/>
        </w:rPr>
      </w:pPr>
    </w:p>
    <w:p w14:paraId="59455C0C" w14:textId="530040FC" w:rsidR="00DE3157" w:rsidRDefault="00DE3157">
      <w:r>
        <w:t>Colling, T, Terry, M (2010),3</w:t>
      </w:r>
      <w:r w:rsidRPr="00DE3157">
        <w:rPr>
          <w:vertAlign w:val="superscript"/>
        </w:rPr>
        <w:t>rd</w:t>
      </w:r>
      <w:r>
        <w:t xml:space="preserve"> ed, </w:t>
      </w:r>
      <w:r>
        <w:rPr>
          <w:i/>
          <w:iCs/>
        </w:rPr>
        <w:t xml:space="preserve">Industrial relations, Theory and practice, </w:t>
      </w:r>
      <w:r>
        <w:t>John Wiley, and sons</w:t>
      </w:r>
    </w:p>
    <w:p w14:paraId="55615C58" w14:textId="13208851" w:rsidR="00DE3157" w:rsidRDefault="00DE3157"/>
    <w:p w14:paraId="621A57ED" w14:textId="06CBD147" w:rsidR="00DE3157" w:rsidRDefault="00DE3157">
      <w:proofErr w:type="spellStart"/>
      <w:proofErr w:type="gramStart"/>
      <w:r>
        <w:t>Cradden</w:t>
      </w:r>
      <w:proofErr w:type="spellEnd"/>
      <w:r>
        <w:t>,,</w:t>
      </w:r>
      <w:proofErr w:type="gramEnd"/>
      <w:r>
        <w:t xml:space="preserve">C, (2011), </w:t>
      </w:r>
      <w:proofErr w:type="spellStart"/>
      <w:r>
        <w:t>Unitarism</w:t>
      </w:r>
      <w:proofErr w:type="spellEnd"/>
      <w:r>
        <w:t xml:space="preserve"> pluralism, radicalism and the rest, </w:t>
      </w:r>
      <w:proofErr w:type="spellStart"/>
      <w:r>
        <w:t>Universite</w:t>
      </w:r>
      <w:proofErr w:type="spellEnd"/>
      <w:r>
        <w:t xml:space="preserve"> de Geneve</w:t>
      </w:r>
    </w:p>
    <w:p w14:paraId="542832BC" w14:textId="252F3B01" w:rsidR="00DE3157" w:rsidRDefault="00DE3157"/>
    <w:p w14:paraId="1FF74DA3" w14:textId="029938B7" w:rsidR="00DE3157" w:rsidRPr="00DE3157" w:rsidRDefault="00DE3157">
      <w:r>
        <w:t xml:space="preserve">Fox, A (1966), </w:t>
      </w:r>
      <w:r>
        <w:rPr>
          <w:i/>
          <w:iCs/>
        </w:rPr>
        <w:t xml:space="preserve">Managerial ideology and labour relations, </w:t>
      </w:r>
      <w:r>
        <w:t>British journal of industrial relations</w:t>
      </w:r>
    </w:p>
    <w:p w14:paraId="52905E3B" w14:textId="077BE776" w:rsidR="00DE3157" w:rsidRDefault="00DE3157"/>
    <w:p w14:paraId="4350AFDE" w14:textId="77777777" w:rsidR="00DE3157" w:rsidRPr="00DE3157" w:rsidRDefault="00DE3157" w:rsidP="00DE3157">
      <w:r>
        <w:t xml:space="preserve">Gennard, J, and Judge, G, (2010) </w:t>
      </w:r>
      <w:r>
        <w:rPr>
          <w:i/>
          <w:iCs/>
        </w:rPr>
        <w:t xml:space="preserve">Managing employment </w:t>
      </w:r>
      <w:proofErr w:type="spellStart"/>
      <w:r>
        <w:rPr>
          <w:i/>
          <w:iCs/>
        </w:rPr>
        <w:t>realtions</w:t>
      </w:r>
      <w:proofErr w:type="spellEnd"/>
      <w:r>
        <w:rPr>
          <w:i/>
          <w:iCs/>
        </w:rPr>
        <w:t>, 5</w:t>
      </w:r>
      <w:r w:rsidRPr="00DE3157">
        <w:rPr>
          <w:i/>
          <w:iCs/>
          <w:vertAlign w:val="superscript"/>
        </w:rPr>
        <w:t>th</w:t>
      </w:r>
      <w:r>
        <w:rPr>
          <w:i/>
          <w:iCs/>
        </w:rPr>
        <w:t xml:space="preserve"> ed, </w:t>
      </w:r>
      <w:r>
        <w:t>Chartered Institute of Personnel and Development, London</w:t>
      </w:r>
    </w:p>
    <w:p w14:paraId="7EC567DB" w14:textId="762E49A5" w:rsidR="00DE3157" w:rsidRDefault="00DE3157"/>
    <w:p w14:paraId="68CC4057" w14:textId="69723797" w:rsidR="00DE3157" w:rsidRDefault="00DE3157">
      <w:r>
        <w:t xml:space="preserve">Guest, </w:t>
      </w:r>
      <w:proofErr w:type="gramStart"/>
      <w:r>
        <w:t>D,E</w:t>
      </w:r>
      <w:proofErr w:type="gramEnd"/>
      <w:r>
        <w:t xml:space="preserve">, and Conway, N, (2002) </w:t>
      </w:r>
      <w:r>
        <w:rPr>
          <w:i/>
          <w:iCs/>
        </w:rPr>
        <w:t>Communicating the psychological contract: an employer perspective,</w:t>
      </w:r>
      <w:r>
        <w:t xml:space="preserve"> Human Resource Management Journal </w:t>
      </w:r>
    </w:p>
    <w:p w14:paraId="5DCB9876" w14:textId="66A4C354" w:rsidR="00DE3157" w:rsidRDefault="00DE3157"/>
    <w:p w14:paraId="59E64CE6" w14:textId="740D48AA" w:rsidR="00DE3157" w:rsidRDefault="00DE3157">
      <w:pPr>
        <w:rPr>
          <w:i/>
          <w:iCs/>
        </w:rPr>
      </w:pPr>
      <w:r>
        <w:t xml:space="preserve">Kilroy, J, and </w:t>
      </w:r>
      <w:proofErr w:type="spellStart"/>
      <w:r>
        <w:t>Dundon</w:t>
      </w:r>
      <w:proofErr w:type="spellEnd"/>
      <w:r>
        <w:t xml:space="preserve">, T, (2015), </w:t>
      </w:r>
      <w:r>
        <w:rPr>
          <w:i/>
          <w:iCs/>
        </w:rPr>
        <w:t xml:space="preserve">The multiple faces of </w:t>
      </w:r>
      <w:proofErr w:type="gramStart"/>
      <w:r>
        <w:rPr>
          <w:i/>
          <w:iCs/>
        </w:rPr>
        <w:t>front line</w:t>
      </w:r>
      <w:proofErr w:type="gramEnd"/>
      <w:r>
        <w:rPr>
          <w:i/>
          <w:iCs/>
        </w:rPr>
        <w:t xml:space="preserve"> managers, </w:t>
      </w:r>
      <w:hyperlink r:id="rId6" w:history="1">
        <w:r w:rsidRPr="00F66AB0">
          <w:rPr>
            <w:rStyle w:val="Hyperlink"/>
            <w:i/>
            <w:iCs/>
          </w:rPr>
          <w:t>www.emeraldinsight.com</w:t>
        </w:r>
      </w:hyperlink>
      <w:r>
        <w:rPr>
          <w:i/>
          <w:iCs/>
        </w:rPr>
        <w:t xml:space="preserve"> (accessed 02/01/22)</w:t>
      </w:r>
    </w:p>
    <w:p w14:paraId="3CA98A82" w14:textId="4F3374AB" w:rsidR="00DE3157" w:rsidRDefault="00DE3157">
      <w:pPr>
        <w:rPr>
          <w:i/>
          <w:iCs/>
        </w:rPr>
      </w:pPr>
    </w:p>
    <w:p w14:paraId="040F9CFD" w14:textId="79BBE959" w:rsidR="00DE3157" w:rsidRDefault="00DE3157">
      <w:proofErr w:type="spellStart"/>
      <w:r>
        <w:rPr>
          <w:i/>
          <w:iCs/>
        </w:rPr>
        <w:t>Macloed</w:t>
      </w:r>
      <w:proofErr w:type="spellEnd"/>
      <w:r>
        <w:rPr>
          <w:i/>
          <w:iCs/>
        </w:rPr>
        <w:t xml:space="preserve">, D and Clarke N, (2009), </w:t>
      </w:r>
      <w:r>
        <w:t>Engaging for success, BIS</w:t>
      </w:r>
    </w:p>
    <w:p w14:paraId="38F3EA87" w14:textId="007905CD" w:rsidR="00DE3157" w:rsidRDefault="00DE3157"/>
    <w:p w14:paraId="3DE04B43" w14:textId="47409E2D" w:rsidR="00DE3157" w:rsidRPr="00DE3157" w:rsidRDefault="00DE3157">
      <w:pPr>
        <w:rPr>
          <w:i/>
          <w:iCs/>
        </w:rPr>
      </w:pPr>
      <w:r>
        <w:t xml:space="preserve">ONS, (2021), </w:t>
      </w:r>
      <w:r>
        <w:rPr>
          <w:i/>
          <w:iCs/>
        </w:rPr>
        <w:t>Public sector employment, UK</w:t>
      </w:r>
    </w:p>
    <w:p w14:paraId="5E38B37B" w14:textId="404A6075" w:rsidR="00DE3157" w:rsidRDefault="00DE3157"/>
    <w:p w14:paraId="00633C21" w14:textId="6E077AE3" w:rsidR="00DE3157" w:rsidRPr="00DE3157" w:rsidRDefault="00DE3157">
      <w:proofErr w:type="spellStart"/>
      <w:proofErr w:type="gramStart"/>
      <w:r>
        <w:t>Purcell,J</w:t>
      </w:r>
      <w:proofErr w:type="spellEnd"/>
      <w:proofErr w:type="gramEnd"/>
      <w:r>
        <w:t xml:space="preserve">, </w:t>
      </w:r>
      <w:proofErr w:type="spellStart"/>
      <w:r>
        <w:t>Kinnie</w:t>
      </w:r>
      <w:proofErr w:type="spellEnd"/>
      <w:r>
        <w:t xml:space="preserve">, N, </w:t>
      </w:r>
      <w:proofErr w:type="spellStart"/>
      <w:r>
        <w:t>Hutchinson,S</w:t>
      </w:r>
      <w:proofErr w:type="spellEnd"/>
      <w:r>
        <w:t xml:space="preserve">, </w:t>
      </w:r>
      <w:proofErr w:type="spellStart"/>
      <w:r>
        <w:t>Rayton</w:t>
      </w:r>
      <w:proofErr w:type="spellEnd"/>
      <w:r>
        <w:t xml:space="preserve">, B, and Swart, J, (2003) </w:t>
      </w:r>
      <w:r w:rsidRPr="00DE3157">
        <w:rPr>
          <w:i/>
          <w:iCs/>
        </w:rPr>
        <w:t>Understanding the</w:t>
      </w:r>
      <w:r>
        <w:t xml:space="preserve"> </w:t>
      </w:r>
      <w:r w:rsidRPr="00DE3157">
        <w:rPr>
          <w:i/>
          <w:iCs/>
        </w:rPr>
        <w:t xml:space="preserve">people and performance link: unlocking the black box, </w:t>
      </w:r>
      <w:r>
        <w:t>British Journal of industrial relations</w:t>
      </w:r>
    </w:p>
    <w:p w14:paraId="5FBC377F" w14:textId="7FB43BF7" w:rsidR="00DE3157" w:rsidRDefault="00DE3157"/>
    <w:p w14:paraId="406D6585" w14:textId="0671BDD2" w:rsidR="00DE3157" w:rsidRPr="00DE3157" w:rsidRDefault="00DE3157">
      <w:r>
        <w:lastRenderedPageBreak/>
        <w:t xml:space="preserve">Rose, E, (2004) </w:t>
      </w:r>
      <w:r>
        <w:rPr>
          <w:i/>
          <w:iCs/>
        </w:rPr>
        <w:t>Employment relations,</w:t>
      </w:r>
      <w:r>
        <w:t xml:space="preserve"> FT prentice hall</w:t>
      </w:r>
    </w:p>
    <w:p w14:paraId="7697AE49" w14:textId="548BDCB5" w:rsidR="00DE3157" w:rsidRDefault="00DE3157"/>
    <w:p w14:paraId="149EE72B" w14:textId="0681199B" w:rsidR="00DE3157" w:rsidRDefault="00DE3157">
      <w:proofErr w:type="spellStart"/>
      <w:proofErr w:type="gramStart"/>
      <w:r>
        <w:t>Sisson,K</w:t>
      </w:r>
      <w:proofErr w:type="spellEnd"/>
      <w:proofErr w:type="gramEnd"/>
      <w:r>
        <w:t xml:space="preserve">, (2010), </w:t>
      </w:r>
      <w:r>
        <w:rPr>
          <w:i/>
          <w:iCs/>
        </w:rPr>
        <w:t>Employment relations matter,</w:t>
      </w:r>
      <w:r>
        <w:t xml:space="preserve"> </w:t>
      </w:r>
      <w:hyperlink r:id="rId7" w:history="1">
        <w:r w:rsidRPr="00F66AB0">
          <w:rPr>
            <w:rStyle w:val="Hyperlink"/>
          </w:rPr>
          <w:t>www.warwick.ac.uk</w:t>
        </w:r>
      </w:hyperlink>
      <w:r>
        <w:t xml:space="preserve"> (accessed 02/01/22)</w:t>
      </w:r>
    </w:p>
    <w:p w14:paraId="21BFFA2B" w14:textId="5CED1990" w:rsidR="00DE3157" w:rsidRDefault="00DE3157"/>
    <w:p w14:paraId="2DBABB46" w14:textId="77777777" w:rsidR="00DE3157" w:rsidRPr="00DE3157" w:rsidRDefault="00DE3157" w:rsidP="00DE3157">
      <w:r>
        <w:t>Taylor, S and Woodhams, C, (2016) Human resource management, people and organisations, 2</w:t>
      </w:r>
      <w:r w:rsidRPr="00DE3157">
        <w:rPr>
          <w:vertAlign w:val="superscript"/>
        </w:rPr>
        <w:t>nd</w:t>
      </w:r>
      <w:r>
        <w:t xml:space="preserve"> ed, </w:t>
      </w:r>
      <w:r>
        <w:t>Chartered Institute of Personnel and Development, London</w:t>
      </w:r>
    </w:p>
    <w:p w14:paraId="0EFA9044" w14:textId="5C9EB133" w:rsidR="00DE3157" w:rsidRDefault="00DE3157"/>
    <w:p w14:paraId="4F00E2BE" w14:textId="355AC431" w:rsidR="00DE3157" w:rsidRDefault="00DE3157">
      <w:pPr>
        <w:rPr>
          <w:i/>
          <w:iCs/>
        </w:rPr>
      </w:pPr>
      <w:r>
        <w:t xml:space="preserve">The Guardian, (2021) </w:t>
      </w:r>
      <w:r>
        <w:rPr>
          <w:i/>
          <w:iCs/>
        </w:rPr>
        <w:t>Membership of UK trade unions rises for fourth year in a row</w:t>
      </w:r>
    </w:p>
    <w:p w14:paraId="44251938" w14:textId="77777777" w:rsidR="00DE3157" w:rsidRPr="00DE3157" w:rsidRDefault="00DE3157">
      <w:pPr>
        <w:rPr>
          <w:i/>
          <w:iCs/>
        </w:rPr>
      </w:pPr>
    </w:p>
    <w:p w14:paraId="6BBC1C30" w14:textId="7BBCDBFC" w:rsidR="00DE3157" w:rsidRDefault="00DE3157">
      <w:r>
        <w:t>TULCRA, (1992) Trade unions and labour relations (consolidation) Act 1992</w:t>
      </w:r>
    </w:p>
    <w:p w14:paraId="17505D51" w14:textId="0118AF31" w:rsidR="00DE3157" w:rsidRDefault="00DE3157"/>
    <w:p w14:paraId="2B059835" w14:textId="5A83EE41" w:rsidR="00DE3157" w:rsidRPr="00DE3157" w:rsidRDefault="00DE3157">
      <w:r>
        <w:t xml:space="preserve">WERS, (2013), </w:t>
      </w:r>
      <w:r>
        <w:rPr>
          <w:i/>
          <w:iCs/>
        </w:rPr>
        <w:t xml:space="preserve">workplace employment relations survey, </w:t>
      </w:r>
      <w:hyperlink r:id="rId8" w:history="1">
        <w:r w:rsidRPr="00F66AB0">
          <w:rPr>
            <w:rStyle w:val="Hyperlink"/>
          </w:rPr>
          <w:t>www.gov.uk</w:t>
        </w:r>
      </w:hyperlink>
      <w:r>
        <w:t xml:space="preserve"> (accessed 03/01/22)</w:t>
      </w:r>
    </w:p>
    <w:p w14:paraId="53D589B5" w14:textId="12582CDA" w:rsidR="00DE3157" w:rsidRDefault="00DE3157"/>
    <w:p w14:paraId="5BBD56A0" w14:textId="1FFF6469" w:rsidR="00DE3157" w:rsidRDefault="00DE3157">
      <w:r>
        <w:t xml:space="preserve">Williams, S, and Adam-Smith, D, (2010), </w:t>
      </w:r>
      <w:r>
        <w:rPr>
          <w:i/>
          <w:iCs/>
        </w:rPr>
        <w:t xml:space="preserve">Contemporary employment relations: a critical introduction, </w:t>
      </w:r>
      <w:r>
        <w:t>Oxford university press</w:t>
      </w:r>
    </w:p>
    <w:p w14:paraId="23BBE138" w14:textId="77777777" w:rsidR="00DE3157" w:rsidRPr="00DE3157" w:rsidRDefault="00DE3157"/>
    <w:p w14:paraId="1752C00F" w14:textId="6AE6AFFD" w:rsidR="00DE3157" w:rsidRDefault="00DE3157">
      <w:pPr>
        <w:rPr>
          <w:i/>
          <w:iCs/>
        </w:rPr>
      </w:pPr>
      <w:r>
        <w:t xml:space="preserve">Wood, S, and Elliott, R, (1997), </w:t>
      </w:r>
      <w:r>
        <w:rPr>
          <w:i/>
          <w:iCs/>
        </w:rPr>
        <w:t xml:space="preserve">A critical evaluation of Fox’s radicalisation of industrial relations theory, Sociology </w:t>
      </w:r>
    </w:p>
    <w:p w14:paraId="2EFA7E3D" w14:textId="5AC9B16A" w:rsidR="00DE3157" w:rsidRDefault="00DE3157">
      <w:pPr>
        <w:rPr>
          <w:i/>
          <w:iCs/>
        </w:rPr>
      </w:pPr>
    </w:p>
    <w:p w14:paraId="06A825C0" w14:textId="6CF8407F" w:rsidR="00DE3157" w:rsidRPr="00DE3157" w:rsidRDefault="00DE3157">
      <w:pPr>
        <w:rPr>
          <w:i/>
          <w:iCs/>
        </w:rPr>
      </w:pPr>
      <w:hyperlink r:id="rId9" w:history="1">
        <w:r w:rsidRPr="00F66AB0">
          <w:rPr>
            <w:rStyle w:val="Hyperlink"/>
            <w:i/>
            <w:iCs/>
          </w:rPr>
          <w:t>www.nidirect.gov.uk/introductions-trade-unions</w:t>
        </w:r>
      </w:hyperlink>
      <w:r>
        <w:rPr>
          <w:i/>
          <w:iCs/>
        </w:rPr>
        <w:t xml:space="preserve"> (accessed 02/01/22)</w:t>
      </w:r>
    </w:p>
    <w:sectPr w:rsidR="00DE3157" w:rsidRPr="00DE3157">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B5EA4"/>
    <w:multiLevelType w:val="hybridMultilevel"/>
    <w:tmpl w:val="B322C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117C71"/>
    <w:multiLevelType w:val="hybridMultilevel"/>
    <w:tmpl w:val="B26C4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A6E42"/>
    <w:multiLevelType w:val="hybridMultilevel"/>
    <w:tmpl w:val="4EA8E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FC671A"/>
    <w:multiLevelType w:val="hybridMultilevel"/>
    <w:tmpl w:val="393AE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1866EE"/>
    <w:multiLevelType w:val="hybridMultilevel"/>
    <w:tmpl w:val="1ACE9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413ACF"/>
    <w:multiLevelType w:val="hybridMultilevel"/>
    <w:tmpl w:val="C29212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493253EB"/>
    <w:multiLevelType w:val="hybridMultilevel"/>
    <w:tmpl w:val="5DEA5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861499"/>
    <w:multiLevelType w:val="hybridMultilevel"/>
    <w:tmpl w:val="D6F2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32480"/>
    <w:multiLevelType w:val="hybridMultilevel"/>
    <w:tmpl w:val="FBDE2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2"/>
  </w:num>
  <w:num w:numId="4">
    <w:abstractNumId w:val="4"/>
  </w:num>
  <w:num w:numId="5">
    <w:abstractNumId w:val="5"/>
  </w:num>
  <w:num w:numId="6">
    <w:abstractNumId w:val="7"/>
  </w:num>
  <w:num w:numId="7">
    <w:abstractNumId w:val="8"/>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157"/>
    <w:rsid w:val="003311B0"/>
    <w:rsid w:val="006E30D5"/>
    <w:rsid w:val="009D794A"/>
    <w:rsid w:val="00B4225C"/>
    <w:rsid w:val="00DE3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86CEA"/>
  <w15:chartTrackingRefBased/>
  <w15:docId w15:val="{C03CD2F8-1B0D-A248-82C5-13E261AF4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157"/>
    <w:pPr>
      <w:suppressAutoHyphens/>
    </w:pPr>
    <w:rPr>
      <w:rFonts w:ascii="Arial" w:eastAsia="Calibri" w:hAnsi="Arial" w:cs="Times New Roman"/>
      <w:color w:val="1F497D"/>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157"/>
    <w:pPr>
      <w:ind w:left="720"/>
      <w:contextualSpacing/>
    </w:pPr>
  </w:style>
  <w:style w:type="character" w:styleId="Hyperlink">
    <w:name w:val="Hyperlink"/>
    <w:basedOn w:val="DefaultParagraphFont"/>
    <w:uiPriority w:val="99"/>
    <w:unhideWhenUsed/>
    <w:rsid w:val="00DE3157"/>
    <w:rPr>
      <w:color w:val="0563C1" w:themeColor="hyperlink"/>
      <w:u w:val="single"/>
    </w:rPr>
  </w:style>
  <w:style w:type="character" w:styleId="UnresolvedMention">
    <w:name w:val="Unresolved Mention"/>
    <w:basedOn w:val="DefaultParagraphFont"/>
    <w:uiPriority w:val="99"/>
    <w:semiHidden/>
    <w:unhideWhenUsed/>
    <w:rsid w:val="00DE31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0582047">
      <w:bodyDiv w:val="1"/>
      <w:marLeft w:val="0"/>
      <w:marRight w:val="0"/>
      <w:marTop w:val="0"/>
      <w:marBottom w:val="0"/>
      <w:divBdr>
        <w:top w:val="none" w:sz="0" w:space="0" w:color="auto"/>
        <w:left w:val="none" w:sz="0" w:space="0" w:color="auto"/>
        <w:bottom w:val="none" w:sz="0" w:space="0" w:color="auto"/>
        <w:right w:val="none" w:sz="0" w:space="0" w:color="auto"/>
      </w:divBdr>
    </w:div>
    <w:div w:id="1573812160">
      <w:bodyDiv w:val="1"/>
      <w:marLeft w:val="0"/>
      <w:marRight w:val="0"/>
      <w:marTop w:val="0"/>
      <w:marBottom w:val="0"/>
      <w:divBdr>
        <w:top w:val="none" w:sz="0" w:space="0" w:color="auto"/>
        <w:left w:val="none" w:sz="0" w:space="0" w:color="auto"/>
        <w:bottom w:val="none" w:sz="0" w:space="0" w:color="auto"/>
        <w:right w:val="none" w:sz="0" w:space="0" w:color="auto"/>
      </w:divBdr>
    </w:div>
    <w:div w:id="1701395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3" Type="http://schemas.openxmlformats.org/officeDocument/2006/relationships/styles" Target="styles.xml"/><Relationship Id="rId7" Type="http://schemas.openxmlformats.org/officeDocument/2006/relationships/hyperlink" Target="http://www.warwick.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emeraldinsight.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nidirect.gov.uk/introductions-trade-un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8852E-4662-BE46-B071-F7D3EB7E9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11</Pages>
  <Words>3532</Words>
  <Characters>20136</Characters>
  <Application>Microsoft Office Word</Application>
  <DocSecurity>0</DocSecurity>
  <Lines>167</Lines>
  <Paragraphs>47</Paragraphs>
  <ScaleCrop>false</ScaleCrop>
  <Company/>
  <LinksUpToDate>false</LinksUpToDate>
  <CharactersWithSpaces>23621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Elizabeth Jeffreys (2005784)</dc:creator>
  <cp:keywords/>
  <dc:description/>
  <cp:lastModifiedBy>Tara Elizabeth Jeffreys (2005784)</cp:lastModifiedBy>
  <cp:revision>1</cp:revision>
  <dcterms:created xsi:type="dcterms:W3CDTF">2021-12-30T11:45:00Z</dcterms:created>
  <dcterms:modified xsi:type="dcterms:W3CDTF">2022-01-06T16:09:00Z</dcterms:modified>
</cp:coreProperties>
</file>