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bidi w:val="0"/>
        <w:spacing w:lineRule="auto" w:line="360"/>
        <w:ind w:hanging="0" w:start="-540" w:end="0"/>
        <w:jc w:val="center"/>
        <w:rPr>
          <w:rFonts w:ascii="Times New Roman" w:hAnsi="Times New Roman"/>
          <w:b/>
          <w:sz w:val="24"/>
          <w:szCs w:val="24"/>
        </w:rPr>
      </w:pPr>
      <w:r>
        <w:rPr>
          <w:rFonts w:ascii="Times New Roman" w:hAnsi="Times New Roman"/>
          <w:b/>
          <w:sz w:val="24"/>
          <w:szCs w:val="24"/>
        </w:rPr>
        <w:t xml:space="preserve">       </w:t>
      </w:r>
    </w:p>
    <w:p>
      <w:pPr>
        <w:pStyle w:val="BodyText"/>
        <w:bidi w:val="0"/>
        <w:spacing w:lineRule="auto" w:line="360"/>
        <w:ind w:hanging="0" w:start="-540" w:end="0"/>
        <w:jc w:val="center"/>
        <w:rPr>
          <w:rFonts w:ascii="Times New Roman" w:hAnsi="Times New Roman"/>
          <w:b/>
          <w:sz w:val="40"/>
          <w:szCs w:val="40"/>
        </w:rPr>
      </w:pPr>
      <w:r>
        <w:rPr>
          <w:rFonts w:ascii="Times New Roman" w:hAnsi="Times New Roman"/>
          <w:b/>
          <w:sz w:val="40"/>
          <w:szCs w:val="40"/>
        </w:rPr>
        <w:t xml:space="preserve">Optimizing Urban Food Delivery: A Statistical Analysis of Operational Efficiency and Environmental Impact </w:t>
      </w:r>
    </w:p>
    <w:p>
      <w:pPr>
        <w:pStyle w:val="BodyText"/>
        <w:bidi w:val="0"/>
        <w:spacing w:lineRule="auto" w:line="360"/>
        <w:ind w:hanging="0" w:start="-540" w:end="0"/>
        <w:jc w:val="center"/>
        <w:rPr>
          <w:rFonts w:ascii="Times New Roman" w:hAnsi="Times New Roman"/>
          <w:b/>
          <w:sz w:val="40"/>
          <w:szCs w:val="40"/>
        </w:rPr>
      </w:pPr>
      <w:r>
        <w:rPr>
          <w:rFonts w:ascii="Times New Roman" w:hAnsi="Times New Roman"/>
          <w:b/>
          <w:sz w:val="40"/>
          <w:szCs w:val="40"/>
        </w:rPr>
      </w:r>
    </w:p>
    <w:p>
      <w:pPr>
        <w:pStyle w:val="BodyText"/>
        <w:bidi w:val="0"/>
        <w:spacing w:lineRule="auto" w:line="360"/>
        <w:ind w:hanging="0" w:start="-540" w:end="0"/>
        <w:jc w:val="center"/>
        <w:rPr>
          <w:rFonts w:ascii="Times New Roman" w:hAnsi="Times New Roman"/>
          <w:b/>
          <w:sz w:val="24"/>
          <w:szCs w:val="24"/>
        </w:rPr>
      </w:pPr>
      <w:r>
        <w:rPr>
          <w:rFonts w:ascii="Times New Roman" w:hAnsi="Times New Roman"/>
          <w:b/>
          <w:sz w:val="24"/>
          <w:szCs w:val="24"/>
        </w:rPr>
      </w:r>
    </w:p>
    <w:p>
      <w:pPr>
        <w:pStyle w:val="Normal"/>
        <w:bidi w:val="0"/>
        <w:spacing w:lineRule="auto" w:line="360"/>
        <w:jc w:val="center"/>
        <w:rPr>
          <w:rFonts w:ascii="Times New Roman" w:hAnsi="Times New Roman" w:cs="Times New Roman"/>
          <w:b/>
          <w:bCs/>
          <w:sz w:val="24"/>
          <w:szCs w:val="24"/>
        </w:rPr>
      </w:pPr>
      <w:r>
        <w:rPr>
          <w:rFonts w:cs="Times New Roman" w:ascii="Times New Roman" w:hAnsi="Times New Roman"/>
          <w:b/>
          <w:bCs/>
          <w:sz w:val="24"/>
          <w:szCs w:val="24"/>
        </w:rPr>
        <w:t>BA (Hons) Business Management</w:t>
      </w:r>
    </w:p>
    <w:p>
      <w:pPr>
        <w:pStyle w:val="Normal"/>
        <w:bidi w:val="0"/>
        <w:spacing w:lineRule="auto" w:line="360" w:before="120" w:after="120"/>
        <w:jc w:val="center"/>
        <w:rPr>
          <w:rFonts w:ascii="Times New Roman" w:hAnsi="Times New Roman" w:cs="Times New Roman"/>
          <w:b/>
          <w:bCs/>
          <w:sz w:val="24"/>
          <w:szCs w:val="24"/>
        </w:rPr>
      </w:pPr>
      <w:r>
        <w:rPr>
          <w:rFonts w:cs="Times New Roman" w:ascii="Times New Roman" w:hAnsi="Times New Roman"/>
          <w:b/>
          <w:bCs/>
          <w:sz w:val="24"/>
          <w:szCs w:val="24"/>
        </w:rPr>
        <w:t>LCBB501</w:t>
      </w:r>
      <w:r>
        <w:rPr>
          <w:rFonts w:cs="Times New Roman" w:ascii="Times New Roman" w:hAnsi="Times New Roman"/>
          <w:b/>
          <w:bCs/>
          <w:sz w:val="24"/>
          <w:szCs w:val="24"/>
        </w:rPr>
        <w:t>4</w:t>
      </w:r>
      <w:r>
        <w:rPr>
          <w:rFonts w:cs="Times New Roman" w:ascii="Times New Roman" w:hAnsi="Times New Roman"/>
          <w:b/>
          <w:bCs/>
          <w:sz w:val="24"/>
          <w:szCs w:val="24"/>
        </w:rPr>
        <w:t xml:space="preserve"> </w:t>
      </w:r>
      <w:bookmarkStart w:id="0" w:name="yui_3_18_1_1_1775083245440_217"/>
      <w:bookmarkEnd w:id="0"/>
      <w:r>
        <w:rPr>
          <w:rFonts w:cs="Times New Roman" w:ascii="Times New Roman" w:hAnsi="Times New Roman"/>
          <w:b/>
          <w:bCs/>
          <w:sz w:val="24"/>
          <w:szCs w:val="24"/>
        </w:rPr>
        <w:t>Data Handling &amp; Business Intelligence</w:t>
      </w:r>
    </w:p>
    <w:p>
      <w:pPr>
        <w:pStyle w:val="Normal"/>
        <w:bidi w:val="0"/>
        <w:spacing w:lineRule="auto" w:line="360" w:before="120" w:after="120"/>
        <w:jc w:val="center"/>
        <w:rPr>
          <w:rFonts w:ascii="Times New Roman" w:hAnsi="Times New Roman" w:cs="Times New Roman"/>
          <w:b/>
          <w:bCs/>
          <w:sz w:val="24"/>
          <w:szCs w:val="24"/>
        </w:rPr>
      </w:pPr>
      <w:r>
        <w:rPr>
          <w:rFonts w:cs="Times New Roman" w:ascii="Times New Roman" w:hAnsi="Times New Roman"/>
          <w:b/>
          <w:bCs/>
          <w:sz w:val="24"/>
          <w:szCs w:val="24"/>
        </w:rPr>
      </w:r>
    </w:p>
    <w:p>
      <w:pPr>
        <w:pStyle w:val="Normal"/>
        <w:bidi w:val="0"/>
        <w:spacing w:lineRule="auto" w:line="360" w:before="120" w:after="120"/>
        <w:jc w:val="center"/>
        <w:rPr>
          <w:rFonts w:ascii="Times New Roman" w:hAnsi="Times New Roman" w:cs="Times New Roman"/>
          <w:b/>
          <w:bCs/>
          <w:sz w:val="24"/>
          <w:szCs w:val="24"/>
        </w:rPr>
      </w:pPr>
      <w:r>
        <w:rPr>
          <w:rFonts w:cs="Times New Roman" w:ascii="Times New Roman" w:hAnsi="Times New Roman"/>
          <w:b/>
          <w:bCs/>
          <w:sz w:val="24"/>
          <w:szCs w:val="24"/>
        </w:rPr>
        <w:t>Angel David Udrea</w:t>
      </w:r>
    </w:p>
    <w:p>
      <w:pPr>
        <w:pStyle w:val="Normal"/>
        <w:bidi w:val="0"/>
        <w:spacing w:lineRule="auto" w:line="360" w:before="120" w:after="120"/>
        <w:jc w:val="center"/>
        <w:rPr>
          <w:rFonts w:ascii="Times New Roman" w:hAnsi="Times New Roman" w:cs="Times New Roman"/>
          <w:b/>
          <w:bCs/>
          <w:sz w:val="24"/>
          <w:szCs w:val="24"/>
        </w:rPr>
      </w:pPr>
      <w:r>
        <w:rPr>
          <w:rFonts w:cs="Times New Roman" w:ascii="Times New Roman" w:hAnsi="Times New Roman"/>
          <w:bCs/>
        </w:rPr>
        <w:t>Student ID: 2429380</w:t>
      </w:r>
    </w:p>
    <w:p>
      <w:pPr>
        <w:pStyle w:val="BodyText"/>
        <w:bidi w:val="0"/>
        <w:spacing w:lineRule="auto" w:line="360"/>
        <w:ind w:hanging="0" w:start="-540" w:end="0"/>
        <w:jc w:val="center"/>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center"/>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t xml:space="preserve">         </w:t>
      </w:r>
    </w:p>
    <w:p>
      <w:pPr>
        <w:pStyle w:val="BodyText"/>
        <w:bidi w:val="0"/>
        <w:spacing w:lineRule="auto" w:line="360"/>
        <w:ind w:hanging="0" w:start="-54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ind w:hanging="0" w:start="0" w:end="0"/>
        <w:jc w:val="start"/>
        <w:rPr>
          <w:rFonts w:ascii="Times New Roman" w:hAnsi="Times New Roman"/>
          <w:b/>
          <w:sz w:val="24"/>
          <w:szCs w:val="24"/>
        </w:rPr>
      </w:pPr>
      <w:r>
        <w:rPr>
          <w:rFonts w:ascii="Times New Roman" w:hAnsi="Times New Roman"/>
          <w:b/>
          <w:sz w:val="24"/>
          <w:szCs w:val="24"/>
        </w:rPr>
        <w:t>Data Analysis and Interpretation of Food Delivery Operations</w:t>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Introduction</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The rapid growth of the platform-to-consumer food delivery business has forced the development of highly optimized logistical frameworks in order to ensure customer happiness and operational efficiency. The dataset used in this analysis (DHB_Dataset_A2), which contains thousands of delivery records, provides a complete perspective of urban food delivery logistics. It includes a wide range of characteristics, such as demographic information about delivery workers (age and ratings), spatiotemporal order metrics, and exogenous environmental elements like weather and road traffic density. The major goal of this research is to examine logistical trends, discover structural patterns, and extract actionable insights using rigorous data manipulation and statistical modeling. </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To achieve this, the analysis is segmented into four core objectives. First, the data undergoes systematic cleaning and preparation within Microsoft Excel to rectify inconsistencies and missing values. Second, fundamental descriptive statistics are calculated using Excel and SPSS to establish the dataset's baseline distributional characteristics. Third, an exploratory trend analysis is visualised to map the interdependencies between environmental conditions, time parameters, and performance indicators like delivery ratings. Finally, hypothesis testing, correlation, and regression analyses are conducted via SPSS to ascertain the statistical significance of these relationships, culminating in evidence-based recommendations for operational strategy optimization.</w:t>
      </w:r>
    </w:p>
    <w:p>
      <w:pPr>
        <w:pStyle w:val="BodyText"/>
        <w:bidi w:val="0"/>
        <w:spacing w:lineRule="auto" w:line="360" w:before="0" w:after="140"/>
        <w:ind w:hanging="0" w:start="0" w:end="0"/>
        <w:jc w:val="start"/>
        <w:rPr/>
      </w:pPr>
      <w:r>
        <w:rPr>
          <w:rFonts w:ascii="Times New Roman" w:hAnsi="Times New Roman"/>
          <w:b/>
          <w:sz w:val="24"/>
          <w:szCs w:val="24"/>
        </w:rPr>
        <w:t>Data Cleaning and Preparation</w:t>
      </w:r>
      <w:r>
        <w:rPr>
          <w:rFonts w:ascii="Times New Roman" w:hAnsi="Times New Roman"/>
          <w:sz w:val="24"/>
          <w:szCs w:val="24"/>
        </w:rPr>
        <w:t xml:space="preserve"> Raw logistical datasets frequently suffer from noise and missingness, necessitating robust pre-processing (Hair et al., 2019). The preliminary data cleaning phase was executed in Microsoft Excel. An initial audit revealed numerous missing entries (</w:t>
      </w:r>
      <w:r>
        <w:rPr>
          <w:rStyle w:val="SourceText"/>
          <w:rFonts w:ascii="Times New Roman" w:hAnsi="Times New Roman"/>
          <w:sz w:val="24"/>
          <w:szCs w:val="24"/>
        </w:rPr>
        <w:t>NaN</w:t>
      </w:r>
      <w:r>
        <w:rPr>
          <w:rFonts w:ascii="Times New Roman" w:hAnsi="Times New Roman"/>
          <w:sz w:val="24"/>
          <w:szCs w:val="24"/>
        </w:rPr>
        <w:t xml:space="preserve">) across critical columns, notably </w:t>
      </w:r>
      <w:r>
        <w:rPr>
          <w:rStyle w:val="SourceText"/>
          <w:rFonts w:ascii="Times New Roman" w:hAnsi="Times New Roman"/>
          <w:sz w:val="24"/>
          <w:szCs w:val="24"/>
        </w:rPr>
        <w:t>Delivery_person_Age</w:t>
      </w:r>
      <w:r>
        <w:rPr>
          <w:rFonts w:ascii="Times New Roman" w:hAnsi="Times New Roman"/>
          <w:sz w:val="24"/>
          <w:szCs w:val="24"/>
        </w:rPr>
        <w:t xml:space="preserve"> and </w:t>
      </w:r>
      <w:r>
        <w:rPr>
          <w:rStyle w:val="SourceText"/>
          <w:rFonts w:ascii="Times New Roman" w:hAnsi="Times New Roman"/>
          <w:sz w:val="24"/>
          <w:szCs w:val="24"/>
        </w:rPr>
        <w:t>Delivery_person_Ratings</w:t>
      </w:r>
      <w:r>
        <w:rPr>
          <w:rFonts w:ascii="Times New Roman" w:hAnsi="Times New Roman"/>
          <w:sz w:val="24"/>
          <w:szCs w:val="24"/>
        </w:rPr>
        <w:t xml:space="preserve">. For continuous variables (Age and Ratings), missing values were addressed via mean and median imputation to preserve sample size without severely skewing the distribution, given the missingness appeared to be random (Little and Rubin, 2019). Rows with missing categorical data (e.g., </w:t>
      </w:r>
      <w:r>
        <w:rPr>
          <w:rStyle w:val="SourceText"/>
          <w:rFonts w:ascii="Times New Roman" w:hAnsi="Times New Roman"/>
          <w:sz w:val="24"/>
          <w:szCs w:val="24"/>
        </w:rPr>
        <w:t>Weather</w:t>
      </w:r>
      <w:r>
        <w:rPr>
          <w:rFonts w:ascii="Times New Roman" w:hAnsi="Times New Roman"/>
          <w:sz w:val="24"/>
          <w:szCs w:val="24"/>
        </w:rPr>
        <w:t>) were removed using listwise deletion, as inferring environmental categories could introduce severe bias.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pPr>
      <w:r>
        <w:rPr>
          <w:rFonts w:ascii="Times New Roman" w:hAnsi="Times New Roman"/>
          <w:sz w:val="24"/>
          <w:szCs w:val="24"/>
        </w:rPr>
        <w:t xml:space="preserve">Substantial structural inconsistencies were also addressed. Several coordinates for </w:t>
      </w:r>
      <w:r>
        <w:rPr>
          <w:rStyle w:val="SourceText"/>
          <w:rFonts w:ascii="Times New Roman" w:hAnsi="Times New Roman"/>
          <w:sz w:val="24"/>
          <w:szCs w:val="24"/>
        </w:rPr>
        <w:t>Restaurant_latitude</w:t>
      </w:r>
      <w:r>
        <w:rPr>
          <w:rFonts w:ascii="Times New Roman" w:hAnsi="Times New Roman"/>
          <w:sz w:val="24"/>
          <w:szCs w:val="24"/>
        </w:rPr>
        <w:t xml:space="preserve"> and </w:t>
      </w:r>
      <w:r>
        <w:rPr>
          <w:rStyle w:val="SourceText"/>
          <w:rFonts w:ascii="Times New Roman" w:hAnsi="Times New Roman"/>
          <w:sz w:val="24"/>
          <w:szCs w:val="24"/>
        </w:rPr>
        <w:t>Restaurant_longitude</w:t>
      </w:r>
      <w:r>
        <w:rPr>
          <w:rFonts w:ascii="Times New Roman" w:hAnsi="Times New Roman"/>
          <w:sz w:val="24"/>
          <w:szCs w:val="24"/>
        </w:rPr>
        <w:t xml:space="preserve"> were recorded as anomalous zeroes; these records were filtered out to prevent the corruption of spatial calculations. Additionally, the </w:t>
      </w:r>
      <w:r>
        <w:rPr>
          <w:rStyle w:val="SourceText"/>
          <w:rFonts w:ascii="Times New Roman" w:hAnsi="Times New Roman"/>
          <w:sz w:val="24"/>
          <w:szCs w:val="24"/>
        </w:rPr>
        <w:t>Time_Orderd</w:t>
      </w:r>
      <w:r>
        <w:rPr>
          <w:rFonts w:ascii="Times New Roman" w:hAnsi="Times New Roman"/>
          <w:sz w:val="24"/>
          <w:szCs w:val="24"/>
        </w:rPr>
        <w:t xml:space="preserve"> and </w:t>
      </w:r>
      <w:r>
        <w:rPr>
          <w:rStyle w:val="SourceText"/>
          <w:rFonts w:ascii="Times New Roman" w:hAnsi="Times New Roman"/>
          <w:sz w:val="24"/>
          <w:szCs w:val="24"/>
        </w:rPr>
        <w:t>Time_Order_picked</w:t>
      </w:r>
      <w:r>
        <w:rPr>
          <w:rFonts w:ascii="Times New Roman" w:hAnsi="Times New Roman"/>
          <w:sz w:val="24"/>
          <w:szCs w:val="24"/>
        </w:rPr>
        <w:t xml:space="preserve"> fields contained irregular formatting, with several values rendered as fractional decimals (e.g., 0.9166). These were transformed and standardised into a uniform </w:t>
      </w:r>
      <w:r>
        <w:rPr>
          <w:rStyle w:val="SourceText"/>
          <w:rFonts w:ascii="Times New Roman" w:hAnsi="Times New Roman"/>
          <w:sz w:val="24"/>
          <w:szCs w:val="24"/>
        </w:rPr>
        <w:t>HH:MM</w:t>
      </w:r>
      <w:r>
        <w:rPr>
          <w:rFonts w:ascii="Times New Roman" w:hAnsi="Times New Roman"/>
          <w:sz w:val="24"/>
          <w:szCs w:val="24"/>
        </w:rPr>
        <w:t xml:space="preserve"> format using Excel’s 'Text to Columns' and custom formatting tools. Finally, a new feature, </w:t>
      </w:r>
      <w:r>
        <w:rPr>
          <w:rStyle w:val="SourceText"/>
          <w:rFonts w:ascii="Times New Roman" w:hAnsi="Times New Roman"/>
          <w:sz w:val="24"/>
          <w:szCs w:val="24"/>
        </w:rPr>
        <w:t>Delivery_Distance_km</w:t>
      </w:r>
      <w:r>
        <w:rPr>
          <w:rFonts w:ascii="Times New Roman" w:hAnsi="Times New Roman"/>
          <w:sz w:val="24"/>
          <w:szCs w:val="24"/>
        </w:rPr>
        <w:t>, was engineered using the Haversine formula in Excel based on the provided latitudinal and longitudinal coordinates, enabling more precise geographical analysis.</w:t>
      </w:r>
    </w:p>
    <w:p>
      <w:pPr>
        <w:pStyle w:val="BodyText"/>
        <w:bidi w:val="0"/>
        <w:spacing w:lineRule="auto" w:line="360" w:before="0" w:after="140"/>
        <w:ind w:hanging="0" w:start="0" w:end="0"/>
        <w:jc w:val="start"/>
        <w:rPr/>
      </w:pPr>
      <w:r>
        <w:rPr>
          <w:rFonts w:ascii="Times New Roman" w:hAnsi="Times New Roman"/>
          <w:b/>
          <w:sz w:val="24"/>
          <w:szCs w:val="24"/>
        </w:rPr>
        <w:t>Descriptive Statistics and Summary</w:t>
      </w:r>
      <w:r>
        <w:rPr>
          <w:rFonts w:ascii="Times New Roman" w:hAnsi="Times New Roman"/>
          <w:sz w:val="24"/>
          <w:szCs w:val="24"/>
        </w:rPr>
        <w:t xml:space="preserve"> Descriptive statistics serve as the foundation for identifying the structural parameters of the delivery operations (Field, 2018). Utilizing Excel and SPSS, central tendencies and dispersions were calculated for key numerical variables. The </w:t>
      </w:r>
      <w:r>
        <w:rPr>
          <w:rStyle w:val="SourceText"/>
          <w:rFonts w:ascii="Times New Roman" w:hAnsi="Times New Roman"/>
          <w:sz w:val="24"/>
          <w:szCs w:val="24"/>
        </w:rPr>
        <w:t>Delivery_person_Age</w:t>
      </w:r>
      <w:r>
        <w:rPr>
          <w:rFonts w:ascii="Times New Roman" w:hAnsi="Times New Roman"/>
          <w:sz w:val="24"/>
          <w:szCs w:val="24"/>
        </w:rPr>
        <w:t xml:space="preserve"> ranges from a minimum of </w:t>
      </w:r>
      <w:r>
        <w:rPr>
          <w:rFonts w:ascii="Times New Roman" w:hAnsi="Times New Roman"/>
          <w:b/>
          <w:sz w:val="24"/>
          <w:szCs w:val="24"/>
        </w:rPr>
        <w:t>20 years</w:t>
      </w:r>
      <w:r>
        <w:rPr>
          <w:rFonts w:ascii="Times New Roman" w:hAnsi="Times New Roman"/>
          <w:sz w:val="24"/>
          <w:szCs w:val="24"/>
        </w:rPr>
        <w:t xml:space="preserve"> to a maximum of 39 years , with a central mean of 29.5 years (SD = 5.76). This indicates a relatively young workforce typical of the gig economy. The operational performance, measured by </w:t>
      </w:r>
      <w:r>
        <w:rPr>
          <w:rStyle w:val="SourceText"/>
          <w:rFonts w:ascii="Times New Roman" w:hAnsi="Times New Roman"/>
          <w:sz w:val="24"/>
          <w:szCs w:val="24"/>
        </w:rPr>
        <w:t>Delivery_person_Ratings</w:t>
      </w:r>
      <w:r>
        <w:rPr>
          <w:rFonts w:ascii="Times New Roman" w:hAnsi="Times New Roman"/>
          <w:sz w:val="24"/>
          <w:szCs w:val="24"/>
        </w:rPr>
        <w:t xml:space="preserve">, highlights a positively skewed distribution. Ratings range from a minimum of </w:t>
      </w:r>
      <w:r>
        <w:rPr>
          <w:rFonts w:ascii="Times New Roman" w:hAnsi="Times New Roman"/>
          <w:b/>
          <w:sz w:val="24"/>
          <w:szCs w:val="24"/>
        </w:rPr>
        <w:t>2.5</w:t>
      </w:r>
      <w:r>
        <w:rPr>
          <w:rFonts w:ascii="Times New Roman" w:hAnsi="Times New Roman"/>
          <w:sz w:val="24"/>
          <w:szCs w:val="24"/>
        </w:rPr>
        <w:t xml:space="preserve"> to a maximum of 5.0, with a high mean average of 4.63 (SD = 0.32), suggesting that severe service failures are statistically rare events, and general customer satisfaction remains commendably high.</w:t>
      </w:r>
    </w:p>
    <w:p>
      <w:pPr>
        <w:pStyle w:val="BodyText"/>
        <w:bidi w:val="0"/>
        <w:spacing w:lineRule="auto" w:line="360" w:before="0" w:after="140"/>
        <w:ind w:hanging="0" w:start="0" w:end="0"/>
        <w:jc w:val="start"/>
        <w:rPr/>
      </w:pPr>
      <w:r>
        <w:rPr>
          <w:rFonts w:ascii="Times New Roman" w:hAnsi="Times New Roman"/>
          <w:sz w:val="24"/>
          <w:szCs w:val="24"/>
        </w:rPr>
        <w:t xml:space="preserve">Categorical variables further delineate the operational environment. Analysis of the </w:t>
      </w:r>
      <w:r>
        <w:rPr>
          <w:rStyle w:val="SourceText"/>
          <w:rFonts w:ascii="Times New Roman" w:hAnsi="Times New Roman"/>
          <w:sz w:val="24"/>
          <w:szCs w:val="24"/>
        </w:rPr>
        <w:t>Type_of_vehicle</w:t>
      </w:r>
      <w:r>
        <w:rPr>
          <w:rFonts w:ascii="Times New Roman" w:hAnsi="Times New Roman"/>
          <w:sz w:val="24"/>
          <w:szCs w:val="24"/>
        </w:rPr>
        <w:t xml:space="preserve"> reveals a heavy reliance on two-wheeled transport, with motorcycles constituting the predominant mode of delivery (roughly 58%), followed by scooters and a smaller fraction of electric scooters. This modal split is highly logical given the necessity for agility in the predominantly 'Metropolitan' and 'Urban' areas recorded in the dataset.</w:t>
      </w:r>
    </w:p>
    <w:p>
      <w:pPr>
        <w:pStyle w:val="BodyText"/>
        <w:bidi w:val="0"/>
        <w:spacing w:lineRule="auto" w:line="360" w:before="0" w:after="140"/>
        <w:ind w:hanging="0" w:start="0" w:end="0"/>
        <w:jc w:val="start"/>
        <w:rPr/>
      </w:pPr>
      <w:r>
        <w:rPr>
          <w:rFonts w:ascii="Times New Roman" w:hAnsi="Times New Roman"/>
          <w:sz w:val="24"/>
          <w:szCs w:val="24"/>
        </w:rPr>
        <w:t xml:space="preserve">Environmental and systemic exogenous variables present a highly varied operational landscape. The </w:t>
      </w:r>
      <w:r>
        <w:rPr>
          <w:rStyle w:val="SourceText"/>
          <w:rFonts w:ascii="Times New Roman" w:hAnsi="Times New Roman"/>
          <w:sz w:val="24"/>
          <w:szCs w:val="24"/>
        </w:rPr>
        <w:t>Weather</w:t>
      </w:r>
      <w:r>
        <w:rPr>
          <w:rFonts w:ascii="Times New Roman" w:hAnsi="Times New Roman"/>
          <w:sz w:val="24"/>
          <w:szCs w:val="24"/>
        </w:rPr>
        <w:t xml:space="preserve"> variable is uniformly distributed across several conditions—Fog, Stormy, Sandstorms, Windy, Cloudy, and Sunny—each introducing distinct logistical constraints. Concurrently, </w:t>
      </w:r>
      <w:r>
        <w:rPr>
          <w:rStyle w:val="SourceText"/>
          <w:rFonts w:ascii="Times New Roman" w:hAnsi="Times New Roman"/>
          <w:sz w:val="24"/>
          <w:szCs w:val="24"/>
        </w:rPr>
        <w:t>Road_traffic_density</w:t>
      </w:r>
      <w:r>
        <w:rPr>
          <w:rFonts w:ascii="Times New Roman" w:hAnsi="Times New Roman"/>
          <w:sz w:val="24"/>
          <w:szCs w:val="24"/>
        </w:rPr>
        <w:t xml:space="preserve"> is categorised into 'Low', 'Medium', 'High', and 'Jam'. Cross-tabulating these variables in Excel demonstrates that peak ordering times frequently intersect with 'Jam' and 'High' traffic periods, inherently complicating dispatch routing.</w:t>
      </w:r>
    </w:p>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tbl>
      <w:tblPr>
        <w:tblW w:w="9966" w:type="dxa"/>
        <w:jc w:val="start"/>
        <w:tblInd w:w="0" w:type="dxa"/>
        <w:tblLayout w:type="fixed"/>
        <w:tblCellMar>
          <w:top w:w="240" w:type="dxa"/>
          <w:start w:w="28" w:type="dxa"/>
          <w:bottom w:w="240" w:type="dxa"/>
          <w:end w:w="180" w:type="dxa"/>
        </w:tblCellMar>
      </w:tblPr>
      <w:tblGrid>
        <w:gridCol w:w="1350"/>
        <w:gridCol w:w="2700"/>
        <w:gridCol w:w="3217"/>
        <w:gridCol w:w="2699"/>
      </w:tblGrid>
      <w:tr>
        <w:trPr>
          <w:tblHeader w:val="true"/>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Statistic</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Delivery_person_Age</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Delivery_person_Ratings</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Delivery_Distance_km</w:t>
            </w:r>
          </w:p>
        </w:tc>
      </w:tr>
      <w:tr>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Mean (Media)</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29.55</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4.63</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9.77</w:t>
            </w:r>
          </w:p>
        </w:tc>
      </w:tr>
      <w:tr>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Median</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30.00</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4.70</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9.22</w:t>
            </w:r>
          </w:p>
        </w:tc>
      </w:tr>
      <w:tr>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Std. Deviation</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5.74</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0.33</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5.61</w:t>
            </w:r>
          </w:p>
        </w:tc>
      </w:tr>
      <w:tr>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Minimum</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20.00</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2.50</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1.47</w:t>
            </w:r>
          </w:p>
        </w:tc>
      </w:tr>
      <w:tr>
        <w:trPr/>
        <w:tc>
          <w:tcPr>
            <w:tcW w:w="135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Maximum</w:t>
            </w:r>
          </w:p>
        </w:tc>
        <w:tc>
          <w:tcPr>
            <w:tcW w:w="27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39.00</w:t>
            </w:r>
          </w:p>
        </w:tc>
        <w:tc>
          <w:tcPr>
            <w:tcW w:w="321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5.00</w:t>
            </w:r>
          </w:p>
        </w:tc>
        <w:tc>
          <w:tcPr>
            <w:tcW w:w="2699"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20.97</w:t>
            </w:r>
          </w:p>
        </w:tc>
      </w:tr>
    </w:tbl>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When visualizing these summary statistics, pivot tables and bar charts were generated to contrast vehicle types against order volumes. The summary data highlights that while electric scooters and standard scooters are frequently dispatched during 'Jam' conditions—likely due to their maneuverability—motorcycles are preferred for longer distance deliveries traversing 'Metropolitan' bounds. Ultimately, the descriptive overview portrays a dynamic, high-throughput delivery ecosystem heavily mediated by temporal traffic fluctuations and exogenous weather states.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b/>
          <w:sz w:val="24"/>
          <w:szCs w:val="24"/>
        </w:rPr>
        <w:t>Trend Analysis and Visualization</w:t>
      </w:r>
      <w:r>
        <w:rPr>
          <w:rFonts w:ascii="Times New Roman" w:hAnsi="Times New Roman"/>
          <w:sz w:val="24"/>
          <w:szCs w:val="24"/>
        </w:rPr>
        <w:t xml:space="preserve"> To evaluate macroscopic patterns in the dataset, a trend analysis was conducted using Microsoft Excel's visual charting capabilities. A primary focus was given to the fluctuations in delivery time metrics and personnel ratings over time and varying environmental states.</w:t>
      </w:r>
    </w:p>
    <w:p>
      <w:pPr>
        <w:pStyle w:val="BodyText"/>
        <w:bidi w:val="0"/>
        <w:spacing w:lineRule="auto" w:line="360" w:before="0" w:after="140"/>
        <w:ind w:hanging="0" w:start="0" w:end="0"/>
        <w:jc w:val="start"/>
        <w:rPr/>
      </w:pPr>
      <w:r>
        <w:rPr>
          <w:rFonts w:ascii="Times New Roman" w:hAnsi="Times New Roman"/>
          <w:sz w:val="24"/>
          <w:szCs w:val="24"/>
        </w:rPr>
        <w:t xml:space="preserve">First, temporal trend lines were generated to assess whether delivery ratings degrade as traffic or weather worsens. A line graph tracking chronological order times against </w:t>
      </w:r>
      <w:r>
        <w:rPr>
          <w:rStyle w:val="SourceText"/>
          <w:rFonts w:ascii="Times New Roman" w:hAnsi="Times New Roman"/>
          <w:sz w:val="24"/>
          <w:szCs w:val="24"/>
        </w:rPr>
        <w:t>Delivery_person_Ratings</w:t>
      </w:r>
      <w:r>
        <w:rPr>
          <w:rFonts w:ascii="Times New Roman" w:hAnsi="Times New Roman"/>
          <w:sz w:val="24"/>
          <w:szCs w:val="24"/>
        </w:rPr>
        <w:t xml:space="preserve"> reveals a slight negative trajectory during peak evening hours (18:00 to 21:00). This correlates directly w</w:t>
      </w:r>
      <w:r>
        <w:rPr>
          <w:rFonts w:ascii="Times New Roman" w:hAnsi="Times New Roman"/>
          <w:sz w:val="24"/>
          <w:szCs w:val="24"/>
        </w:rPr>
        <w:t xml:space="preserve">ith the simultaneous increase in </w:t>
      </w:r>
      <w:r>
        <w:rPr>
          <w:rStyle w:val="SourceText"/>
          <w:rFonts w:ascii="Times New Roman" w:hAnsi="Times New Roman"/>
          <w:sz w:val="24"/>
          <w:szCs w:val="24"/>
        </w:rPr>
        <w:t>Road_traffic_density</w:t>
      </w:r>
      <w:r>
        <w:rPr>
          <w:rFonts w:ascii="Times New Roman" w:hAnsi="Times New Roman"/>
          <w:sz w:val="24"/>
          <w:szCs w:val="24"/>
        </w:rPr>
        <w:t xml:space="preserve"> to 'Jam' status.</w:t>
      </w:r>
      <w:r>
        <mc:AlternateContent>
          <mc:Choice Requires="wps">
            <w:drawing>
              <wp:anchor distT="0" distB="0" distL="0" distR="0" simplePos="0" relativeHeight="2" behindDoc="0" locked="0" layoutInCell="0" allowOverlap="1">
                <wp:simplePos x="0" y="0"/>
                <wp:positionH relativeFrom="column">
                  <wp:posOffset>-491490</wp:posOffset>
                </wp:positionH>
                <wp:positionV relativeFrom="paragraph">
                  <wp:posOffset>1268730</wp:posOffset>
                </wp:positionV>
                <wp:extent cx="7334885" cy="2626995"/>
                <wp:effectExtent l="0" t="0" r="0" b="0"/>
                <wp:wrapSquare wrapText="largest"/>
                <wp:docPr id="1" name="Frame3"/>
                <a:graphic xmlns:a="http://schemas.openxmlformats.org/drawingml/2006/main">
                  <a:graphicData uri="http://schemas.microsoft.com/office/word/2010/wordprocessingShape">
                    <wps:wsp>
                      <wps:cNvSpPr txBox="1"/>
                      <wps:spPr>
                        <a:xfrm>
                          <a:off x="0" y="0"/>
                          <a:ext cx="7334885" cy="2626995"/>
                        </a:xfrm>
                        <a:prstGeom prst="rect"/>
                        <a:solidFill>
                          <a:srgbClr val="FFFFFF"/>
                        </a:solidFill>
                      </wps:spPr>
                      <wps:txbx>
                        <w:txbxContent>
                          <w:p>
                            <w:pPr>
                              <w:pStyle w:val="Figure"/>
                              <w:bidi w:val="0"/>
                              <w:spacing w:before="120" w:after="120"/>
                              <w:jc w:val="start"/>
                              <w:rPr/>
                            </w:pPr>
                            <w:r>
                              <w:rPr/>
                              <w:drawing>
                                <wp:inline distT="0" distB="0" distL="0" distR="0">
                                  <wp:extent cx="7334885" cy="2626995"/>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2"/>
                                          <a:stretch>
                                            <a:fillRect/>
                                          </a:stretch>
                                        </pic:blipFill>
                                        <pic:spPr bwMode="auto">
                                          <a:xfrm>
                                            <a:off x="0" y="0"/>
                                            <a:ext cx="7334885" cy="2626995"/>
                                          </a:xfrm>
                                          <a:prstGeom prst="rect">
                                            <a:avLst/>
                                          </a:prstGeom>
                                          <a:noFill/>
                                        </pic:spPr>
                                      </pic:pic>
                                    </a:graphicData>
                                  </a:graphic>
                                </wp:inline>
                              </w:drawing>
                              <w:t xml:space="preserve">            </w:t>
                            </w:r>
                            <w:r>
                              <w:rPr/>
                              <w:t>Source: Author's own calculation based on DHB_Dataset_A2.</w:t>
                            </w:r>
                          </w:p>
                        </w:txbxContent>
                      </wps:txbx>
                      <wps:bodyPr anchor="t" lIns="0" tIns="0" rIns="0" bIns="0">
                        <a:noAutofit/>
                      </wps:bodyPr>
                    </wps:wsp>
                  </a:graphicData>
                </a:graphic>
              </wp:anchor>
            </w:drawing>
          </mc:Choice>
          <mc:Fallback>
            <w:pict>
              <v:rect style="position:absolute;rotation:-0;width:577.55pt;height:206.85pt;mso-wrap-distance-left:0pt;mso-wrap-distance-right:0pt;mso-wrap-distance-top:0pt;mso-wrap-distance-bottom:0pt;margin-top:99.9pt;mso-position-vertical-relative:text;margin-left:-38.7pt;mso-position-horizontal-relative:text">
                <v:textbox inset="0in,0in,0in,0in">
                  <w:txbxContent>
                    <w:p>
                      <w:pPr>
                        <w:pStyle w:val="Figure"/>
                        <w:bidi w:val="0"/>
                        <w:spacing w:before="120" w:after="120"/>
                        <w:jc w:val="start"/>
                        <w:rPr/>
                      </w:pPr>
                      <w:r>
                        <w:rPr/>
                        <w:drawing>
                          <wp:inline distT="0" distB="0" distL="0" distR="0">
                            <wp:extent cx="7334885" cy="2626995"/>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3"/>
                                    <a:stretch>
                                      <a:fillRect/>
                                    </a:stretch>
                                  </pic:blipFill>
                                  <pic:spPr bwMode="auto">
                                    <a:xfrm>
                                      <a:off x="0" y="0"/>
                                      <a:ext cx="7334885" cy="2626995"/>
                                    </a:xfrm>
                                    <a:prstGeom prst="rect">
                                      <a:avLst/>
                                    </a:prstGeom>
                                    <a:noFill/>
                                  </pic:spPr>
                                </pic:pic>
                              </a:graphicData>
                            </a:graphic>
                          </wp:inline>
                        </w:drawing>
                        <w:t xml:space="preserve">            </w:t>
                      </w:r>
                      <w:r>
                        <w:rPr/>
                        <w:t>Source: Author's own calculation based on DHB_Dataset_A2.</w:t>
                      </w:r>
                    </w:p>
                  </w:txbxContent>
                </v:textbox>
                <w10:wrap type="square" side="largest"/>
              </v:rect>
            </w:pict>
          </mc:Fallback>
        </mc:AlternateConten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pPr>
      <w:r>
        <w:rPr>
          <w:rFonts w:ascii="Times New Roman" w:hAnsi="Times New Roman"/>
          <w:sz w:val="24"/>
          <w:szCs w:val="24"/>
        </w:rPr>
        <w:t xml:space="preserve">Secondly, a significant dependency emerges when analyzing the relationship between </w:t>
      </w:r>
      <w:r>
        <w:rPr>
          <w:rStyle w:val="SourceText"/>
          <w:rFonts w:ascii="Times New Roman" w:hAnsi="Times New Roman"/>
          <w:sz w:val="24"/>
          <w:szCs w:val="24"/>
        </w:rPr>
        <w:t>Weather</w:t>
      </w:r>
      <w:r>
        <w:rPr>
          <w:rFonts w:ascii="Times New Roman" w:hAnsi="Times New Roman"/>
          <w:sz w:val="24"/>
          <w:szCs w:val="24"/>
        </w:rPr>
        <w:t xml:space="preserve"> conditions, </w:t>
      </w:r>
      <w:r>
        <w:rPr>
          <w:rStyle w:val="SourceText"/>
          <w:rFonts w:ascii="Times New Roman" w:hAnsi="Times New Roman"/>
          <w:sz w:val="24"/>
          <w:szCs w:val="24"/>
        </w:rPr>
        <w:t>Road_traffic_density</w:t>
      </w:r>
      <w:r>
        <w:rPr>
          <w:rFonts w:ascii="Times New Roman" w:hAnsi="Times New Roman"/>
          <w:sz w:val="24"/>
          <w:szCs w:val="24"/>
        </w:rPr>
        <w:t xml:space="preserve">, and pick-up latency (the temporal gap between </w:t>
      </w:r>
      <w:r>
        <w:rPr>
          <w:rStyle w:val="SourceText"/>
          <w:rFonts w:ascii="Times New Roman" w:hAnsi="Times New Roman"/>
          <w:sz w:val="24"/>
          <w:szCs w:val="24"/>
        </w:rPr>
        <w:t>Time_Orderd</w:t>
      </w:r>
      <w:r>
        <w:rPr>
          <w:rFonts w:ascii="Times New Roman" w:hAnsi="Times New Roman"/>
          <w:sz w:val="24"/>
          <w:szCs w:val="24"/>
        </w:rPr>
        <w:t xml:space="preserve"> and </w:t>
      </w:r>
      <w:r>
        <w:rPr>
          <w:rStyle w:val="SourceText"/>
          <w:rFonts w:ascii="Times New Roman" w:hAnsi="Times New Roman"/>
          <w:sz w:val="24"/>
          <w:szCs w:val="24"/>
        </w:rPr>
        <w:t>Time_Order_picked</w:t>
      </w:r>
      <w:r>
        <w:rPr>
          <w:rFonts w:ascii="Times New Roman" w:hAnsi="Times New Roman"/>
          <w:sz w:val="24"/>
          <w:szCs w:val="24"/>
        </w:rPr>
        <w:t>). A clustered bar chart visualising average pick-up times split by weather categories unequivocally demonstrates that 'Stormy', 'Sandstorms', and 'Fog' conditions extend the time taken for a delivery person to acquire an order. On average, pick-up times in Sunny conditions are significantly shorter, clustering around 5 to 10 minutes, whereas adverse weather stretches this to 15 to 20 minutes. This indicates a clear bottleneck at the restaurant-handover phase during poor weather, likely caused by concurrent spikes in digital order volumes and slower transit speeds for couriers.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r>
        <mc:AlternateContent>
          <mc:Choice Requires="wps">
            <w:drawing>
              <wp:anchor distT="0" distB="0" distL="0" distR="0" simplePos="0" relativeHeight="4" behindDoc="0" locked="0" layoutInCell="0" allowOverlap="1">
                <wp:simplePos x="0" y="0"/>
                <wp:positionH relativeFrom="column">
                  <wp:posOffset>-66675</wp:posOffset>
                </wp:positionH>
                <wp:positionV relativeFrom="paragraph">
                  <wp:posOffset>613410</wp:posOffset>
                </wp:positionV>
                <wp:extent cx="6675755" cy="3274695"/>
                <wp:effectExtent l="0" t="0" r="0" b="0"/>
                <wp:wrapSquare wrapText="largest"/>
                <wp:docPr id="4" name="Frame1"/>
                <a:graphic xmlns:a="http://schemas.openxmlformats.org/drawingml/2006/main">
                  <a:graphicData uri="http://schemas.microsoft.com/office/word/2010/wordprocessingShape">
                    <wps:wsp>
                      <wps:cNvSpPr txBox="1"/>
                      <wps:spPr>
                        <a:xfrm>
                          <a:off x="0" y="0"/>
                          <a:ext cx="6675755" cy="3274695"/>
                        </a:xfrm>
                        <a:prstGeom prst="rect"/>
                        <a:solidFill>
                          <a:srgbClr val="FFFFFF"/>
                        </a:solidFill>
                      </wps:spPr>
                      <wps:txbx>
                        <w:txbxContent>
                          <w:p>
                            <w:pPr>
                              <w:pStyle w:val="Figure"/>
                              <w:bidi w:val="0"/>
                              <w:spacing w:before="120" w:after="120"/>
                              <w:jc w:val="start"/>
                              <w:rPr/>
                            </w:pPr>
                            <w:r>
                              <w:rPr/>
                              <w:drawing>
                                <wp:inline distT="0" distB="0" distL="0" distR="0">
                                  <wp:extent cx="6675755" cy="3187700"/>
                                  <wp:effectExtent l="0" t="0" r="0" b="0"/>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pic:cNvPicPr>
                                            <a:picLocks noChangeAspect="1" noChangeArrowheads="1"/>
                                          </pic:cNvPicPr>
                                        </pic:nvPicPr>
                                        <pic:blipFill>
                                          <a:blip r:embed="rId4"/>
                                          <a:stretch>
                                            <a:fillRect/>
                                          </a:stretch>
                                        </pic:blipFill>
                                        <pic:spPr bwMode="auto">
                                          <a:xfrm>
                                            <a:off x="0" y="0"/>
                                            <a:ext cx="6675755" cy="3187700"/>
                                          </a:xfrm>
                                          <a:prstGeom prst="rect">
                                            <a:avLst/>
                                          </a:prstGeom>
                                          <a:noFill/>
                                        </pic:spPr>
                                      </pic:pic>
                                    </a:graphicData>
                                  </a:graphic>
                                </wp:inline>
                              </w:drawing>
                              <w:t xml:space="preserve">      </w:t>
                            </w:r>
                            <w:r>
                              <w:rPr/>
                              <w:t>Source: Author's own calculation based on DHB_Dataset_A2.</w:t>
                            </w:r>
                          </w:p>
                        </w:txbxContent>
                      </wps:txbx>
                      <wps:bodyPr anchor="t" lIns="0" tIns="0" rIns="0" bIns="0">
                        <a:noAutofit/>
                      </wps:bodyPr>
                    </wps:wsp>
                  </a:graphicData>
                </a:graphic>
              </wp:anchor>
            </w:drawing>
          </mc:Choice>
          <mc:Fallback>
            <w:pict>
              <v:rect style="position:absolute;rotation:-0;width:525.65pt;height:257.85pt;mso-wrap-distance-left:0pt;mso-wrap-distance-right:0pt;mso-wrap-distance-top:0pt;mso-wrap-distance-bottom:0pt;margin-top:48.3pt;mso-position-vertical-relative:text;margin-left:-5.25pt;mso-position-horizontal-relative:text">
                <v:textbox inset="0in,0in,0in,0in">
                  <w:txbxContent>
                    <w:p>
                      <w:pPr>
                        <w:pStyle w:val="Figure"/>
                        <w:bidi w:val="0"/>
                        <w:spacing w:before="120" w:after="120"/>
                        <w:jc w:val="start"/>
                        <w:rPr/>
                      </w:pPr>
                      <w:r>
                        <w:rPr/>
                        <w:drawing>
                          <wp:inline distT="0" distB="0" distL="0" distR="0">
                            <wp:extent cx="6675755" cy="3187700"/>
                            <wp:effectExtent l="0" t="0" r="0" b="0"/>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5"/>
                                    <a:stretch>
                                      <a:fillRect/>
                                    </a:stretch>
                                  </pic:blipFill>
                                  <pic:spPr bwMode="auto">
                                    <a:xfrm>
                                      <a:off x="0" y="0"/>
                                      <a:ext cx="6675755" cy="3187700"/>
                                    </a:xfrm>
                                    <a:prstGeom prst="rect">
                                      <a:avLst/>
                                    </a:prstGeom>
                                    <a:noFill/>
                                  </pic:spPr>
                                </pic:pic>
                              </a:graphicData>
                            </a:graphic>
                          </wp:inline>
                        </w:drawing>
                        <w:t xml:space="preserve">      </w:t>
                      </w:r>
                      <w:r>
                        <w:rPr/>
                        <w:t>Source: Author's own calculation based on DHB_Dataset_A2.</w:t>
                      </w:r>
                    </w:p>
                  </w:txbxContent>
                </v:textbox>
                <w10:wrap type="square" side="largest"/>
              </v:rect>
            </w:pict>
          </mc:Fallback>
        </mc:AlternateConten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pPr>
      <w:r>
        <w:rPr>
          <w:rFonts w:ascii="Times New Roman" w:hAnsi="Times New Roman"/>
          <w:sz w:val="24"/>
          <w:szCs w:val="24"/>
        </w:rPr>
        <w:t xml:space="preserve">To further explore spatial trends, a scatter plot was constructed to map the relationship between the calculated </w:t>
      </w:r>
      <w:r>
        <w:rPr>
          <w:rStyle w:val="SourceText"/>
          <w:rFonts w:ascii="Times New Roman" w:hAnsi="Times New Roman"/>
          <w:sz w:val="24"/>
          <w:szCs w:val="24"/>
        </w:rPr>
        <w:t>Delivery_Distance_km</w:t>
      </w:r>
      <w:r>
        <w:rPr>
          <w:rFonts w:ascii="Times New Roman" w:hAnsi="Times New Roman"/>
          <w:sz w:val="24"/>
          <w:szCs w:val="24"/>
        </w:rPr>
        <w:t xml:space="preserve"> and the </w:t>
      </w:r>
      <w:r>
        <w:rPr>
          <w:rStyle w:val="SourceText"/>
          <w:rFonts w:ascii="Times New Roman" w:hAnsi="Times New Roman"/>
          <w:sz w:val="24"/>
          <w:szCs w:val="24"/>
        </w:rPr>
        <w:t>Delivery_person_Ratings</w:t>
      </w:r>
      <w:r>
        <w:rPr>
          <w:rFonts w:ascii="Times New Roman" w:hAnsi="Times New Roman"/>
          <w:sz w:val="24"/>
          <w:szCs w:val="24"/>
        </w:rPr>
        <w:t>.</w:t>
      </w:r>
    </w:p>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r>
        <mc:AlternateContent>
          <mc:Choice Requires="wps">
            <w:drawing>
              <wp:anchor distT="0" distB="0" distL="0" distR="0" simplePos="0" relativeHeight="6" behindDoc="0" locked="0" layoutInCell="0" allowOverlap="1">
                <wp:simplePos x="0" y="0"/>
                <wp:positionH relativeFrom="column">
                  <wp:align>center</wp:align>
                </wp:positionH>
                <wp:positionV relativeFrom="paragraph">
                  <wp:posOffset>635</wp:posOffset>
                </wp:positionV>
                <wp:extent cx="6804660" cy="3178810"/>
                <wp:effectExtent l="0" t="0" r="0" b="0"/>
                <wp:wrapSquare wrapText="largest"/>
                <wp:docPr id="7" name="Frame2"/>
                <a:graphic xmlns:a="http://schemas.openxmlformats.org/drawingml/2006/main">
                  <a:graphicData uri="http://schemas.microsoft.com/office/word/2010/wordprocessingShape">
                    <wps:wsp>
                      <wps:cNvSpPr txBox="1"/>
                      <wps:spPr>
                        <a:xfrm>
                          <a:off x="0" y="0"/>
                          <a:ext cx="6804660" cy="3178810"/>
                        </a:xfrm>
                        <a:prstGeom prst="rect"/>
                        <a:solidFill>
                          <a:srgbClr val="FFFFFF"/>
                        </a:solidFill>
                      </wps:spPr>
                      <wps:txbx>
                        <w:txbxContent>
                          <w:p>
                            <w:pPr>
                              <w:pStyle w:val="Figure"/>
                              <w:bidi w:val="0"/>
                              <w:spacing w:before="120" w:after="120"/>
                              <w:jc w:val="start"/>
                              <w:rPr/>
                            </w:pPr>
                            <w:r>
                              <w:rPr/>
                              <w:drawing>
                                <wp:inline distT="0" distB="0" distL="0" distR="0">
                                  <wp:extent cx="6804660" cy="3146425"/>
                                  <wp:effectExtent l="0" t="0" r="0" b="0"/>
                                  <wp:docPr id="8"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pic:cNvPicPr>
                                            <a:picLocks noChangeAspect="1" noChangeArrowheads="1"/>
                                          </pic:cNvPicPr>
                                        </pic:nvPicPr>
                                        <pic:blipFill>
                                          <a:blip r:embed="rId6"/>
                                          <a:stretch>
                                            <a:fillRect/>
                                          </a:stretch>
                                        </pic:blipFill>
                                        <pic:spPr bwMode="auto">
                                          <a:xfrm>
                                            <a:off x="0" y="0"/>
                                            <a:ext cx="6804660" cy="3146425"/>
                                          </a:xfrm>
                                          <a:prstGeom prst="rect">
                                            <a:avLst/>
                                          </a:prstGeom>
                                          <a:noFill/>
                                        </pic:spPr>
                                      </pic:pic>
                                    </a:graphicData>
                                  </a:graphic>
                                </wp:inline>
                              </w:drawing>
                              <w:t xml:space="preserve">      </w:t>
                            </w:r>
                            <w:r>
                              <w:rPr/>
                              <w:t>Source: Author's own calculation based on DHB_Dataset_A2.</w:t>
                            </w:r>
                          </w:p>
                        </w:txbxContent>
                      </wps:txbx>
                      <wps:bodyPr anchor="t" lIns="0" tIns="0" rIns="0" bIns="0">
                        <a:noAutofit/>
                      </wps:bodyPr>
                    </wps:wsp>
                  </a:graphicData>
                </a:graphic>
              </wp:anchor>
            </w:drawing>
          </mc:Choice>
          <mc:Fallback>
            <w:pict>
              <v:rect style="position:absolute;rotation:-0;width:535.8pt;height:250.3pt;mso-wrap-distance-left:0pt;mso-wrap-distance-right:0pt;mso-wrap-distance-top:0pt;mso-wrap-distance-bottom:0pt;margin-top:0pt;mso-position-vertical:top;mso-position-vertical-relative:text;margin-left:-18.6pt;mso-position-horizontal:center;mso-position-horizontal-relative:text">
                <v:textbox inset="0in,0in,0in,0in">
                  <w:txbxContent>
                    <w:p>
                      <w:pPr>
                        <w:pStyle w:val="Figure"/>
                        <w:bidi w:val="0"/>
                        <w:spacing w:before="120" w:after="120"/>
                        <w:jc w:val="start"/>
                        <w:rPr/>
                      </w:pPr>
                      <w:r>
                        <w:rPr/>
                        <w:drawing>
                          <wp:inline distT="0" distB="0" distL="0" distR="0">
                            <wp:extent cx="6804660" cy="3146425"/>
                            <wp:effectExtent l="0" t="0" r="0" b="0"/>
                            <wp:docPr id="9"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pic:cNvPicPr>
                                      <a:picLocks noChangeAspect="1" noChangeArrowheads="1"/>
                                    </pic:cNvPicPr>
                                  </pic:nvPicPr>
                                  <pic:blipFill>
                                    <a:blip r:embed="rId7"/>
                                    <a:stretch>
                                      <a:fillRect/>
                                    </a:stretch>
                                  </pic:blipFill>
                                  <pic:spPr bwMode="auto">
                                    <a:xfrm>
                                      <a:off x="0" y="0"/>
                                      <a:ext cx="6804660" cy="3146425"/>
                                    </a:xfrm>
                                    <a:prstGeom prst="rect">
                                      <a:avLst/>
                                    </a:prstGeom>
                                    <a:noFill/>
                                  </pic:spPr>
                                </pic:pic>
                              </a:graphicData>
                            </a:graphic>
                          </wp:inline>
                        </w:drawing>
                        <w:t xml:space="preserve">      </w:t>
                      </w:r>
                      <w:r>
                        <w:rPr/>
                        <w:t>Source: Author's own calculation based on DHB_Dataset_A2.</w:t>
                      </w:r>
                    </w:p>
                  </w:txbxContent>
                </v:textbox>
                <w10:wrap type="square" side="largest"/>
              </v:rect>
            </w:pict>
          </mc:Fallback>
        </mc:AlternateConten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The scatter plot incorporates a linear trendline which exhibits a modest negative slope. As the geographic distance between the restaurant and the delivery location increases, customer ratings incrementally decrease. This visual trend is logical; greater travel distances expose the courier to a higher probability of traffic delays and food temperature degradation, two critical drivers of customer dissatisfaction in food logistics (Zhao et al., 2021).</w:t>
      </w:r>
    </w:p>
    <w:p>
      <w:pPr>
        <w:pStyle w:val="BodyText"/>
        <w:bidi w:val="0"/>
        <w:spacing w:lineRule="auto" w:line="360" w:before="0" w:after="140"/>
        <w:ind w:hanging="0" w:start="0" w:end="0"/>
        <w:jc w:val="start"/>
        <w:rPr/>
      </w:pPr>
      <w:r>
        <w:rPr>
          <w:rFonts w:ascii="Times New Roman" w:hAnsi="Times New Roman"/>
          <w:sz w:val="24"/>
          <w:szCs w:val="24"/>
        </w:rPr>
        <w:t xml:space="preserve">Additionally, trend analysis on the </w:t>
      </w:r>
      <w:r>
        <w:rPr>
          <w:rStyle w:val="SourceText"/>
          <w:rFonts w:ascii="Times New Roman" w:hAnsi="Times New Roman"/>
          <w:sz w:val="24"/>
          <w:szCs w:val="24"/>
        </w:rPr>
        <w:t>Vehicle_condition</w:t>
      </w:r>
      <w:r>
        <w:rPr>
          <w:rFonts w:ascii="Times New Roman" w:hAnsi="Times New Roman"/>
          <w:sz w:val="24"/>
          <w:szCs w:val="24"/>
        </w:rPr>
        <w:t xml:space="preserve"> reveals an unexpected but critical operational pattern. Personnel operating vehicles in superior condition maintained more consistent delivery times regardless of 'Medium' or 'High' traffic densities, compared to those with lower-condition vehicles, who experienced exponentially higher delays as traffic increased. Excel visualizations confirm that exogenous variables do not act in isolation; their combinatorial effects—such as bad weather compounded by poor vehicle condition—are the true drivers of systemic delivery friction.</w:t>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b/>
          <w:sz w:val="24"/>
          <w:szCs w:val="24"/>
        </w:rPr>
        <w:t>Statistical Analysis using SPSS</w:t>
      </w:r>
      <w:r>
        <w:rPr>
          <w:rFonts w:ascii="Times New Roman" w:hAnsi="Times New Roman"/>
          <w:sz w:val="24"/>
          <w:szCs w:val="24"/>
        </w:rPr>
        <w:t xml:space="preserve"> While trend visualizations provide intuitive heuristics, inferential statistical testing using IBM SPSS is required to validate the significance of these observed relationships (Pallant, 2020).</w:t>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Hypothesis Testing (Independent Samples T-Test):</w:t>
      </w:r>
    </w:p>
    <w:p>
      <w:pPr>
        <w:pStyle w:val="BodyText"/>
        <w:bidi w:val="0"/>
        <w:spacing w:lineRule="auto" w:line="360" w:before="0" w:after="140"/>
        <w:ind w:hanging="0" w:start="0" w:end="0"/>
        <w:jc w:val="start"/>
        <w:rPr/>
      </w:pPr>
      <w:r>
        <w:rPr>
          <w:rFonts w:ascii="Times New Roman" w:hAnsi="Times New Roman"/>
          <w:sz w:val="24"/>
          <w:szCs w:val="24"/>
        </w:rPr>
        <w:t xml:space="preserve">An independent samples t-test was conducted to determine if a statistically significant difference exists in </w:t>
      </w:r>
      <w:r>
        <w:rPr>
          <w:rStyle w:val="SourceText"/>
          <w:rFonts w:ascii="Times New Roman" w:hAnsi="Times New Roman"/>
          <w:sz w:val="24"/>
          <w:szCs w:val="24"/>
        </w:rPr>
        <w:t>Delivery_person_Ratings</w:t>
      </w:r>
      <w:r>
        <w:rPr>
          <w:rFonts w:ascii="Times New Roman" w:hAnsi="Times New Roman"/>
          <w:sz w:val="24"/>
          <w:szCs w:val="24"/>
        </w:rPr>
        <w:t xml:space="preserve"> between optimal weather conditions ('Sunny') and adverse weather conditions ('Stormy').</w:t>
      </w:r>
    </w:p>
    <w:p>
      <w:pPr>
        <w:pStyle w:val="BodyText"/>
        <w:numPr>
          <w:ilvl w:val="0"/>
          <w:numId w:val="1"/>
        </w:numPr>
        <w:pBdr/>
        <w:tabs>
          <w:tab w:val="clear" w:pos="709"/>
          <w:tab w:val="left" w:pos="709" w:leader="none"/>
        </w:tabs>
        <w:bidi w:val="0"/>
        <w:spacing w:lineRule="auto" w:line="360" w:before="0" w:after="140"/>
        <w:ind w:hanging="283" w:start="709" w:end="0"/>
        <w:jc w:val="start"/>
        <w:rPr>
          <w:rFonts w:ascii="Times New Roman" w:hAnsi="Times New Roman"/>
          <w:sz w:val="24"/>
          <w:szCs w:val="24"/>
        </w:rPr>
      </w:pPr>
      <w:r>
        <w:rPr>
          <w:rFonts w:ascii="Times New Roman" w:hAnsi="Times New Roman"/>
          <w:i/>
          <w:sz w:val="24"/>
          <w:szCs w:val="24"/>
        </w:rPr>
        <w:t>H0</w:t>
      </w:r>
      <w:r>
        <w:rPr>
          <w:rFonts w:ascii="Times New Roman" w:hAnsi="Times New Roman"/>
          <w:sz w:val="24"/>
          <w:szCs w:val="24"/>
        </w:rPr>
        <w:t>: There is no significant difference in ratings between Sunny and Stormy weather.</w:t>
      </w:r>
    </w:p>
    <w:p>
      <w:pPr>
        <w:pStyle w:val="BodyText"/>
        <w:numPr>
          <w:ilvl w:val="0"/>
          <w:numId w:val="1"/>
        </w:numPr>
        <w:pBdr/>
        <w:tabs>
          <w:tab w:val="clear" w:pos="709"/>
          <w:tab w:val="left" w:pos="709" w:leader="none"/>
        </w:tabs>
        <w:bidi w:val="0"/>
        <w:spacing w:lineRule="auto" w:line="360" w:before="0" w:after="140"/>
        <w:ind w:hanging="283" w:start="709" w:end="0"/>
        <w:jc w:val="start"/>
        <w:rPr>
          <w:rFonts w:ascii="Times New Roman" w:hAnsi="Times New Roman"/>
          <w:sz w:val="24"/>
          <w:szCs w:val="24"/>
        </w:rPr>
      </w:pPr>
      <w:r>
        <w:rPr>
          <w:rFonts w:ascii="Times New Roman" w:hAnsi="Times New Roman"/>
          <w:i/>
          <w:sz w:val="24"/>
          <w:szCs w:val="24"/>
        </w:rPr>
        <w:t>H1</w:t>
      </w:r>
      <w:r>
        <w:rPr>
          <w:rFonts w:ascii="Times New Roman" w:hAnsi="Times New Roman"/>
          <w:sz w:val="24"/>
          <w:szCs w:val="24"/>
        </w:rPr>
        <w:t>: There is a significant difference in ratings between Sunny and Stormy weather.</w:t>
      </w:r>
    </w:p>
    <w:p>
      <w:pPr>
        <w:pStyle w:val="BodyText"/>
        <w:numPr>
          <w:ilvl w:val="0"/>
          <w:numId w:val="0"/>
        </w:numPr>
        <w:pBdr/>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tbl>
      <w:tblPr>
        <w:tblW w:w="6690" w:type="dxa"/>
        <w:jc w:val="start"/>
        <w:tblInd w:w="0" w:type="dxa"/>
        <w:tblLayout w:type="fixed"/>
        <w:tblCellMar>
          <w:top w:w="240" w:type="dxa"/>
          <w:start w:w="28" w:type="dxa"/>
          <w:bottom w:w="240" w:type="dxa"/>
          <w:end w:w="180" w:type="dxa"/>
        </w:tblCellMar>
      </w:tblPr>
      <w:tblGrid>
        <w:gridCol w:w="2370"/>
        <w:gridCol w:w="1"/>
        <w:gridCol w:w="989"/>
        <w:gridCol w:w="1170"/>
        <w:gridCol w:w="2160"/>
      </w:tblGrid>
      <w:tr>
        <w:trPr>
          <w:tblHeader w:val="true"/>
        </w:trPr>
        <w:tc>
          <w:tcPr>
            <w:tcW w:w="23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suppressLineNumbers/>
              <w:bidi w:val="0"/>
              <w:spacing w:lineRule="auto" w:line="274" w:before="0" w:after="0"/>
              <w:ind w:hanging="0" w:start="0" w:end="900"/>
              <w:jc w:val="start"/>
              <w:rPr/>
            </w:pPr>
            <w:r>
              <w:rPr>
                <w:rStyle w:val="Strong"/>
                <w:rFonts w:ascii="Times New Roman" w:hAnsi="Times New Roman"/>
                <w:color w:val="1F1F1F"/>
                <w:sz w:val="24"/>
                <w:szCs w:val="24"/>
              </w:rPr>
              <w:t>Variable</w:t>
            </w:r>
          </w:p>
        </w:tc>
        <w:tc>
          <w:tcPr>
            <w:tcW w:w="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Weather</w:t>
            </w:r>
          </w:p>
        </w:tc>
        <w:tc>
          <w:tcPr>
            <w:tcW w:w="98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N</w:t>
            </w:r>
          </w:p>
        </w:tc>
        <w:tc>
          <w:tcPr>
            <w:tcW w:w="11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Mean</w:t>
            </w:r>
          </w:p>
        </w:tc>
        <w:tc>
          <w:tcPr>
            <w:tcW w:w="216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Std. Deviation</w:t>
            </w:r>
          </w:p>
        </w:tc>
      </w:tr>
      <w:tr>
        <w:trPr/>
        <w:tc>
          <w:tcPr>
            <w:tcW w:w="23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Ratings</w:t>
            </w:r>
          </w:p>
        </w:tc>
        <w:tc>
          <w:tcPr>
            <w:tcW w:w="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Sunny</w:t>
            </w:r>
          </w:p>
        </w:tc>
        <w:tc>
          <w:tcPr>
            <w:tcW w:w="98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1581</w:t>
            </w:r>
          </w:p>
        </w:tc>
        <w:tc>
          <w:tcPr>
            <w:tcW w:w="11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4.65</w:t>
            </w:r>
          </w:p>
        </w:tc>
        <w:tc>
          <w:tcPr>
            <w:tcW w:w="216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0.43</w:t>
            </w:r>
          </w:p>
        </w:tc>
      </w:tr>
      <w:tr>
        <w:trPr/>
        <w:tc>
          <w:tcPr>
            <w:tcW w:w="237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Stormy</w:t>
            </w:r>
          </w:p>
        </w:tc>
        <w:tc>
          <w:tcPr>
            <w:tcW w:w="98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1500</w:t>
            </w:r>
          </w:p>
        </w:tc>
        <w:tc>
          <w:tcPr>
            <w:tcW w:w="11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4.61</w:t>
            </w:r>
          </w:p>
        </w:tc>
        <w:tc>
          <w:tcPr>
            <w:tcW w:w="216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0.31</w:t>
            </w:r>
          </w:p>
        </w:tc>
      </w:tr>
    </w:tbl>
    <w:p>
      <w:pPr>
        <w:pStyle w:val="BodyText"/>
        <w:numPr>
          <w:ilvl w:val="0"/>
          <w:numId w:val="0"/>
        </w:numPr>
        <w:pBdr/>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tbl>
      <w:tblPr>
        <w:tblW w:w="8730" w:type="dxa"/>
        <w:jc w:val="start"/>
        <w:tblInd w:w="0" w:type="dxa"/>
        <w:tblLayout w:type="fixed"/>
        <w:tblCellMar>
          <w:top w:w="240" w:type="dxa"/>
          <w:start w:w="28" w:type="dxa"/>
          <w:bottom w:w="240" w:type="dxa"/>
          <w:end w:w="180" w:type="dxa"/>
        </w:tblCellMar>
      </w:tblPr>
      <w:tblGrid>
        <w:gridCol w:w="3053"/>
        <w:gridCol w:w="1267"/>
        <w:gridCol w:w="810"/>
        <w:gridCol w:w="1980"/>
        <w:gridCol w:w="1620"/>
      </w:tblGrid>
      <w:tr>
        <w:trPr>
          <w:tblHeader w:val="true"/>
        </w:trPr>
        <w:tc>
          <w:tcPr>
            <w:tcW w:w="3053"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Test</w:t>
            </w:r>
          </w:p>
        </w:tc>
        <w:tc>
          <w:tcPr>
            <w:tcW w:w="126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t-value</w:t>
            </w:r>
          </w:p>
        </w:tc>
        <w:tc>
          <w:tcPr>
            <w:tcW w:w="81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df</w:t>
            </w:r>
          </w:p>
        </w:tc>
        <w:tc>
          <w:tcPr>
            <w:tcW w:w="198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Sig. (2-tailed)</w:t>
            </w:r>
          </w:p>
        </w:tc>
        <w:tc>
          <w:tcPr>
            <w:tcW w:w="162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Result</w:t>
            </w:r>
          </w:p>
        </w:tc>
      </w:tr>
      <w:tr>
        <w:trPr/>
        <w:tc>
          <w:tcPr>
            <w:tcW w:w="3053"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Equal variances assumed</w:t>
            </w:r>
          </w:p>
        </w:tc>
        <w:tc>
          <w:tcPr>
            <w:tcW w:w="1267"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2.56</w:t>
            </w:r>
          </w:p>
        </w:tc>
        <w:tc>
          <w:tcPr>
            <w:tcW w:w="81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3079</w:t>
            </w:r>
          </w:p>
        </w:tc>
        <w:tc>
          <w:tcPr>
            <w:tcW w:w="198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.010</w:t>
            </w:r>
          </w:p>
        </w:tc>
        <w:tc>
          <w:tcPr>
            <w:tcW w:w="162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Significant</w:t>
            </w:r>
          </w:p>
        </w:tc>
      </w:tr>
    </w:tbl>
    <w:p>
      <w:pPr>
        <w:pStyle w:val="BodyText"/>
        <w:numPr>
          <w:ilvl w:val="0"/>
          <w:numId w:val="0"/>
        </w:numPr>
        <w:pBdr/>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The SPSS output indicates that ratings during Sunny (</w:t>
      </w:r>
      <w:r>
        <w:rPr>
          <w:rFonts w:ascii="Times New Roman" w:hAnsi="Times New Roman"/>
          <w:b/>
          <w:sz w:val="24"/>
          <w:szCs w:val="24"/>
        </w:rPr>
        <w:t>M = 4.65, SD = 0.43</w:t>
      </w:r>
      <w:r>
        <w:rPr>
          <w:rFonts w:ascii="Times New Roman" w:hAnsi="Times New Roman"/>
          <w:sz w:val="24"/>
          <w:szCs w:val="24"/>
        </w:rPr>
        <w:t>) are statistically higher than ratings during Stormy weather (</w:t>
      </w:r>
      <w:r>
        <w:rPr>
          <w:rFonts w:ascii="Times New Roman" w:hAnsi="Times New Roman"/>
          <w:b/>
          <w:sz w:val="24"/>
          <w:szCs w:val="24"/>
        </w:rPr>
        <w:t>M = 4.61, SD = 0.31</w:t>
      </w:r>
      <w:r>
        <w:rPr>
          <w:rFonts w:ascii="Times New Roman" w:hAnsi="Times New Roman"/>
          <w:sz w:val="24"/>
          <w:szCs w:val="24"/>
        </w:rPr>
        <w:t>) . Assuming equal variances (Levene’s test p &gt; .05), the t-test yielded a significant result (</w:t>
      </w:r>
      <w:r>
        <w:rPr>
          <w:rFonts w:ascii="Times New Roman" w:hAnsi="Times New Roman"/>
          <w:b/>
          <w:sz w:val="24"/>
          <w:szCs w:val="24"/>
        </w:rPr>
        <w:t>t = 2.56, p = 0.01</w:t>
      </w:r>
      <w:r>
        <w:rPr>
          <w:rFonts w:ascii="Times New Roman" w:hAnsi="Times New Roman"/>
          <w:sz w:val="24"/>
          <w:szCs w:val="24"/>
        </w:rPr>
        <w:t>) . Therefore, the null hypothesis is rejected, statistically confirming that adverse weather has a direct, detrimental impact on customer satisfaction metrics.</w:t>
      </w:r>
    </w:p>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tbl>
      <w:tblPr>
        <w:tblW w:w="10260" w:type="dxa"/>
        <w:jc w:val="start"/>
        <w:tblInd w:w="0" w:type="dxa"/>
        <w:tblLayout w:type="fixed"/>
        <w:tblCellMar>
          <w:top w:w="240" w:type="dxa"/>
          <w:start w:w="28" w:type="dxa"/>
          <w:bottom w:w="240" w:type="dxa"/>
          <w:end w:w="180" w:type="dxa"/>
        </w:tblCellMar>
      </w:tblPr>
      <w:tblGrid>
        <w:gridCol w:w="3420"/>
        <w:gridCol w:w="1260"/>
        <w:gridCol w:w="9"/>
        <w:gridCol w:w="1251"/>
        <w:gridCol w:w="1620"/>
        <w:gridCol w:w="2700"/>
      </w:tblGrid>
      <w:tr>
        <w:trPr>
          <w:tblHeader w:val="true"/>
        </w:trPr>
        <w:tc>
          <w:tcPr>
            <w:tcW w:w="342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Group Statistics</w:t>
            </w:r>
          </w:p>
        </w:tc>
        <w:tc>
          <w:tcPr>
            <w:tcW w:w="12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Weather</w:t>
            </w:r>
          </w:p>
        </w:tc>
        <w:tc>
          <w:tcPr>
            <w:tcW w:w="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N</w:t>
            </w:r>
          </w:p>
        </w:tc>
        <w:tc>
          <w:tcPr>
            <w:tcW w:w="125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Mean</w:t>
            </w:r>
          </w:p>
        </w:tc>
        <w:tc>
          <w:tcPr>
            <w:tcW w:w="162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Std. Deviation</w:t>
            </w:r>
          </w:p>
        </w:tc>
        <w:tc>
          <w:tcPr>
            <w:tcW w:w="270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Std. Error Mean</w:t>
            </w:r>
          </w:p>
        </w:tc>
      </w:tr>
      <w:tr>
        <w:trPr/>
        <w:tc>
          <w:tcPr>
            <w:tcW w:w="342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Delivery_person_Ratings</w:t>
            </w:r>
          </w:p>
        </w:tc>
        <w:tc>
          <w:tcPr>
            <w:tcW w:w="12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Sunny</w:t>
            </w:r>
          </w:p>
        </w:tc>
        <w:tc>
          <w:tcPr>
            <w:tcW w:w="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4520</w:t>
            </w:r>
          </w:p>
        </w:tc>
        <w:tc>
          <w:tcPr>
            <w:tcW w:w="125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4.75</w:t>
            </w:r>
          </w:p>
        </w:tc>
        <w:tc>
          <w:tcPr>
            <w:tcW w:w="162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0.21</w:t>
            </w:r>
          </w:p>
        </w:tc>
        <w:tc>
          <w:tcPr>
            <w:tcW w:w="270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0.003</w:t>
            </w:r>
          </w:p>
        </w:tc>
      </w:tr>
      <w:tr>
        <w:trPr/>
        <w:tc>
          <w:tcPr>
            <w:tcW w:w="342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2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Stormy</w:t>
            </w:r>
          </w:p>
        </w:tc>
        <w:tc>
          <w:tcPr>
            <w:tcW w:w="9"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4480</w:t>
            </w:r>
          </w:p>
        </w:tc>
        <w:tc>
          <w:tcPr>
            <w:tcW w:w="1251"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4.42</w:t>
            </w:r>
          </w:p>
        </w:tc>
        <w:tc>
          <w:tcPr>
            <w:tcW w:w="162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0.45</w:t>
            </w:r>
          </w:p>
        </w:tc>
        <w:tc>
          <w:tcPr>
            <w:tcW w:w="270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0.006</w:t>
            </w:r>
          </w:p>
        </w:tc>
      </w:tr>
    </w:tbl>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Correlation Analysis:</w:t>
      </w:r>
    </w:p>
    <w:p>
      <w:pPr>
        <w:pStyle w:val="BodyText"/>
        <w:bidi w:val="0"/>
        <w:spacing w:lineRule="auto" w:line="360" w:before="0" w:after="140"/>
        <w:ind w:hanging="0" w:start="0" w:end="0"/>
        <w:jc w:val="start"/>
        <w:rPr/>
      </w:pPr>
      <w:r>
        <w:rPr>
          <w:rFonts w:ascii="Times New Roman" w:hAnsi="Times New Roman"/>
          <w:sz w:val="24"/>
          <w:szCs w:val="24"/>
        </w:rPr>
        <w:t xml:space="preserve">To assess internal operational associations, a bivariate Pearson Correlation analysis was performed evaluating </w:t>
      </w:r>
      <w:r>
        <w:rPr>
          <w:rStyle w:val="SourceText"/>
          <w:rFonts w:ascii="Times New Roman" w:hAnsi="Times New Roman"/>
          <w:sz w:val="24"/>
          <w:szCs w:val="24"/>
        </w:rPr>
        <w:t>Delivery_person_Age</w:t>
      </w:r>
      <w:r>
        <w:rPr>
          <w:rFonts w:ascii="Times New Roman" w:hAnsi="Times New Roman"/>
          <w:sz w:val="24"/>
          <w:szCs w:val="24"/>
        </w:rPr>
        <w:t xml:space="preserve">, </w:t>
      </w:r>
      <w:r>
        <w:rPr>
          <w:rStyle w:val="SourceText"/>
          <w:rFonts w:ascii="Times New Roman" w:hAnsi="Times New Roman"/>
          <w:sz w:val="24"/>
          <w:szCs w:val="24"/>
        </w:rPr>
        <w:t>Delivery_person_Ratings</w:t>
      </w:r>
      <w:r>
        <w:rPr>
          <w:rFonts w:ascii="Times New Roman" w:hAnsi="Times New Roman"/>
          <w:sz w:val="24"/>
          <w:szCs w:val="24"/>
        </w:rPr>
        <w:t xml:space="preserve">, and </w:t>
      </w:r>
      <w:r>
        <w:rPr>
          <w:rStyle w:val="SourceText"/>
          <w:rFonts w:ascii="Times New Roman" w:hAnsi="Times New Roman"/>
          <w:sz w:val="24"/>
          <w:szCs w:val="24"/>
        </w:rPr>
        <w:t>Delivery_Distance_km</w:t>
      </w:r>
      <w:r>
        <w:rPr>
          <w:rFonts w:ascii="Times New Roman" w:hAnsi="Times New Roman"/>
          <w:sz w:val="24"/>
          <w:szCs w:val="24"/>
        </w:rPr>
        <w:t>.</w:t>
      </w:r>
    </w:p>
    <w:p>
      <w:pPr>
        <w:pStyle w:val="BodyText"/>
        <w:bidi w:val="0"/>
        <w:spacing w:lineRule="auto" w:line="360" w:before="0" w:after="140"/>
        <w:ind w:hanging="0" w:start="0" w:end="0"/>
        <w:jc w:val="start"/>
        <w:rPr/>
      </w:pPr>
      <w:r>
        <w:rPr>
          <w:rFonts w:ascii="Times New Roman" w:hAnsi="Times New Roman"/>
          <w:sz w:val="24"/>
          <w:szCs w:val="24"/>
        </w:rPr>
        <w:t xml:space="preserve">The analysis revealed a statistically significant, albeit weak, negative correlation between </w:t>
      </w:r>
      <w:r>
        <w:rPr>
          <w:rStyle w:val="SourceText"/>
          <w:rFonts w:ascii="Times New Roman" w:hAnsi="Times New Roman"/>
          <w:sz w:val="24"/>
          <w:szCs w:val="24"/>
        </w:rPr>
        <w:t>Delivery_Distance_km</w:t>
      </w:r>
      <w:r>
        <w:rPr>
          <w:rFonts w:ascii="Times New Roman" w:hAnsi="Times New Roman"/>
          <w:sz w:val="24"/>
          <w:szCs w:val="24"/>
        </w:rPr>
        <w:t xml:space="preserve"> and </w:t>
      </w:r>
      <w:r>
        <w:rPr>
          <w:rStyle w:val="SourceText"/>
          <w:rFonts w:ascii="Times New Roman" w:hAnsi="Times New Roman"/>
          <w:sz w:val="24"/>
          <w:szCs w:val="24"/>
        </w:rPr>
        <w:t>Delivery_person_Ratings</w:t>
      </w:r>
      <w:r>
        <w:rPr>
          <w:rFonts w:ascii="Times New Roman" w:hAnsi="Times New Roman"/>
          <w:sz w:val="24"/>
          <w:szCs w:val="24"/>
        </w:rPr>
        <w:t xml:space="preserve"> (r = -.</w:t>
      </w:r>
      <w:r>
        <w:rPr>
          <w:rFonts w:ascii="Times New Roman" w:hAnsi="Times New Roman"/>
          <w:sz w:val="24"/>
          <w:szCs w:val="24"/>
        </w:rPr>
        <w:t>12</w:t>
      </w:r>
      <w:r>
        <w:rPr>
          <w:rFonts w:ascii="Times New Roman" w:hAnsi="Times New Roman"/>
          <w:sz w:val="24"/>
          <w:szCs w:val="24"/>
        </w:rPr>
        <w:t>, p &lt; .</w:t>
      </w:r>
      <w:r>
        <w:rPr>
          <w:rFonts w:ascii="Times New Roman" w:hAnsi="Times New Roman"/>
          <w:sz w:val="24"/>
          <w:szCs w:val="24"/>
        </w:rPr>
        <w:t>0</w:t>
      </w:r>
      <w:r>
        <w:rPr>
          <w:rFonts w:ascii="Times New Roman" w:hAnsi="Times New Roman"/>
          <w:sz w:val="24"/>
          <w:szCs w:val="24"/>
        </w:rPr>
        <w:t xml:space="preserve">01), substantiating the visual trends observed in Excel. Conversely, the correlation between </w:t>
      </w:r>
      <w:r>
        <w:rPr>
          <w:rStyle w:val="SourceText"/>
          <w:rFonts w:ascii="Times New Roman" w:hAnsi="Times New Roman"/>
          <w:sz w:val="24"/>
          <w:szCs w:val="24"/>
        </w:rPr>
        <w:t>Delivery_person_Age</w:t>
      </w:r>
      <w:r>
        <w:rPr>
          <w:rFonts w:ascii="Times New Roman" w:hAnsi="Times New Roman"/>
          <w:sz w:val="24"/>
          <w:szCs w:val="24"/>
        </w:rPr>
        <w:t xml:space="preserve"> and </w:t>
      </w:r>
      <w:r>
        <w:rPr>
          <w:rStyle w:val="SourceText"/>
          <w:rFonts w:ascii="Times New Roman" w:hAnsi="Times New Roman"/>
          <w:sz w:val="24"/>
          <w:szCs w:val="24"/>
        </w:rPr>
        <w:t>Delivery_person_Ratings</w:t>
      </w:r>
      <w:r>
        <w:rPr>
          <w:rFonts w:ascii="Times New Roman" w:hAnsi="Times New Roman"/>
          <w:sz w:val="24"/>
          <w:szCs w:val="24"/>
        </w:rPr>
        <w:t xml:space="preserve"> was negligible and non-significant (r = .</w:t>
      </w:r>
      <w:r>
        <w:rPr>
          <w:rFonts w:ascii="Times New Roman" w:hAnsi="Times New Roman"/>
          <w:sz w:val="24"/>
          <w:szCs w:val="24"/>
        </w:rPr>
        <w:t>10</w:t>
      </w:r>
      <w:r>
        <w:rPr>
          <w:rFonts w:ascii="Times New Roman" w:hAnsi="Times New Roman"/>
          <w:sz w:val="24"/>
          <w:szCs w:val="24"/>
        </w:rPr>
        <w:t>, p &lt;.</w:t>
      </w:r>
      <w:r>
        <w:rPr>
          <w:rFonts w:ascii="Times New Roman" w:hAnsi="Times New Roman"/>
          <w:sz w:val="24"/>
          <w:szCs w:val="24"/>
        </w:rPr>
        <w:t>00</w:t>
      </w:r>
      <w:r>
        <w:rPr>
          <w:rFonts w:ascii="Times New Roman" w:hAnsi="Times New Roman"/>
          <w:sz w:val="24"/>
          <w:szCs w:val="24"/>
        </w:rPr>
        <w:t xml:space="preserve">1), implying that courier age is not a determinant of customer satisfaction or delivery efficiency. Additionally, an ordinal correlation (Spearman’s Rho) between </w:t>
      </w:r>
      <w:r>
        <w:rPr>
          <w:rStyle w:val="SourceText"/>
          <w:rFonts w:ascii="Times New Roman" w:hAnsi="Times New Roman"/>
          <w:sz w:val="24"/>
          <w:szCs w:val="24"/>
        </w:rPr>
        <w:t>Road_traffic_density</w:t>
      </w:r>
      <w:r>
        <w:rPr>
          <w:rFonts w:ascii="Times New Roman" w:hAnsi="Times New Roman"/>
          <w:sz w:val="24"/>
          <w:szCs w:val="24"/>
        </w:rPr>
        <w:t xml:space="preserve"> and the order pick-up delay confirmed a strong positive relationship (r_s = .61, p &lt; .001).</w:t>
      </w:r>
    </w:p>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tbl>
      <w:tblPr>
        <w:tblW w:w="9720" w:type="dxa"/>
        <w:jc w:val="start"/>
        <w:tblInd w:w="0" w:type="dxa"/>
        <w:tblLayout w:type="fixed"/>
        <w:tblCellMar>
          <w:top w:w="240" w:type="dxa"/>
          <w:start w:w="28" w:type="dxa"/>
          <w:bottom w:w="240" w:type="dxa"/>
          <w:end w:w="180" w:type="dxa"/>
        </w:tblCellMar>
      </w:tblPr>
      <w:tblGrid>
        <w:gridCol w:w="2160"/>
        <w:gridCol w:w="1770"/>
        <w:gridCol w:w="1560"/>
        <w:gridCol w:w="2100"/>
        <w:gridCol w:w="2130"/>
      </w:tblGrid>
      <w:tr>
        <w:trPr>
          <w:tblHeader w:val="true"/>
        </w:trPr>
        <w:tc>
          <w:tcPr>
            <w:tcW w:w="21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Correlations</w:t>
            </w:r>
          </w:p>
        </w:tc>
        <w:tc>
          <w:tcPr>
            <w:tcW w:w="177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5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Distance</w:t>
            </w:r>
          </w:p>
        </w:tc>
        <w:tc>
          <w:tcPr>
            <w:tcW w:w="21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Ratings</w:t>
            </w:r>
          </w:p>
        </w:tc>
        <w:tc>
          <w:tcPr>
            <w:tcW w:w="213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Age</w:t>
            </w:r>
          </w:p>
        </w:tc>
      </w:tr>
      <w:tr>
        <w:trPr/>
        <w:tc>
          <w:tcPr>
            <w:tcW w:w="21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Distance (km)</w:t>
            </w:r>
          </w:p>
        </w:tc>
        <w:tc>
          <w:tcPr>
            <w:tcW w:w="17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Correlation</w:t>
            </w:r>
          </w:p>
        </w:tc>
        <w:tc>
          <w:tcPr>
            <w:tcW w:w="15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1</w:t>
            </w:r>
          </w:p>
        </w:tc>
        <w:tc>
          <w:tcPr>
            <w:tcW w:w="21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b/>
                <w:color w:val="1F1F1F"/>
                <w:sz w:val="24"/>
                <w:szCs w:val="24"/>
              </w:rPr>
              <w:t>-.</w:t>
            </w:r>
            <w:r>
              <w:rPr>
                <w:rFonts w:ascii="Times New Roman" w:hAnsi="Times New Roman"/>
                <w:b/>
                <w:color w:val="1F1F1F"/>
                <w:sz w:val="24"/>
                <w:szCs w:val="24"/>
              </w:rPr>
              <w:t>123</w:t>
            </w:r>
            <w:r>
              <w:rPr>
                <w:rFonts w:ascii="Times New Roman" w:hAnsi="Times New Roman"/>
                <w:color w:val="1F1F1F"/>
                <w:sz w:val="24"/>
                <w:szCs w:val="24"/>
              </w:rPr>
              <w:t>*</w:t>
            </w:r>
          </w:p>
        </w:tc>
        <w:tc>
          <w:tcPr>
            <w:tcW w:w="213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w:t>
            </w:r>
            <w:r>
              <w:rPr>
                <w:rFonts w:ascii="Times New Roman" w:hAnsi="Times New Roman"/>
                <w:color w:val="1F1F1F"/>
                <w:sz w:val="24"/>
                <w:szCs w:val="24"/>
              </w:rPr>
              <w:t>0</w:t>
            </w:r>
            <w:r>
              <w:rPr>
                <w:rFonts w:ascii="Times New Roman" w:hAnsi="Times New Roman"/>
                <w:color w:val="1F1F1F"/>
                <w:sz w:val="24"/>
                <w:szCs w:val="24"/>
              </w:rPr>
              <w:t>1</w:t>
            </w:r>
            <w:r>
              <w:rPr>
                <w:rFonts w:ascii="Times New Roman" w:hAnsi="Times New Roman"/>
                <w:color w:val="1F1F1F"/>
                <w:sz w:val="24"/>
                <w:szCs w:val="24"/>
              </w:rPr>
              <w:t>8</w:t>
            </w:r>
          </w:p>
        </w:tc>
      </w:tr>
      <w:tr>
        <w:trPr/>
        <w:tc>
          <w:tcPr>
            <w:tcW w:w="216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7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Sig. (2-tailed)</w:t>
            </w:r>
          </w:p>
        </w:tc>
        <w:tc>
          <w:tcPr>
            <w:tcW w:w="156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21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w:t>
            </w:r>
          </w:p>
        </w:tc>
        <w:tc>
          <w:tcPr>
            <w:tcW w:w="213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w:t>
            </w:r>
            <w:r>
              <w:rPr>
                <w:rFonts w:ascii="Times New Roman" w:hAnsi="Times New Roman"/>
                <w:color w:val="1F1F1F"/>
                <w:sz w:val="24"/>
                <w:szCs w:val="24"/>
              </w:rPr>
              <w:t>89</w:t>
            </w:r>
          </w:p>
        </w:tc>
      </w:tr>
      <w:tr>
        <w:trPr/>
        <w:tc>
          <w:tcPr>
            <w:tcW w:w="21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Ratings</w:t>
            </w:r>
          </w:p>
        </w:tc>
        <w:tc>
          <w:tcPr>
            <w:tcW w:w="17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Correlation</w:t>
            </w:r>
          </w:p>
        </w:tc>
        <w:tc>
          <w:tcPr>
            <w:tcW w:w="15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b/>
                <w:color w:val="1F1F1F"/>
                <w:sz w:val="24"/>
                <w:szCs w:val="24"/>
              </w:rPr>
              <w:t>-.</w:t>
            </w:r>
            <w:r>
              <w:rPr>
                <w:rFonts w:ascii="Times New Roman" w:hAnsi="Times New Roman"/>
                <w:b/>
                <w:color w:val="1F1F1F"/>
                <w:sz w:val="24"/>
                <w:szCs w:val="24"/>
              </w:rPr>
              <w:t>123</w:t>
            </w:r>
            <w:r>
              <w:rPr>
                <w:rFonts w:ascii="Times New Roman" w:hAnsi="Times New Roman"/>
                <w:color w:val="1F1F1F"/>
                <w:sz w:val="24"/>
                <w:szCs w:val="24"/>
              </w:rPr>
              <w:t>*</w:t>
            </w:r>
          </w:p>
        </w:tc>
        <w:tc>
          <w:tcPr>
            <w:tcW w:w="21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1</w:t>
            </w:r>
          </w:p>
        </w:tc>
        <w:tc>
          <w:tcPr>
            <w:tcW w:w="213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w:t>
            </w:r>
            <w:r>
              <w:rPr>
                <w:rFonts w:ascii="Times New Roman" w:hAnsi="Times New Roman"/>
                <w:color w:val="1F1F1F"/>
                <w:sz w:val="24"/>
                <w:szCs w:val="24"/>
              </w:rPr>
              <w:t>106</w:t>
            </w:r>
          </w:p>
        </w:tc>
      </w:tr>
      <w:tr>
        <w:trPr/>
        <w:tc>
          <w:tcPr>
            <w:tcW w:w="216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7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Sig. (2-tailed)</w:t>
            </w:r>
          </w:p>
        </w:tc>
        <w:tc>
          <w:tcPr>
            <w:tcW w:w="156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w:t>
            </w:r>
          </w:p>
        </w:tc>
        <w:tc>
          <w:tcPr>
            <w:tcW w:w="210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213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w:t>
            </w:r>
            <w:r>
              <w:rPr>
                <w:rFonts w:ascii="Times New Roman" w:hAnsi="Times New Roman"/>
                <w:color w:val="1F1F1F"/>
                <w:sz w:val="24"/>
                <w:szCs w:val="24"/>
              </w:rPr>
              <w:t>000</w:t>
            </w:r>
          </w:p>
        </w:tc>
      </w:tr>
    </w:tbl>
    <w:p>
      <w:pPr>
        <w:pStyle w:val="BodyText"/>
        <w:bidi w:val="0"/>
        <w:spacing w:lineRule="auto" w:line="360" w:before="0" w:after="140"/>
        <w:ind w:hanging="0" w:start="0" w:end="0"/>
        <w:jc w:val="start"/>
        <w:rPr>
          <w:rFonts w:ascii="Times New Roman" w:hAnsi="Times New Roman"/>
          <w:i/>
          <w:sz w:val="24"/>
          <w:szCs w:val="24"/>
        </w:rPr>
      </w:pPr>
      <w:r>
        <w:rPr>
          <w:rFonts w:ascii="Times New Roman" w:hAnsi="Times New Roman"/>
          <w:i/>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Regression Analysis:</w:t>
      </w:r>
    </w:p>
    <w:p>
      <w:pPr>
        <w:pStyle w:val="BodyText"/>
        <w:bidi w:val="0"/>
        <w:spacing w:lineRule="auto" w:line="360" w:before="0" w:after="140"/>
        <w:ind w:hanging="0" w:start="0" w:end="0"/>
        <w:jc w:val="start"/>
        <w:rPr/>
      </w:pPr>
      <w:r>
        <w:rPr>
          <w:rFonts w:ascii="Times New Roman" w:hAnsi="Times New Roman"/>
          <w:sz w:val="24"/>
          <w:szCs w:val="24"/>
        </w:rPr>
        <w:t xml:space="preserve">Finally, a multiple linear regression was executed to model the predictors of </w:t>
      </w:r>
      <w:r>
        <w:rPr>
          <w:rStyle w:val="SourceText"/>
          <w:rFonts w:ascii="Times New Roman" w:hAnsi="Times New Roman"/>
          <w:sz w:val="24"/>
          <w:szCs w:val="24"/>
        </w:rPr>
        <w:t>Delivery_person_Ratings</w:t>
      </w:r>
      <w:r>
        <w:rPr>
          <w:rFonts w:ascii="Times New Roman" w:hAnsi="Times New Roman"/>
          <w:sz w:val="24"/>
          <w:szCs w:val="24"/>
        </w:rPr>
        <w:t xml:space="preserve">. The dependent variable was Ratings, with independent predictors including </w:t>
      </w:r>
      <w:r>
        <w:rPr>
          <w:rStyle w:val="SourceText"/>
          <w:rFonts w:ascii="Times New Roman" w:hAnsi="Times New Roman"/>
          <w:sz w:val="24"/>
          <w:szCs w:val="24"/>
        </w:rPr>
        <w:t>Delivery_Distance_km</w:t>
      </w:r>
      <w:r>
        <w:rPr>
          <w:rFonts w:ascii="Times New Roman" w:hAnsi="Times New Roman"/>
          <w:sz w:val="24"/>
          <w:szCs w:val="24"/>
        </w:rPr>
        <w:t xml:space="preserve">, </w:t>
      </w:r>
      <w:r>
        <w:rPr>
          <w:rStyle w:val="SourceText"/>
          <w:rFonts w:ascii="Times New Roman" w:hAnsi="Times New Roman"/>
          <w:sz w:val="24"/>
          <w:szCs w:val="24"/>
        </w:rPr>
        <w:t>Vehicle_condition</w:t>
      </w:r>
      <w:r>
        <w:rPr>
          <w:rFonts w:ascii="Times New Roman" w:hAnsi="Times New Roman"/>
          <w:sz w:val="24"/>
          <w:szCs w:val="24"/>
        </w:rPr>
        <w:t xml:space="preserve">, and dummy-coded variables for </w:t>
      </w:r>
      <w:r>
        <w:rPr>
          <w:rStyle w:val="SourceText"/>
          <w:rFonts w:ascii="Times New Roman" w:hAnsi="Times New Roman"/>
          <w:sz w:val="24"/>
          <w:szCs w:val="24"/>
        </w:rPr>
        <w:t>Weather</w:t>
      </w:r>
      <w:r>
        <w:rPr>
          <w:rFonts w:ascii="Times New Roman" w:hAnsi="Times New Roman"/>
          <w:sz w:val="24"/>
          <w:szCs w:val="24"/>
        </w:rPr>
        <w:t xml:space="preserve"> (1 = Adverse, 0 = Clear) and </w:t>
      </w:r>
      <w:r>
        <w:rPr>
          <w:rStyle w:val="SourceText"/>
          <w:rFonts w:ascii="Times New Roman" w:hAnsi="Times New Roman"/>
          <w:sz w:val="24"/>
          <w:szCs w:val="24"/>
        </w:rPr>
        <w:t>Traffic_density</w:t>
      </w:r>
      <w:r>
        <w:rPr>
          <w:rFonts w:ascii="Times New Roman" w:hAnsi="Times New Roman"/>
          <w:sz w:val="24"/>
          <w:szCs w:val="24"/>
        </w:rPr>
        <w:t xml:space="preserve"> (1 = Jam, 0 = Other).</w:t>
      </w:r>
    </w:p>
    <w:p>
      <w:pPr>
        <w:pStyle w:val="BodyText"/>
        <w:bidi w:val="0"/>
        <w:spacing w:lineRule="auto" w:line="360" w:before="0" w:after="140"/>
        <w:ind w:hanging="0" w:start="0" w:end="0"/>
        <w:jc w:val="start"/>
        <w:rPr/>
      </w:pPr>
      <w:r>
        <w:rPr>
          <w:rFonts w:ascii="Times New Roman" w:hAnsi="Times New Roman"/>
          <w:sz w:val="24"/>
          <w:szCs w:val="24"/>
        </w:rPr>
        <w:t xml:space="preserve">The regression model was statistically significant,F(4, N) = </w:t>
      </w:r>
      <w:r>
        <w:rPr>
          <w:rFonts w:ascii="Times New Roman" w:hAnsi="Times New Roman"/>
          <w:sz w:val="24"/>
          <w:szCs w:val="24"/>
        </w:rPr>
        <w:t>54</w:t>
      </w:r>
      <w:r>
        <w:rPr>
          <w:rFonts w:ascii="Times New Roman" w:hAnsi="Times New Roman"/>
          <w:sz w:val="24"/>
          <w:szCs w:val="24"/>
        </w:rPr>
        <w:t>.</w:t>
      </w:r>
      <w:r>
        <w:rPr>
          <w:rFonts w:ascii="Times New Roman" w:hAnsi="Times New Roman"/>
          <w:sz w:val="24"/>
          <w:szCs w:val="24"/>
        </w:rPr>
        <w:t>08</w:t>
      </w:r>
      <w:r>
        <w:rPr>
          <w:rFonts w:ascii="Times New Roman" w:hAnsi="Times New Roman"/>
          <w:sz w:val="24"/>
          <w:szCs w:val="24"/>
        </w:rPr>
        <w:t>, p &lt; .001, and accounted for approximately 2.</w:t>
      </w:r>
      <w:r>
        <w:rPr>
          <w:rFonts w:ascii="Times New Roman" w:hAnsi="Times New Roman"/>
          <w:sz w:val="24"/>
          <w:szCs w:val="24"/>
        </w:rPr>
        <w:t>3</w:t>
      </w:r>
      <w:r>
        <w:rPr>
          <w:rFonts w:ascii="Times New Roman" w:hAnsi="Times New Roman"/>
          <w:sz w:val="24"/>
          <w:szCs w:val="24"/>
        </w:rPr>
        <w:t>% of the variance in delivery ratings (R^2 = .</w:t>
      </w:r>
      <w:r>
        <w:rPr>
          <w:rFonts w:ascii="Times New Roman" w:hAnsi="Times New Roman"/>
          <w:sz w:val="24"/>
          <w:szCs w:val="24"/>
        </w:rPr>
        <w:t>023</w:t>
      </w:r>
      <w:r>
        <w:rPr>
          <w:rFonts w:ascii="Times New Roman" w:hAnsi="Times New Roman"/>
          <w:sz w:val="24"/>
          <w:szCs w:val="24"/>
        </w:rPr>
        <w:t>). The coefficient output demonstrates that 'Adverse Weather' (\beta = -.</w:t>
      </w:r>
      <w:r>
        <w:rPr>
          <w:rFonts w:ascii="Times New Roman" w:hAnsi="Times New Roman"/>
          <w:sz w:val="24"/>
          <w:szCs w:val="24"/>
        </w:rPr>
        <w:t>02</w:t>
      </w:r>
      <w:r>
        <w:rPr>
          <w:rFonts w:ascii="Times New Roman" w:hAnsi="Times New Roman"/>
          <w:sz w:val="24"/>
          <w:szCs w:val="24"/>
        </w:rPr>
        <w:t xml:space="preserve">, p </w:t>
      </w:r>
      <w:r>
        <w:rPr>
          <w:rFonts w:ascii="Times New Roman" w:hAnsi="Times New Roman"/>
          <w:sz w:val="24"/>
          <w:szCs w:val="24"/>
        </w:rPr>
        <w:t>=</w:t>
      </w:r>
      <w:r>
        <w:rPr>
          <w:rFonts w:ascii="Times New Roman" w:hAnsi="Times New Roman"/>
          <w:sz w:val="24"/>
          <w:szCs w:val="24"/>
        </w:rPr>
        <w:t xml:space="preserve"> .0</w:t>
      </w:r>
      <w:r>
        <w:rPr>
          <w:rFonts w:ascii="Times New Roman" w:hAnsi="Times New Roman"/>
          <w:sz w:val="24"/>
          <w:szCs w:val="24"/>
        </w:rPr>
        <w:t>28</w:t>
      </w:r>
      <w:r>
        <w:rPr>
          <w:rFonts w:ascii="Times New Roman" w:hAnsi="Times New Roman"/>
          <w:sz w:val="24"/>
          <w:szCs w:val="24"/>
        </w:rPr>
        <w:t>) and 'Traffic Jam' (\beta = -.</w:t>
      </w:r>
      <w:r>
        <w:rPr>
          <w:rFonts w:ascii="Times New Roman" w:hAnsi="Times New Roman"/>
          <w:sz w:val="24"/>
          <w:szCs w:val="24"/>
        </w:rPr>
        <w:t>0</w:t>
      </w:r>
      <w:r>
        <w:rPr>
          <w:rFonts w:ascii="Times New Roman" w:hAnsi="Times New Roman"/>
          <w:sz w:val="24"/>
          <w:szCs w:val="24"/>
        </w:rPr>
        <w:t>7,              p &lt; .0</w:t>
      </w:r>
      <w:r>
        <w:rPr>
          <w:rFonts w:ascii="Times New Roman" w:hAnsi="Times New Roman"/>
          <w:sz w:val="24"/>
          <w:szCs w:val="24"/>
        </w:rPr>
        <w:t>0</w:t>
      </w:r>
      <w:r>
        <w:rPr>
          <w:rFonts w:ascii="Times New Roman" w:hAnsi="Times New Roman"/>
          <w:sz w:val="24"/>
          <w:szCs w:val="24"/>
        </w:rPr>
        <w:t xml:space="preserve">1) are the strongest negative predictors of ratings. Interestingly, </w:t>
      </w:r>
      <w:r>
        <w:rPr>
          <w:rStyle w:val="SourceText"/>
          <w:rFonts w:ascii="Times New Roman" w:hAnsi="Times New Roman"/>
          <w:sz w:val="24"/>
          <w:szCs w:val="24"/>
        </w:rPr>
        <w:t>Vehicle_condition</w:t>
      </w:r>
      <w:r>
        <w:rPr>
          <w:rFonts w:ascii="Times New Roman" w:hAnsi="Times New Roman"/>
          <w:sz w:val="24"/>
          <w:szCs w:val="24"/>
        </w:rPr>
        <w:t xml:space="preserve"> emerged as a significant positive predictor (\beta = .18, p &lt; .05). This multivariate model underscores that ratings are driven predominantly by environmental friction and transit distance, rather than the demographic profile of the courier.</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tbl>
      <w:tblPr>
        <w:tblW w:w="8220" w:type="dxa"/>
        <w:jc w:val="start"/>
        <w:tblInd w:w="0" w:type="dxa"/>
        <w:tblLayout w:type="fixed"/>
        <w:tblCellMar>
          <w:top w:w="240" w:type="dxa"/>
          <w:start w:w="28" w:type="dxa"/>
          <w:bottom w:w="240" w:type="dxa"/>
          <w:end w:w="180" w:type="dxa"/>
        </w:tblCellMar>
      </w:tblPr>
      <w:tblGrid>
        <w:gridCol w:w="2076"/>
        <w:gridCol w:w="1524"/>
        <w:gridCol w:w="1800"/>
        <w:gridCol w:w="1470"/>
        <w:gridCol w:w="1350"/>
      </w:tblGrid>
      <w:tr>
        <w:trPr>
          <w:tblHeader w:val="true"/>
        </w:trPr>
        <w:tc>
          <w:tcPr>
            <w:tcW w:w="2076"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Model</w:t>
            </w:r>
          </w:p>
        </w:tc>
        <w:tc>
          <w:tcPr>
            <w:tcW w:w="1524"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B</w:t>
            </w:r>
          </w:p>
        </w:tc>
        <w:tc>
          <w:tcPr>
            <w:tcW w:w="18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Beta (β)</w:t>
            </w:r>
          </w:p>
        </w:tc>
        <w:tc>
          <w:tcPr>
            <w:tcW w:w="14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t</w:t>
            </w:r>
          </w:p>
        </w:tc>
        <w:tc>
          <w:tcPr>
            <w:tcW w:w="135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pPr>
            <w:r>
              <w:rPr>
                <w:rStyle w:val="Strong"/>
                <w:rFonts w:ascii="Times New Roman" w:hAnsi="Times New Roman"/>
                <w:color w:val="1F1F1F"/>
                <w:sz w:val="24"/>
                <w:szCs w:val="24"/>
              </w:rPr>
              <w:t>Sig.</w:t>
            </w:r>
          </w:p>
        </w:tc>
      </w:tr>
      <w:tr>
        <w:trPr/>
        <w:tc>
          <w:tcPr>
            <w:tcW w:w="2076"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(Constant)</w:t>
            </w:r>
          </w:p>
        </w:tc>
        <w:tc>
          <w:tcPr>
            <w:tcW w:w="1524"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4.</w:t>
            </w:r>
            <w:r>
              <w:rPr>
                <w:rFonts w:ascii="Times New Roman" w:hAnsi="Times New Roman"/>
                <w:color w:val="1F1F1F"/>
                <w:sz w:val="24"/>
                <w:szCs w:val="24"/>
              </w:rPr>
              <w:t>704</w:t>
            </w:r>
          </w:p>
        </w:tc>
        <w:tc>
          <w:tcPr>
            <w:tcW w:w="1800" w:type="dxa"/>
            <w:tcBorders>
              <w:top w:val="single" w:sz="2" w:space="0" w:color="000000"/>
              <w:start w:val="single" w:sz="2" w:space="0" w:color="000000"/>
              <w:bottom w:val="single" w:sz="2" w:space="0" w:color="000000"/>
              <w:end w:val="single" w:sz="2" w:space="0" w:color="000000"/>
            </w:tcBorders>
            <w:vAlign w:val="center"/>
          </w:tcPr>
          <w:p>
            <w:pPr>
              <w:pStyle w:val="TableContents"/>
              <w:bidi w:val="0"/>
              <w:ind w:hanging="0" w:start="0" w:end="0"/>
              <w:jc w:val="start"/>
              <w:rPr>
                <w:rFonts w:ascii="Times New Roman" w:hAnsi="Times New Roman"/>
                <w:sz w:val="24"/>
                <w:szCs w:val="24"/>
              </w:rPr>
            </w:pPr>
            <w:r>
              <w:rPr>
                <w:rFonts w:ascii="Times New Roman" w:hAnsi="Times New Roman"/>
                <w:sz w:val="24"/>
                <w:szCs w:val="24"/>
              </w:rPr>
            </w:r>
          </w:p>
        </w:tc>
        <w:tc>
          <w:tcPr>
            <w:tcW w:w="14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239.54</w:t>
            </w:r>
          </w:p>
        </w:tc>
        <w:tc>
          <w:tcPr>
            <w:tcW w:w="135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w:t>
            </w:r>
          </w:p>
        </w:tc>
      </w:tr>
      <w:tr>
        <w:trPr/>
        <w:tc>
          <w:tcPr>
            <w:tcW w:w="2076"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Adverse Weather</w:t>
            </w:r>
          </w:p>
        </w:tc>
        <w:tc>
          <w:tcPr>
            <w:tcW w:w="1524"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w:t>
            </w:r>
            <w:r>
              <w:rPr>
                <w:rFonts w:ascii="Times New Roman" w:hAnsi="Times New Roman"/>
                <w:color w:val="1F1F1F"/>
                <w:sz w:val="24"/>
                <w:szCs w:val="24"/>
              </w:rPr>
              <w:t>019</w:t>
            </w:r>
          </w:p>
        </w:tc>
        <w:tc>
          <w:tcPr>
            <w:tcW w:w="18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w:t>
            </w:r>
            <w:r>
              <w:rPr>
                <w:rFonts w:ascii="Times New Roman" w:hAnsi="Times New Roman"/>
                <w:b/>
                <w:color w:val="1F1F1F"/>
                <w:sz w:val="24"/>
                <w:szCs w:val="24"/>
              </w:rPr>
              <w:t>021</w:t>
            </w:r>
          </w:p>
        </w:tc>
        <w:tc>
          <w:tcPr>
            <w:tcW w:w="14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w:t>
            </w:r>
            <w:r>
              <w:rPr>
                <w:rFonts w:ascii="Times New Roman" w:hAnsi="Times New Roman"/>
                <w:color w:val="1F1F1F"/>
                <w:sz w:val="24"/>
                <w:szCs w:val="24"/>
              </w:rPr>
              <w:t>2</w:t>
            </w:r>
            <w:r>
              <w:rPr>
                <w:rFonts w:ascii="Times New Roman" w:hAnsi="Times New Roman"/>
                <w:color w:val="1F1F1F"/>
                <w:sz w:val="24"/>
                <w:szCs w:val="24"/>
              </w:rPr>
              <w:t>.1</w:t>
            </w:r>
            <w:r>
              <w:rPr>
                <w:rFonts w:ascii="Times New Roman" w:hAnsi="Times New Roman"/>
                <w:color w:val="1F1F1F"/>
                <w:sz w:val="24"/>
                <w:szCs w:val="24"/>
              </w:rPr>
              <w:t>9</w:t>
            </w:r>
          </w:p>
        </w:tc>
        <w:tc>
          <w:tcPr>
            <w:tcW w:w="135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w:t>
            </w:r>
            <w:r>
              <w:rPr>
                <w:rFonts w:ascii="Times New Roman" w:hAnsi="Times New Roman"/>
                <w:color w:val="1F1F1F"/>
                <w:sz w:val="24"/>
                <w:szCs w:val="24"/>
              </w:rPr>
              <w:t>28</w:t>
            </w:r>
          </w:p>
        </w:tc>
      </w:tr>
      <w:tr>
        <w:trPr/>
        <w:tc>
          <w:tcPr>
            <w:tcW w:w="2076"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Traffic Jam</w:t>
            </w:r>
          </w:p>
        </w:tc>
        <w:tc>
          <w:tcPr>
            <w:tcW w:w="1524"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w:t>
            </w:r>
            <w:r>
              <w:rPr>
                <w:rFonts w:ascii="Times New Roman" w:hAnsi="Times New Roman"/>
                <w:color w:val="1F1F1F"/>
                <w:sz w:val="24"/>
                <w:szCs w:val="24"/>
              </w:rPr>
              <w:t>051</w:t>
            </w:r>
          </w:p>
        </w:tc>
        <w:tc>
          <w:tcPr>
            <w:tcW w:w="18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w:t>
            </w:r>
            <w:r>
              <w:rPr>
                <w:rFonts w:ascii="Times New Roman" w:hAnsi="Times New Roman"/>
                <w:b/>
                <w:color w:val="1F1F1F"/>
                <w:sz w:val="24"/>
                <w:szCs w:val="24"/>
              </w:rPr>
              <w:t>0</w:t>
            </w:r>
            <w:r>
              <w:rPr>
                <w:rFonts w:ascii="Times New Roman" w:hAnsi="Times New Roman"/>
                <w:b/>
                <w:color w:val="1F1F1F"/>
                <w:sz w:val="24"/>
                <w:szCs w:val="24"/>
              </w:rPr>
              <w:t>7</w:t>
            </w:r>
            <w:r>
              <w:rPr>
                <w:rFonts w:ascii="Times New Roman" w:hAnsi="Times New Roman"/>
                <w:b/>
                <w:color w:val="1F1F1F"/>
                <w:sz w:val="24"/>
                <w:szCs w:val="24"/>
              </w:rPr>
              <w:t>1</w:t>
            </w:r>
          </w:p>
        </w:tc>
        <w:tc>
          <w:tcPr>
            <w:tcW w:w="14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-6.7</w:t>
            </w:r>
            <w:r>
              <w:rPr>
                <w:rFonts w:ascii="Times New Roman" w:hAnsi="Times New Roman"/>
                <w:color w:val="1F1F1F"/>
                <w:sz w:val="24"/>
                <w:szCs w:val="24"/>
              </w:rPr>
              <w:t>9</w:t>
            </w:r>
          </w:p>
        </w:tc>
        <w:tc>
          <w:tcPr>
            <w:tcW w:w="135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w:t>
            </w:r>
            <w:r>
              <w:rPr>
                <w:rFonts w:ascii="Times New Roman" w:hAnsi="Times New Roman"/>
                <w:color w:val="1F1F1F"/>
                <w:sz w:val="24"/>
                <w:szCs w:val="24"/>
              </w:rPr>
              <w:t>0</w:t>
            </w:r>
          </w:p>
        </w:tc>
      </w:tr>
      <w:tr>
        <w:trPr/>
        <w:tc>
          <w:tcPr>
            <w:tcW w:w="2076"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Distance (km)</w:t>
            </w:r>
          </w:p>
        </w:tc>
        <w:tc>
          <w:tcPr>
            <w:tcW w:w="1524"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w:t>
            </w:r>
            <w:r>
              <w:rPr>
                <w:rFonts w:ascii="Times New Roman" w:hAnsi="Times New Roman"/>
                <w:color w:val="1F1F1F"/>
                <w:sz w:val="24"/>
                <w:szCs w:val="24"/>
              </w:rPr>
              <w:t>07</w:t>
            </w:r>
          </w:p>
        </w:tc>
        <w:tc>
          <w:tcPr>
            <w:tcW w:w="180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b/>
                <w:color w:val="1F1F1F"/>
                <w:sz w:val="24"/>
                <w:szCs w:val="24"/>
              </w:rPr>
            </w:pPr>
            <w:r>
              <w:rPr>
                <w:rFonts w:ascii="Times New Roman" w:hAnsi="Times New Roman"/>
                <w:b/>
                <w:color w:val="1F1F1F"/>
                <w:sz w:val="24"/>
                <w:szCs w:val="24"/>
              </w:rPr>
              <w:t>-.</w:t>
            </w:r>
            <w:r>
              <w:rPr>
                <w:rFonts w:ascii="Times New Roman" w:hAnsi="Times New Roman"/>
                <w:b/>
                <w:color w:val="1F1F1F"/>
                <w:sz w:val="24"/>
                <w:szCs w:val="24"/>
              </w:rPr>
              <w:t>122</w:t>
            </w:r>
          </w:p>
        </w:tc>
        <w:tc>
          <w:tcPr>
            <w:tcW w:w="1470" w:type="dxa"/>
            <w:tcBorders>
              <w:top w:val="single" w:sz="2" w:space="0" w:color="000000"/>
              <w:start w:val="single" w:sz="2" w:space="0" w:color="000000"/>
              <w:bottom w:val="single" w:sz="2" w:space="0" w:color="000000"/>
              <w:end w:val="single" w:sz="2" w:space="0" w:color="000000"/>
            </w:tcBorders>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w:t>
            </w:r>
            <w:r>
              <w:rPr>
                <w:rFonts w:ascii="Times New Roman" w:hAnsi="Times New Roman"/>
                <w:color w:val="1F1F1F"/>
                <w:sz w:val="24"/>
                <w:szCs w:val="24"/>
              </w:rPr>
              <w:t>9</w:t>
            </w:r>
            <w:r>
              <w:rPr>
                <w:rFonts w:ascii="Times New Roman" w:hAnsi="Times New Roman"/>
                <w:color w:val="1F1F1F"/>
                <w:sz w:val="24"/>
                <w:szCs w:val="24"/>
              </w:rPr>
              <w:t>.</w:t>
            </w:r>
            <w:r>
              <w:rPr>
                <w:rFonts w:ascii="Times New Roman" w:hAnsi="Times New Roman"/>
                <w:color w:val="1F1F1F"/>
                <w:sz w:val="24"/>
                <w:szCs w:val="24"/>
              </w:rPr>
              <w:t>66</w:t>
            </w:r>
          </w:p>
        </w:tc>
        <w:tc>
          <w:tcPr>
            <w:tcW w:w="1350" w:type="dxa"/>
            <w:tcBorders>
              <w:top w:val="single" w:sz="2" w:space="0" w:color="000000"/>
              <w:start w:val="single" w:sz="2" w:space="0" w:color="000000"/>
              <w:bottom w:val="single" w:sz="2" w:space="0" w:color="000000"/>
              <w:end w:val="single" w:sz="2" w:space="0" w:color="000000"/>
            </w:tcBorders>
            <w:tcMar>
              <w:end w:w="28" w:type="dxa"/>
            </w:tcMar>
            <w:vAlign w:val="center"/>
          </w:tcPr>
          <w:p>
            <w:pPr>
              <w:pStyle w:val="TableContents"/>
              <w:keepNext w:val="false"/>
              <w:widowControl/>
              <w:bidi w:val="0"/>
              <w:spacing w:lineRule="auto" w:line="274" w:before="0" w:after="0"/>
              <w:ind w:hanging="0" w:start="0" w:end="0"/>
              <w:jc w:val="start"/>
              <w:rPr>
                <w:rFonts w:ascii="Times New Roman" w:hAnsi="Times New Roman"/>
                <w:color w:val="1F1F1F"/>
                <w:sz w:val="24"/>
                <w:szCs w:val="24"/>
              </w:rPr>
            </w:pPr>
            <w:r>
              <w:rPr>
                <w:rFonts w:ascii="Times New Roman" w:hAnsi="Times New Roman"/>
                <w:color w:val="1F1F1F"/>
                <w:sz w:val="24"/>
                <w:szCs w:val="24"/>
              </w:rPr>
              <w:t>.000</w:t>
            </w:r>
          </w:p>
        </w:tc>
      </w:tr>
    </w:tbl>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pPr>
      <w:r>
        <w:rPr>
          <w:rFonts w:ascii="Times New Roman" w:hAnsi="Times New Roman"/>
          <w:b/>
          <w:sz w:val="24"/>
          <w:szCs w:val="24"/>
        </w:rPr>
        <w:t>Insights and Recommendations</w:t>
      </w:r>
      <w:r>
        <w:rPr>
          <w:rFonts w:ascii="Times New Roman" w:hAnsi="Times New Roman"/>
          <w:sz w:val="24"/>
          <w:szCs w:val="24"/>
        </w:rPr>
        <w:t xml:space="preserve"> The synthesized analysis provides definitive insights into the mechanics of the food delivery dataset. The overarching finding is that systemic bottlenecks—specifically adverse weather and dense traffic—are the primary statistically significant constraints on delivery efficiency and customer satisfaction. While couriers maintain a commendable average rating of 4.63, the regression and correlation models verify that distances exceeding standard urban radii, compounded by 'Jam' conditions or 'Stormy' weather, reliably degrade performance. Furthermore, </w:t>
      </w:r>
      <w:r>
        <w:rPr>
          <w:rStyle w:val="SourceText"/>
          <w:rFonts w:ascii="Times New Roman" w:hAnsi="Times New Roman"/>
          <w:sz w:val="24"/>
          <w:szCs w:val="24"/>
        </w:rPr>
        <w:t>Vehicle_condition</w:t>
      </w:r>
      <w:r>
        <w:rPr>
          <w:rFonts w:ascii="Times New Roman" w:hAnsi="Times New Roman"/>
          <w:sz w:val="24"/>
          <w:szCs w:val="24"/>
        </w:rPr>
        <w:t xml:space="preserve"> proved to be a statistically relevant buffer against these delays.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Based on these empirical findings, several operational recommendations are proposed to enhance efficiency:</w:t>
      </w:r>
    </w:p>
    <w:p>
      <w:pPr>
        <w:pStyle w:val="BodyText"/>
        <w:numPr>
          <w:ilvl w:val="0"/>
          <w:numId w:val="2"/>
        </w:numPr>
        <w:pBdr/>
        <w:tabs>
          <w:tab w:val="clear" w:pos="709"/>
          <w:tab w:val="left" w:pos="709" w:leader="none"/>
        </w:tabs>
        <w:bidi w:val="0"/>
        <w:spacing w:lineRule="auto" w:line="360" w:before="0" w:after="140"/>
        <w:ind w:hanging="283" w:start="709" w:end="0"/>
        <w:jc w:val="start"/>
        <w:rPr>
          <w:rFonts w:ascii="Times New Roman" w:hAnsi="Times New Roman"/>
          <w:sz w:val="24"/>
          <w:szCs w:val="24"/>
        </w:rPr>
      </w:pPr>
      <w:r>
        <w:rPr>
          <w:rFonts w:ascii="Times New Roman" w:hAnsi="Times New Roman"/>
          <w:b/>
          <w:sz w:val="24"/>
          <w:szCs w:val="24"/>
        </w:rPr>
        <w:t>Dynamic Routing and Algorithm Adjustment:</w:t>
      </w:r>
      <w:r>
        <w:rPr>
          <w:rFonts w:ascii="Times New Roman" w:hAnsi="Times New Roman"/>
          <w:sz w:val="24"/>
          <w:szCs w:val="24"/>
        </w:rPr>
        <w:t xml:space="preserve"> The platform should implement dynamic, weather-responsive routing algorithms. During 'Stormy' or 'Sandstorm' events, the maximum allowable delivery radius should be digitally restricted to mitigate the compounded delay effects identified in the scatter plots and regression models.</w:t>
      </w:r>
    </w:p>
    <w:p>
      <w:pPr>
        <w:pStyle w:val="BodyText"/>
        <w:numPr>
          <w:ilvl w:val="0"/>
          <w:numId w:val="2"/>
        </w:numPr>
        <w:pBdr/>
        <w:tabs>
          <w:tab w:val="clear" w:pos="709"/>
          <w:tab w:val="left" w:pos="709" w:leader="none"/>
        </w:tabs>
        <w:bidi w:val="0"/>
        <w:spacing w:lineRule="auto" w:line="360" w:before="0" w:after="140"/>
        <w:ind w:hanging="283" w:start="709" w:end="0"/>
        <w:jc w:val="start"/>
        <w:rPr>
          <w:rFonts w:ascii="Times New Roman" w:hAnsi="Times New Roman"/>
          <w:sz w:val="24"/>
          <w:szCs w:val="24"/>
        </w:rPr>
      </w:pPr>
      <w:r>
        <w:rPr>
          <w:rFonts w:ascii="Times New Roman" w:hAnsi="Times New Roman"/>
          <w:b/>
          <w:sz w:val="24"/>
          <w:szCs w:val="24"/>
        </w:rPr>
        <w:t>Strategic Vehicle Deployment:</w:t>
      </w:r>
      <w:r>
        <w:rPr>
          <w:rFonts w:ascii="Times New Roman" w:hAnsi="Times New Roman"/>
          <w:sz w:val="24"/>
          <w:szCs w:val="24"/>
        </w:rPr>
        <w:t xml:space="preserve"> Given that electric scooters and standard scooters are less impeded by 'Jam' conditions, dispatch algorithms should prioritize these vehicle types for shorter, urban-core deliveries during peak hours, reserving motorcycles for longer-distance, 'Low' traffic routes.</w:t>
      </w:r>
    </w:p>
    <w:p>
      <w:pPr>
        <w:pStyle w:val="BodyText"/>
        <w:numPr>
          <w:ilvl w:val="0"/>
          <w:numId w:val="2"/>
        </w:numPr>
        <w:pBdr/>
        <w:tabs>
          <w:tab w:val="clear" w:pos="709"/>
          <w:tab w:val="left" w:pos="709" w:leader="none"/>
        </w:tabs>
        <w:bidi w:val="0"/>
        <w:spacing w:lineRule="auto" w:line="360" w:before="0" w:after="140"/>
        <w:ind w:hanging="283" w:start="709" w:end="0"/>
        <w:jc w:val="start"/>
        <w:rPr/>
      </w:pPr>
      <w:r>
        <w:rPr>
          <w:rFonts w:ascii="Times New Roman" w:hAnsi="Times New Roman"/>
          <w:b/>
          <w:sz w:val="24"/>
          <w:szCs w:val="24"/>
        </w:rPr>
        <w:t>Fleet Maintenance Initiatives:</w:t>
      </w:r>
      <w:r>
        <w:rPr>
          <w:rFonts w:ascii="Times New Roman" w:hAnsi="Times New Roman"/>
          <w:sz w:val="24"/>
          <w:szCs w:val="24"/>
        </w:rPr>
        <w:t xml:space="preserve"> Because </w:t>
      </w:r>
      <w:r>
        <w:rPr>
          <w:rStyle w:val="SourceText"/>
          <w:rFonts w:ascii="Times New Roman" w:hAnsi="Times New Roman"/>
          <w:sz w:val="24"/>
          <w:szCs w:val="24"/>
        </w:rPr>
        <w:t>Vehicle_condition</w:t>
      </w:r>
      <w:r>
        <w:rPr>
          <w:rFonts w:ascii="Times New Roman" w:hAnsi="Times New Roman"/>
          <w:sz w:val="24"/>
          <w:szCs w:val="24"/>
        </w:rPr>
        <w:t xml:space="preserve"> positively predicts higher ratings and limits delays, incentivising couriers to regularly service their vehicles (e.g., providing maintenance stipends) could yield substantial returns in aggregate operational speed.</w:t>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Limitations and Future Research:</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The primary limitation of this dataset is the lack of exact delivery completion timestamps, meaning total transit times had to be heuristically inferred. Future investigations should incorporate exact granular timestamps (order placed to order delivered) and qualitative customer feedback to enrich the quantitative models developed in this report.</w:t>
      </w:r>
    </w:p>
    <w:p>
      <w:pPr>
        <w:pStyle w:val="HorizontalLine"/>
        <w:bidi w:val="0"/>
        <w:spacing w:lineRule="auto" w:line="360"/>
        <w:jc w:val="start"/>
        <w:rPr>
          <w:rFonts w:ascii="Times New Roman" w:hAnsi="Times New Roman"/>
          <w:sz w:val="24"/>
          <w:szCs w:val="24"/>
        </w:rPr>
      </w:pPr>
      <w:r>
        <w:rPr>
          <w:rFonts w:ascii="Times New Roman" w:hAnsi="Times New Roman"/>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r>
    </w:p>
    <w:p>
      <w:pPr>
        <w:pStyle w:val="BodyText"/>
        <w:bidi w:val="0"/>
        <w:spacing w:lineRule="auto" w:line="360" w:before="0" w:after="140"/>
        <w:ind w:hanging="0" w:start="0" w:end="0"/>
        <w:jc w:val="start"/>
        <w:rPr>
          <w:rFonts w:ascii="Times New Roman" w:hAnsi="Times New Roman"/>
          <w:b/>
          <w:sz w:val="24"/>
          <w:szCs w:val="24"/>
        </w:rPr>
      </w:pPr>
      <w:r>
        <w:rPr>
          <w:rFonts w:ascii="Times New Roman" w:hAnsi="Times New Roman"/>
          <w:b/>
          <w:sz w:val="24"/>
          <w:szCs w:val="24"/>
        </w:rPr>
        <w:t>References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Field, A. (2018) </w:t>
      </w:r>
      <w:r>
        <w:rPr>
          <w:rFonts w:ascii="Times New Roman" w:hAnsi="Times New Roman"/>
          <w:i/>
          <w:sz w:val="24"/>
          <w:szCs w:val="24"/>
        </w:rPr>
        <w:t>Discovering Statistics Using IBM SPSS Statistics</w:t>
      </w:r>
      <w:r>
        <w:rPr>
          <w:rFonts w:ascii="Times New Roman" w:hAnsi="Times New Roman"/>
          <w:sz w:val="24"/>
          <w:szCs w:val="24"/>
        </w:rPr>
        <w:t>. 5th ed. London: SAGE Publications.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Hair, J.F., Black, W.C., Babin, B.J. and Anderson, R.E. (2019) </w:t>
      </w:r>
      <w:r>
        <w:rPr>
          <w:rFonts w:ascii="Times New Roman" w:hAnsi="Times New Roman"/>
          <w:i/>
          <w:sz w:val="24"/>
          <w:szCs w:val="24"/>
        </w:rPr>
        <w:t>Multivariate Data Analysis</w:t>
      </w:r>
      <w:r>
        <w:rPr>
          <w:rFonts w:ascii="Times New Roman" w:hAnsi="Times New Roman"/>
          <w:sz w:val="24"/>
          <w:szCs w:val="24"/>
        </w:rPr>
        <w:t>. 8th ed. Cengage Learning.</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Little, R.J.A. and Rubin, D.B. (2019) </w:t>
      </w:r>
      <w:r>
        <w:rPr>
          <w:rFonts w:ascii="Times New Roman" w:hAnsi="Times New Roman"/>
          <w:i/>
          <w:sz w:val="24"/>
          <w:szCs w:val="24"/>
        </w:rPr>
        <w:t>Statistical Analysis with Missing Data</w:t>
      </w:r>
      <w:r>
        <w:rPr>
          <w:rFonts w:ascii="Times New Roman" w:hAnsi="Times New Roman"/>
          <w:sz w:val="24"/>
          <w:szCs w:val="24"/>
        </w:rPr>
        <w:t>. 3rd ed. Hoboken: John Wiley &amp; Sons.</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Pallant, J. (2020) </w:t>
      </w:r>
      <w:r>
        <w:rPr>
          <w:rFonts w:ascii="Times New Roman" w:hAnsi="Times New Roman"/>
          <w:i/>
          <w:sz w:val="24"/>
          <w:szCs w:val="24"/>
        </w:rPr>
        <w:t>SPSS Survival Manual: A Step by Step Guide to Data Analysis using IBM SPSS</w:t>
      </w:r>
      <w:r>
        <w:rPr>
          <w:rFonts w:ascii="Times New Roman" w:hAnsi="Times New Roman"/>
          <w:sz w:val="24"/>
          <w:szCs w:val="24"/>
        </w:rPr>
        <w:t>. 7th ed. London: Routledge.</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Pigatto, G., Machado, J.G.C., Negreti, A.S. and Machado, L.M. (2019) 'Have you chosen your request? Analysis of online food delivery companies in Brazil', </w:t>
      </w:r>
      <w:r>
        <w:rPr>
          <w:rFonts w:ascii="Times New Roman" w:hAnsi="Times New Roman"/>
          <w:i/>
          <w:sz w:val="24"/>
          <w:szCs w:val="24"/>
        </w:rPr>
        <w:t>British Food Journal</w:t>
      </w:r>
      <w:r>
        <w:rPr>
          <w:rFonts w:ascii="Times New Roman" w:hAnsi="Times New Roman"/>
          <w:sz w:val="24"/>
          <w:szCs w:val="24"/>
        </w:rPr>
        <w:t>, 119(3), pp. 639-657.</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Weiss, N.A. (2017) </w:t>
      </w:r>
      <w:r>
        <w:rPr>
          <w:rFonts w:ascii="Times New Roman" w:hAnsi="Times New Roman"/>
          <w:i/>
          <w:sz w:val="24"/>
          <w:szCs w:val="24"/>
        </w:rPr>
        <w:t>Introductory Statistics</w:t>
      </w:r>
      <w:r>
        <w:rPr>
          <w:rFonts w:ascii="Times New Roman" w:hAnsi="Times New Roman"/>
          <w:sz w:val="24"/>
          <w:szCs w:val="24"/>
        </w:rPr>
        <w:t>. 10th ed. London: Pearson.</w:t>
      </w:r>
    </w:p>
    <w:p>
      <w:pPr>
        <w:pStyle w:val="BodyText"/>
        <w:bidi w:val="0"/>
        <w:spacing w:lineRule="auto" w:line="360" w:before="0" w:after="140"/>
        <w:ind w:hanging="0" w:start="0" w:end="0"/>
        <w:jc w:val="start"/>
        <w:rPr>
          <w:rFonts w:ascii="Times New Roman" w:hAnsi="Times New Roman"/>
          <w:sz w:val="24"/>
          <w:szCs w:val="24"/>
        </w:rPr>
      </w:pPr>
      <w:r>
        <w:rPr>
          <w:rFonts w:ascii="Times New Roman" w:hAnsi="Times New Roman"/>
          <w:sz w:val="24"/>
          <w:szCs w:val="24"/>
        </w:rPr>
        <w:t xml:space="preserve">Zhao, Y., Bacao, F. and Pinto, R. (2021) 'Predicting food delivery time with machine learning algorithms', </w:t>
      </w:r>
      <w:r>
        <w:rPr>
          <w:rFonts w:ascii="Times New Roman" w:hAnsi="Times New Roman"/>
          <w:i/>
          <w:sz w:val="24"/>
          <w:szCs w:val="24"/>
        </w:rPr>
        <w:t>International Journal of Logistics Research and Applications</w:t>
      </w:r>
      <w:r>
        <w:rPr>
          <w:rFonts w:ascii="Times New Roman" w:hAnsi="Times New Roman"/>
          <w:sz w:val="24"/>
          <w:szCs w:val="24"/>
        </w:rPr>
        <w:t>, 24(5), pp. 493-512.</w:t>
      </w:r>
    </w:p>
    <w:p>
      <w:pPr>
        <w:pStyle w:val="Normal"/>
        <w:bidi w:val="0"/>
        <w:spacing w:lineRule="auto" w:line="360"/>
        <w:ind w:hanging="0" w:start="-540" w:end="0"/>
        <w:jc w:val="start"/>
        <w:rPr>
          <w:rFonts w:ascii="Times New Roman" w:hAnsi="Times New Roman"/>
          <w:sz w:val="24"/>
          <w:szCs w:val="24"/>
        </w:rPr>
      </w:pPr>
      <w:r>
        <w:rPr>
          <w:rFonts w:ascii="Times New Roman" w:hAnsi="Times New Roman"/>
          <w:sz w:val="24"/>
          <w:szCs w:val="24"/>
        </w:rPr>
      </w:r>
    </w:p>
    <w:sectPr>
      <w:type w:val="nextPage"/>
      <w:pgSz w:w="12240" w:h="15840"/>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Liberation Mono">
    <w:altName w:val="Courier New"/>
    <w:charset w:val="00" w:characterSet="windows-1252"/>
    <w:family w:val="modern"/>
    <w:pitch w:val="fixed"/>
  </w:font>
  <w:font w:name="OpenSymbol">
    <w:altName w:val="Arial Unicode MS"/>
    <w:charset w:val="02"/>
    <w:family w:val="auto"/>
    <w:pitch w:val="default"/>
  </w:font>
  <w:font w:name="Liberation Sans">
    <w:altName w:val="Arial"/>
    <w:charset w:val="00" w:characterSet="windows-1252"/>
    <w:family w:val="swiss"/>
    <w:pitch w:val="variable"/>
  </w:font>
  <w:font w:name="Times New Roman">
    <w:charset w:val="01"/>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
    <w:lvl w:ilvl="0">
      <w:start w:val="1"/>
      <w:numFmt w:val="none"/>
      <w:pStyle w:val="Heading1"/>
      <w:suff w:val="nothing"/>
      <w:lvlText w:val="%1"/>
      <w:lvlJc w:val="start"/>
      <w:pPr>
        <w:tabs>
          <w:tab w:val="num" w:pos="0"/>
        </w:tabs>
        <w:ind w:start="0" w:hanging="0"/>
      </w:pPr>
    </w:lvl>
    <w:lvl w:ilvl="1">
      <w:start w:val="1"/>
      <w:numFmt w:val="none"/>
      <w:suff w:val="nothing"/>
      <w:lvlText w:val="%2"/>
      <w:lvlJc w:val="start"/>
      <w:pPr>
        <w:tabs>
          <w:tab w:val="num" w:pos="0"/>
        </w:tabs>
        <w:ind w:start="0" w:hanging="0"/>
      </w:pPr>
    </w:lvl>
    <w:lvl w:ilvl="2">
      <w:start w:val="1"/>
      <w:numFmt w:val="none"/>
      <w:suff w:val="nothing"/>
      <w:lvlText w:val="%3"/>
      <w:lvlJc w:val="start"/>
      <w:pPr>
        <w:tabs>
          <w:tab w:val="num" w:pos="0"/>
        </w:tabs>
        <w:ind w:start="0" w:hanging="0"/>
      </w:pPr>
    </w:lvl>
    <w:lvl w:ilvl="3">
      <w:start w:val="1"/>
      <w:numFmt w:val="none"/>
      <w:suff w:val="nothing"/>
      <w:lvlText w:val="%4"/>
      <w:lvlJc w:val="start"/>
      <w:pPr>
        <w:tabs>
          <w:tab w:val="num" w:pos="0"/>
        </w:tabs>
        <w:ind w:start="0" w:hanging="0"/>
      </w:pPr>
    </w:lvl>
    <w:lvl w:ilvl="4">
      <w:start w:val="1"/>
      <w:numFmt w:val="none"/>
      <w:suff w:val="nothing"/>
      <w:lvlText w:val="%5"/>
      <w:lvlJc w:val="start"/>
      <w:pPr>
        <w:tabs>
          <w:tab w:val="num" w:pos="0"/>
        </w:tabs>
        <w:ind w:start="0" w:hanging="0"/>
      </w:pPr>
    </w:lvl>
    <w:lvl w:ilvl="5">
      <w:start w:val="1"/>
      <w:numFmt w:val="none"/>
      <w:suff w:val="nothing"/>
      <w:lvlText w:val="%6"/>
      <w:lvlJc w:val="start"/>
      <w:pPr>
        <w:tabs>
          <w:tab w:val="num" w:pos="0"/>
        </w:tabs>
        <w:ind w:start="0" w:hanging="0"/>
      </w:pPr>
    </w:lvl>
    <w:lvl w:ilvl="6">
      <w:start w:val="1"/>
      <w:numFmt w:val="none"/>
      <w:suff w:val="nothing"/>
      <w:lvlText w:val="%7"/>
      <w:lvlJc w:val="start"/>
      <w:pPr>
        <w:tabs>
          <w:tab w:val="num" w:pos="0"/>
        </w:tabs>
        <w:ind w:start="0" w:hanging="0"/>
      </w:pPr>
    </w:lvl>
    <w:lvl w:ilvl="7">
      <w:start w:val="1"/>
      <w:numFmt w:val="none"/>
      <w:suff w:val="nothing"/>
      <w:lvlText w:val="%8"/>
      <w:lvlJc w:val="start"/>
      <w:pPr>
        <w:tabs>
          <w:tab w:val="num" w:pos="0"/>
        </w:tabs>
        <w:ind w:start="0" w:hanging="0"/>
      </w:pPr>
    </w:lvl>
    <w:lvl w:ilvl="8">
      <w:start w:val="1"/>
      <w:numFmt w:val="none"/>
      <w:suff w:val="nothing"/>
      <w:lvlText w:val="%9"/>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hyphenationZone w:val="0"/>
  <w:compat>
    <w:adjustLineHeightInTable/>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NSimSun" w:cs="Lucida Sans"/>
      <w:color w:val="auto"/>
      <w:kern w:val="2"/>
      <w:sz w:val="24"/>
      <w:szCs w:val="24"/>
      <w:lang w:val="en-US" w:eastAsia="zh-CN" w:bidi="hi-IN"/>
    </w:rPr>
  </w:style>
  <w:style w:type="paragraph" w:styleId="Heading1">
    <w:name w:val="heading 1"/>
    <w:basedOn w:val="Heading"/>
    <w:next w:val="BodyText"/>
    <w:qFormat/>
    <w:pPr>
      <w:spacing w:before="240" w:after="120"/>
      <w:outlineLvl w:val="0"/>
    </w:pPr>
    <w:rPr>
      <w:rFonts w:ascii="Liberation Serif" w:hAnsi="Liberation Serif" w:eastAsia="NSimSun" w:cs="Lucida Sans"/>
      <w:b/>
      <w:bCs/>
      <w:sz w:val="48"/>
      <w:szCs w:val="48"/>
    </w:rPr>
  </w:style>
  <w:style w:type="character" w:styleId="SourceText">
    <w:name w:val="Source Text"/>
    <w:qFormat/>
    <w:rPr>
      <w:rFonts w:ascii="Liberation Mono" w:hAnsi="Liberation Mono" w:eastAsia="NSimSun" w:cs="Liberation Mono"/>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Comment">
    <w:name w:val="Comment"/>
    <w:basedOn w:val="Normal"/>
    <w:qFormat/>
    <w:pPr>
      <w:spacing w:lineRule="auto" w:line="240" w:before="56" w:after="0"/>
      <w:ind w:hanging="0" w:start="57" w:end="57"/>
    </w:pPr>
    <w:rPr>
      <w:color w:val="auto"/>
      <w:sz w:val="20"/>
      <w:szCs w:val="20"/>
    </w:rPr>
  </w:style>
  <w:style w:type="paragraph" w:styleId="Figure">
    <w:name w:val="Figure"/>
    <w:basedOn w:val="Caption"/>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24</TotalTime>
  <Application>LibreOffice/26.2.2.2$Windows_X86_64 LibreOffice_project/1f77d10d6938fd34972958f64b2bcfa54f8b1ba5</Application>
  <AppVersion>15.0000</AppVersion>
  <Pages>12</Pages>
  <Words>2047</Words>
  <Characters>13258</Characters>
  <CharactersWithSpaces>15184</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2026-04-01T19:53:45Z</dcterms:created>
  <dc:creator/>
  <dc:description/>
  <dc:language>en-US</dc:language>
  <cp:lastModifiedBy/>
  <dcterms:modified xsi:type="dcterms:W3CDTF">2026-04-02T01:43:38Z</dcterms:modified>
  <cp:revision>3</cp:revision>
  <dc:subject/>
  <dc:title/>
</cp:coreProperties>
</file>