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E3DF22" w14:textId="47EB1934" w:rsidR="00EC54E3" w:rsidRDefault="00EC54E3" w:rsidP="00EC54E3">
      <w:r>
        <w:t>Stacey DAVI</w:t>
      </w:r>
      <w:r w:rsidRPr="00B76B49">
        <w:t xml:space="preserve">ES student number </w:t>
      </w:r>
      <w:r w:rsidR="00B76B49" w:rsidRPr="00B76B49">
        <w:t>2236373</w:t>
      </w:r>
    </w:p>
    <w:p w14:paraId="0AE1660D" w14:textId="3E0B630E" w:rsidR="00EC54E3" w:rsidRPr="00B76B49" w:rsidRDefault="00EC54E3" w:rsidP="00EC54E3">
      <w:pPr>
        <w:rPr>
          <w:b/>
          <w:bCs/>
        </w:rPr>
      </w:pPr>
      <w:r w:rsidRPr="00B76B49">
        <w:rPr>
          <w:b/>
          <w:bCs/>
        </w:rPr>
        <w:t>Essay 3</w:t>
      </w:r>
    </w:p>
    <w:p w14:paraId="0414BEFE" w14:textId="77777777" w:rsidR="00EC54E3" w:rsidRDefault="00EC54E3" w:rsidP="00EC54E3">
      <w:r>
        <w:t>Personal attitudes, values, and biases of individuals involved in the investigation process can significantly impact the effective investigation of volume crime. Here are some ways in which this influence may manifest:</w:t>
      </w:r>
    </w:p>
    <w:p w14:paraId="2AEFC794" w14:textId="77777777" w:rsidR="00EC54E3" w:rsidRDefault="00EC54E3" w:rsidP="00EC54E3">
      <w:r>
        <w:t>Stereotyping and Profiling: Stereotyping involves making assumptions about a group based on characteristics such as race or age. Profiling, whether racial or criminal, constructs a person's characteristics or behaviour. Racial profiling relies on stereotypes, while criminal profiling focuses on actual behaviour. Categorizing people by race, ethnicity, or other factors should be avoided in police to prevent biased profiling, (Yueh-Ting and Jeffrey 2007). Personal biases can lead investigators to rely on stereotypes or profiles, potentially resulting in the misidentification of suspects. This can contribute to the continuation of systemic biases and lead to the targeting of certain groups based on preconceived notions.</w:t>
      </w:r>
    </w:p>
    <w:p w14:paraId="4BC8402C" w14:textId="77777777" w:rsidR="00EC54E3" w:rsidRDefault="00EC54E3" w:rsidP="00EC54E3">
      <w:r>
        <w:t>Selective Perception: Selective perception is a cognitive distortion which makes you overlook information around you and shifts your attention to things your mind tells you to (</w:t>
      </w:r>
      <w:proofErr w:type="spellStart"/>
      <w:r>
        <w:t>Bahti</w:t>
      </w:r>
      <w:proofErr w:type="spellEnd"/>
      <w:r>
        <w:t xml:space="preserve"> 2022). Investigators may unconsciously focus on certain aspects of a case that align with their personal beliefs or biases, potentially overlooking crucial evidence or alternative perspectives. This selective perception can hinder the thorough examination of all available information.</w:t>
      </w:r>
    </w:p>
    <w:p w14:paraId="5C52B5CB" w14:textId="77777777" w:rsidR="00EC54E3" w:rsidRDefault="00EC54E3" w:rsidP="00EC54E3">
      <w:r>
        <w:t xml:space="preserve">Communication and Interpersonal Skills: Personal attitudes and values can influence how investigators communicate with victims, witnesses, and suspects. Effective communication is crucial in gaining trust and cooperation, and biases can affect the quality of information obtained during interviews. Building a rapport is key in gaining trust and honestly, and can only be done through effective communication. </w:t>
      </w:r>
    </w:p>
    <w:p w14:paraId="6C151678" w14:textId="77777777" w:rsidR="00EC54E3" w:rsidRDefault="00EC54E3" w:rsidP="00EC54E3">
      <w:r>
        <w:t xml:space="preserve">Decision-Making and Judgment: Personal biases can impact decision-making processes, affecting how investigators prioritise leads, allocate resources, and make critical judgments during the investigation. This can influence the overall direction and success of the investigative process. According to Phillips-Wren &amp; Power (2019), cognitive bias is connected with human decision-making because people learn and develop predictable thinking patterns. This can be positive; however some patterns can lead to suboptimal choices. </w:t>
      </w:r>
    </w:p>
    <w:p w14:paraId="000BDEC0" w14:textId="77777777" w:rsidR="00EC54E3" w:rsidRDefault="00EC54E3" w:rsidP="00EC54E3">
      <w:r>
        <w:t>Community Relations: Investigators play a role in community relations, and their attitudes can impact how the community perceives the police force. If investigators are perceived as biased, it may erode trust within the community, making it more challenging to gather information and collaborate with residents.</w:t>
      </w:r>
    </w:p>
    <w:p w14:paraId="626D279E" w14:textId="77777777" w:rsidR="00EC54E3" w:rsidRDefault="00EC54E3" w:rsidP="00EC54E3">
      <w:r>
        <w:t>Cultural Competence: Lack of cultural competence can hinder investigators' ability to understand and address crimes in diverse communities. Academic research emphasizes the importance of cultural awareness to avoid misinterpretation of behaviours, norms, or practices that may be unfamiliar to investigators.</w:t>
      </w:r>
    </w:p>
    <w:p w14:paraId="1095B743" w14:textId="77777777" w:rsidR="00EC54E3" w:rsidRDefault="00EC54E3" w:rsidP="00EC54E3"/>
    <w:p w14:paraId="5AA444CE" w14:textId="77777777" w:rsidR="00EC54E3" w:rsidRDefault="00EC54E3" w:rsidP="00EC54E3">
      <w:r>
        <w:t>Prejudice and Discrimination: Personal biases can lead to prejudice and discriminatory behaviours, affecting how investigators treat different individuals based on their personal characteristics. This can impact the fairness of the investigation and subsequent legal proceedings.</w:t>
      </w:r>
    </w:p>
    <w:p w14:paraId="6AF066E7" w14:textId="77777777" w:rsidR="00EC54E3" w:rsidRDefault="00EC54E3" w:rsidP="00EC54E3">
      <w:r>
        <w:lastRenderedPageBreak/>
        <w:t>Impact on Victim Interaction: Investigators may unintentionally treat victims differently based on their own biases. This differential treatment can affect the level of support provided to victims and may impact the victim's willingness to cooperate with the investigation.</w:t>
      </w:r>
    </w:p>
    <w:p w14:paraId="23A8A47B" w14:textId="77777777" w:rsidR="00EC54E3" w:rsidRDefault="00EC54E3" w:rsidP="00EC54E3">
      <w:r>
        <w:t xml:space="preserve">There have been many high-profile cases over the years where the police, including South Wales Police, have come under scrutiny for racism and the investigation revealed massive failings in police which subsequently influenced public perceptions of Police across the UK.  </w:t>
      </w:r>
    </w:p>
    <w:p w14:paraId="17BAC034" w14:textId="77777777" w:rsidR="00EC54E3" w:rsidRDefault="00EC54E3" w:rsidP="00EC54E3">
      <w:r>
        <w:t xml:space="preserve">The Stephen Lawrence case is a significant and highly publicized criminal investigation in the United Kingdom. Stephen Lawrence was a Black British teenager who was brutally murdered in a racially motivated attack in Southeast London, in 1993. The case exposed issues of systemic racism within the police force and prompted a re-evaluation of the criminal justice system's treatment of racial crimes. </w:t>
      </w:r>
    </w:p>
    <w:p w14:paraId="726C433C" w14:textId="77777777" w:rsidR="00EC54E3" w:rsidRDefault="00EC54E3" w:rsidP="00EC54E3">
      <w:r>
        <w:t>Stephen Lawrence, 18, was waiting for a bus with his friend Brooks when he was attacked by a group of white youths in an unprovoked racially motivated assault.</w:t>
      </w:r>
    </w:p>
    <w:p w14:paraId="3E5C456A" w14:textId="77777777" w:rsidR="00EC54E3" w:rsidRDefault="00EC54E3" w:rsidP="00EC54E3">
      <w:r>
        <w:t>Stephen suffered fatal stab wounds, and despite efforts to save him, he died later that night.</w:t>
      </w:r>
    </w:p>
    <w:p w14:paraId="74DFCDA5" w14:textId="77777777" w:rsidR="00EC54E3" w:rsidRDefault="00EC54E3" w:rsidP="00EC54E3">
      <w:r>
        <w:t>The initial police investigation was heavily criticized for its handling of the case. There were allegations of institutional racism within the Metropolitan Police, as the force was accused of failing to properly investigate the murder due to the Stephens race.</w:t>
      </w:r>
    </w:p>
    <w:p w14:paraId="48E1207D" w14:textId="77777777" w:rsidR="00EC54E3" w:rsidRDefault="00EC54E3" w:rsidP="00EC54E3">
      <w:r>
        <w:t>The police arrested suspects, but no one was convicted, and the case remained unsolved.</w:t>
      </w:r>
    </w:p>
    <w:p w14:paraId="7FA82476" w14:textId="77777777" w:rsidR="00EC54E3" w:rsidRDefault="00EC54E3" w:rsidP="00EC54E3">
      <w:r>
        <w:t>The lack of progress and concerns about racism within the police led to public outrage and demands for justice. In 1997, the government established the Macpherson Inquiry, led by Sir William Macpherson, to investigate the murder and the police response.</w:t>
      </w:r>
    </w:p>
    <w:p w14:paraId="708BC6E3" w14:textId="77777777" w:rsidR="00EC54E3" w:rsidRDefault="00EC54E3" w:rsidP="00EC54E3">
      <w:r>
        <w:t>The Macpherson Report, published in 1999, concluded that the Metropolitan Police was institutionally racist and made several recommendations for reform within the force (Macpherson 1999).</w:t>
      </w:r>
    </w:p>
    <w:p w14:paraId="3D59F4C4" w14:textId="77777777" w:rsidR="00EC54E3" w:rsidRDefault="00EC54E3" w:rsidP="00EC54E3">
      <w:r>
        <w:t>The report prompted a reinvestigation of the case and in 2012 Gary Dobson and David Norris were found guilty of murder.</w:t>
      </w:r>
    </w:p>
    <w:p w14:paraId="3F0FD83F" w14:textId="77777777" w:rsidR="00EC54E3" w:rsidRDefault="00EC54E3" w:rsidP="00EC54E3">
      <w:r>
        <w:t>The convictions were based on new forensic evidence, including advances in DNA technology, that linked the suspects to the crime scene.</w:t>
      </w:r>
    </w:p>
    <w:p w14:paraId="5DE7C8F1" w14:textId="77777777" w:rsidR="00EC54E3" w:rsidRDefault="00EC54E3" w:rsidP="00EC54E3">
      <w:r>
        <w:t>The Stephen Lawrence case had a profound impact on policing and race relations in the UK. It led to changes in legislation, policing practices, and increased awareness of institutional racism.</w:t>
      </w:r>
    </w:p>
    <w:p w14:paraId="2014C083" w14:textId="77777777" w:rsidR="00EC54E3" w:rsidRDefault="00EC54E3" w:rsidP="00EC54E3">
      <w:r>
        <w:t>The tragic death of Stephen Lawrence and the subsequent investigations and inquiries brought issues of racism, inequality, and the need for police reform to the forefront of public consciousness in the UK. The case continues to be studied and discussed as a pivotal moment in the country's efforts to address systemic issues within its institutions, (Quinn 2019).</w:t>
      </w:r>
    </w:p>
    <w:p w14:paraId="572A17D6" w14:textId="77777777" w:rsidR="00EC54E3" w:rsidRDefault="00EC54E3" w:rsidP="00EC54E3">
      <w:r>
        <w:t xml:space="preserve">The case had a profound and lasting impact on the public's perception of the police in the UK. The case exposed serious shortcomings in the criminal justice system, particularly in how the police handled racially motivated crimes. These include loss of confidence in the police, perception of institutional racism, calls for police accountability and transparency, increased scrutiny of hate crime and legislative changes. </w:t>
      </w:r>
    </w:p>
    <w:p w14:paraId="04E15A11" w14:textId="77777777" w:rsidR="00EC54E3" w:rsidRDefault="00EC54E3" w:rsidP="00EC54E3">
      <w:r>
        <w:lastRenderedPageBreak/>
        <w:t xml:space="preserve">To conclude, it is vital that the police demonstrate positive ethical and inclusive approaches to policing. Police officers, and the force as whole, must deter from being biased and not allow their personal values and attitudes to have a negative impact on investigations. This is not only aimed at race, but with all characteristics of the communities they serve. Each investigation must be transparent and fair, with an open mind and eyes. Every scene, victim, witness and suspect will be different form the last. They bring their own complexities and opportunity to explore fairly to provide equal protection and justice for all. </w:t>
      </w:r>
    </w:p>
    <w:p w14:paraId="5448F22D" w14:textId="77777777" w:rsidR="00EC54E3" w:rsidRDefault="00EC54E3" w:rsidP="00EC54E3">
      <w:r>
        <w:t xml:space="preserve">1037 </w:t>
      </w:r>
    </w:p>
    <w:p w14:paraId="0D7F8470" w14:textId="70C9DD40" w:rsidR="00EC54E3" w:rsidRDefault="00EC54E3" w:rsidP="00EC54E3">
      <w:r>
        <w:t xml:space="preserve">Bhati, K. (2022). Selective Perception: Definition, Types &amp; Examples. [online] Calm Sage - Your Guide to Mental and Emotional Well-being. Available at: </w:t>
      </w:r>
      <w:hyperlink r:id="rId4" w:history="1">
        <w:r w:rsidR="00B76B49" w:rsidRPr="007E5CD0">
          <w:rPr>
            <w:rStyle w:val="Hyperlink"/>
          </w:rPr>
          <w:t>https://www.calmsage.com/what-is-selective-perception/</w:t>
        </w:r>
      </w:hyperlink>
      <w:r>
        <w:t>.</w:t>
      </w:r>
      <w:r w:rsidR="00B76B49">
        <w:t xml:space="preserve"> </w:t>
      </w:r>
      <w:r>
        <w:t xml:space="preserve"> </w:t>
      </w:r>
    </w:p>
    <w:p w14:paraId="7008793A" w14:textId="32FC4527" w:rsidR="00EC54E3" w:rsidRDefault="00EC54E3" w:rsidP="00EC54E3">
      <w:r>
        <w:t xml:space="preserve">Macpherson, Sir .William. (1999). The Stephen Lawrence Inquiry. [online] GOV.UK. London: Home Officer. Available at: </w:t>
      </w:r>
      <w:hyperlink r:id="rId5" w:history="1">
        <w:r w:rsidR="00B76B49" w:rsidRPr="007E5CD0">
          <w:rPr>
            <w:rStyle w:val="Hyperlink"/>
          </w:rPr>
          <w:t>https://assets.publishing.service.gov.uk/media/5a7c2af540f0b645ba3c7202/4262.pdf</w:t>
        </w:r>
      </w:hyperlink>
      <w:r w:rsidR="00B76B49">
        <w:t xml:space="preserve"> </w:t>
      </w:r>
      <w:r>
        <w:t xml:space="preserve"> </w:t>
      </w:r>
    </w:p>
    <w:p w14:paraId="101F9D49" w14:textId="5BAEA439" w:rsidR="00EC54E3" w:rsidRDefault="00EC54E3" w:rsidP="00EC54E3">
      <w:r>
        <w:t xml:space="preserve">Phillips-Wren, G., Power, D.J. and Mora, M. (2019). Cognitive bias, decision styles, and risk attitudes in decision making and DSS. Journal of Decision Systems, 28(2).  </w:t>
      </w:r>
      <w:proofErr w:type="spellStart"/>
      <w:r>
        <w:t>doi:https</w:t>
      </w:r>
      <w:proofErr w:type="spellEnd"/>
      <w:r>
        <w:t>://doi.org/10.1080/12460125.2019.1646509</w:t>
      </w:r>
      <w:r w:rsidR="00B76B49">
        <w:t xml:space="preserve">  </w:t>
      </w:r>
      <w:r>
        <w:t xml:space="preserve"> </w:t>
      </w:r>
    </w:p>
    <w:p w14:paraId="27E1ACB3" w14:textId="2B901DED" w:rsidR="00EC54E3" w:rsidRDefault="00EC54E3" w:rsidP="00EC54E3">
      <w:r>
        <w:t xml:space="preserve">Quinn, B. (2019). Macpherson Report: What Was It and What Impact Did It Have? [online] The Guardian. Available at: </w:t>
      </w:r>
      <w:hyperlink r:id="rId6" w:history="1">
        <w:r w:rsidR="00B76B49" w:rsidRPr="007E5CD0">
          <w:rPr>
            <w:rStyle w:val="Hyperlink"/>
          </w:rPr>
          <w:t>https://www.theguardian.com/uk-news/2019/feb/22/macpherson-report-what-was-it-and-what-impact-did-it-have</w:t>
        </w:r>
      </w:hyperlink>
      <w:r>
        <w:t>.</w:t>
      </w:r>
      <w:r w:rsidR="00B76B49">
        <w:t xml:space="preserve"> </w:t>
      </w:r>
      <w:r>
        <w:t xml:space="preserve"> </w:t>
      </w:r>
    </w:p>
    <w:p w14:paraId="17AB04D4" w14:textId="6C71DE9B" w:rsidR="00EC54E3" w:rsidRDefault="00EC54E3" w:rsidP="00EC54E3">
      <w:r>
        <w:rPr>
          <w:rFonts w:hint="cs"/>
        </w:rPr>
        <w:t>‌</w:t>
      </w:r>
      <w:r>
        <w:t xml:space="preserve"> Yueh-Ting Lee, Jeffrey Bumgarner, Roobert Widner, Zhen-Lei Luo (2007). Psychological Models of Stereotyping and Profiling in Law Enforcement: How to Increase Accuracy by Using More Non-Racial Cues. Journal of Crime and Justice, Volume 30 (1)</w:t>
      </w:r>
      <w:r w:rsidR="00B76B49">
        <w:t xml:space="preserve">  </w:t>
      </w:r>
    </w:p>
    <w:p w14:paraId="16E4FC87" w14:textId="77777777" w:rsidR="00EC54E3" w:rsidRDefault="00EC54E3" w:rsidP="00EC54E3"/>
    <w:p w14:paraId="69B893C4" w14:textId="77777777" w:rsidR="00EC54E3" w:rsidRDefault="00EC54E3" w:rsidP="00EC54E3"/>
    <w:p w14:paraId="6909C667" w14:textId="77777777" w:rsidR="00EC54E3" w:rsidRDefault="00EC54E3" w:rsidP="00EC54E3"/>
    <w:p w14:paraId="370D5574" w14:textId="77777777" w:rsidR="00EC54E3" w:rsidRDefault="00EC54E3" w:rsidP="00EC54E3"/>
    <w:p w14:paraId="15941C88" w14:textId="77777777" w:rsidR="00EC54E3" w:rsidRDefault="00EC54E3" w:rsidP="00EC54E3"/>
    <w:p w14:paraId="6E175BA1" w14:textId="77777777" w:rsidR="00EC54E3" w:rsidRDefault="00EC54E3" w:rsidP="00EC54E3"/>
    <w:p w14:paraId="1123219B" w14:textId="77777777" w:rsidR="00EC54E3" w:rsidRDefault="00EC54E3" w:rsidP="00EC54E3"/>
    <w:p w14:paraId="0BCD035D" w14:textId="77777777" w:rsidR="00EC54E3" w:rsidRDefault="00EC54E3" w:rsidP="00EC54E3"/>
    <w:p w14:paraId="5306C846" w14:textId="77777777" w:rsidR="00EC54E3" w:rsidRDefault="00EC54E3" w:rsidP="00EC54E3"/>
    <w:p w14:paraId="463DF5D4" w14:textId="77777777" w:rsidR="00EC54E3" w:rsidRDefault="00EC54E3" w:rsidP="00EC54E3"/>
    <w:p w14:paraId="520C9C08" w14:textId="77777777" w:rsidR="00EC54E3" w:rsidRDefault="00EC54E3" w:rsidP="00EC54E3"/>
    <w:p w14:paraId="48CACCD3" w14:textId="77777777" w:rsidR="00EC54E3" w:rsidRDefault="00EC54E3" w:rsidP="00EC54E3"/>
    <w:p w14:paraId="2720A667" w14:textId="77777777" w:rsidR="00EC54E3" w:rsidRDefault="00EC54E3" w:rsidP="00EC54E3"/>
    <w:p w14:paraId="2A9C788A" w14:textId="77777777" w:rsidR="00EC54E3" w:rsidRDefault="00EC54E3" w:rsidP="00EC54E3"/>
    <w:p w14:paraId="4FC905AC" w14:textId="77777777" w:rsidR="00EC54E3" w:rsidRPr="00B76B49" w:rsidRDefault="00EC54E3" w:rsidP="00EC54E3">
      <w:pPr>
        <w:rPr>
          <w:b/>
          <w:bCs/>
        </w:rPr>
      </w:pPr>
      <w:r w:rsidRPr="00B76B49">
        <w:rPr>
          <w:b/>
          <w:bCs/>
        </w:rPr>
        <w:lastRenderedPageBreak/>
        <w:t>Essay 2</w:t>
      </w:r>
    </w:p>
    <w:p w14:paraId="6DEB7285" w14:textId="77777777" w:rsidR="00EC54E3" w:rsidRDefault="00EC54E3" w:rsidP="00EC54E3">
      <w:r>
        <w:t>Partnership working is often considered an effective approach to engage with groups or communities that may be initially unwilling to engage with the police. According to the College of policing (2023) statutory partnerships are at the core of joint working. Statutory organisations share the same legal duties under the Equality Act 2010, which states that a public authority must, in the exercise of its functions, have due regard to the need to the following:</w:t>
      </w:r>
    </w:p>
    <w:p w14:paraId="7C954CC0" w14:textId="77777777" w:rsidR="00EC54E3" w:rsidRDefault="00EC54E3" w:rsidP="00EC54E3">
      <w:r>
        <w:rPr>
          <w:rFonts w:hint="eastAsia"/>
        </w:rPr>
        <w:t>•</w:t>
      </w:r>
      <w:r>
        <w:tab/>
        <w:t>Eliminate discrimination, victimisation and harassment and any other behaviour that is forbidden by or under the act.</w:t>
      </w:r>
    </w:p>
    <w:p w14:paraId="06AE6C72" w14:textId="77777777" w:rsidR="00EC54E3" w:rsidRDefault="00EC54E3" w:rsidP="00EC54E3">
      <w:r>
        <w:rPr>
          <w:rFonts w:hint="eastAsia"/>
        </w:rPr>
        <w:t>•</w:t>
      </w:r>
      <w:r>
        <w:tab/>
        <w:t xml:space="preserve">Adopt good relations between individuals who share a relevant protected characteristic and persons who do not share that characteristic. </w:t>
      </w:r>
    </w:p>
    <w:p w14:paraId="6C830D48" w14:textId="77777777" w:rsidR="00EC54E3" w:rsidRDefault="00EC54E3" w:rsidP="00EC54E3">
      <w:r>
        <w:rPr>
          <w:rFonts w:hint="eastAsia"/>
        </w:rPr>
        <w:t>•</w:t>
      </w:r>
      <w:r>
        <w:tab/>
        <w:t>Advance equality of opportunity between persons who share a relevant protected characteristic and persons who do not share it</w:t>
      </w:r>
    </w:p>
    <w:p w14:paraId="7AA16203" w14:textId="77777777" w:rsidR="00EC54E3" w:rsidRDefault="00EC54E3" w:rsidP="00EC54E3">
      <w:r>
        <w:t>The police should actively establish partnerships with all communities. The key to success lies in engaging a diverse array of partners, encompassing groups and individuals whom other agencies might struggle to connect with.</w:t>
      </w:r>
    </w:p>
    <w:p w14:paraId="1C3A0BCC" w14:textId="77777777" w:rsidR="00EC54E3" w:rsidRDefault="00EC54E3" w:rsidP="00EC54E3">
      <w:r>
        <w:t>This approach aims to achieve the following:</w:t>
      </w:r>
    </w:p>
    <w:p w14:paraId="79E34A93" w14:textId="77777777" w:rsidR="00EC54E3" w:rsidRDefault="00EC54E3" w:rsidP="00EC54E3">
      <w:r>
        <w:t>Sustainable Relationships: Foster enduring relationships between the police and minority communities, enabling collaborative efforts to address local issues related to hate crimes.</w:t>
      </w:r>
    </w:p>
    <w:p w14:paraId="1FB0F5D2" w14:textId="77777777" w:rsidR="00EC54E3" w:rsidRDefault="00EC54E3" w:rsidP="00EC54E3">
      <w:r>
        <w:t>Facilitation of Ongoing Dialogue: Maintain continuous dialogue to enhance community confidence and facilitate the exchange of community intelligence, promoting a more informed and cooperative relationship.</w:t>
      </w:r>
    </w:p>
    <w:p w14:paraId="62D33C0C" w14:textId="77777777" w:rsidR="00EC54E3" w:rsidRDefault="00EC54E3" w:rsidP="00EC54E3">
      <w:r>
        <w:t>Openness and Transparency: Encourage openness and transparency, granting the police a deeper understanding of the impact of hate crimes on the community. Simultaneously, it helps the community comprehend the operational constraints and legal requirements under which the police operate.</w:t>
      </w:r>
    </w:p>
    <w:p w14:paraId="5CB3927E" w14:textId="77777777" w:rsidR="00EC54E3" w:rsidRDefault="00EC54E3" w:rsidP="00EC54E3">
      <w:r>
        <w:t>Joint Ownership: Encourage joint ownership of problems and solutions, allowing partners to collaboratively address hate crime initiatives. This shared responsibility fosters further collaborative efforts in the ongoing pursuit of effective solutions.</w:t>
      </w:r>
    </w:p>
    <w:p w14:paraId="7007C875" w14:textId="77777777" w:rsidR="00EC54E3" w:rsidRDefault="00EC54E3" w:rsidP="00EC54E3">
      <w:r>
        <w:t xml:space="preserve">There are many reasons why partnership working is key in engaging with disengaged communities. </w:t>
      </w:r>
    </w:p>
    <w:p w14:paraId="75A224CA" w14:textId="77777777" w:rsidR="00EC54E3" w:rsidRDefault="00EC54E3" w:rsidP="00EC54E3">
      <w:r>
        <w:t xml:space="preserve">Trust Building: Partnership approaches recognise that no single agency can handle complex community safety and crime problems alone. Described as a cooperative relationship between multiple organisations, partnerships aim to achieve common goals. In England and Wales, these approaches are integral to how local areas address community safety (Berry et al, </w:t>
      </w:r>
      <w:proofErr w:type="spellStart"/>
      <w:r>
        <w:t>n.d</w:t>
      </w:r>
      <w:proofErr w:type="spellEnd"/>
      <w:r>
        <w:t xml:space="preserve">). Establishing partnerships with community organisations, leaders, or representatives helps build trust. Communities may be more receptive to information and assistance when it comes from familiar and trusted sources, such as local mosque leaders or youth workers in local community centres. </w:t>
      </w:r>
    </w:p>
    <w:p w14:paraId="686A55FD" w14:textId="77777777" w:rsidR="00EC54E3" w:rsidRDefault="00EC54E3" w:rsidP="00EC54E3">
      <w:r>
        <w:t xml:space="preserve">Cultural Competence: Cultural competence involves understanding, communicating, and interacting effectively with people from diverse backgrounds. It requires awareness and respect </w:t>
      </w:r>
      <w:r>
        <w:lastRenderedPageBreak/>
        <w:t>for different cultures, beliefs, and practices, contributing to the creation of an inclusive and respectful community (Man 2021). Partnering with organisations or individuals who understand the cultural nuances and sensitivities of a community can lead to more effective communication. This helps to avoid misunderstandings and fosters a more inclusive and culturally competent approach.</w:t>
      </w:r>
    </w:p>
    <w:p w14:paraId="5271A772" w14:textId="77777777" w:rsidR="00EC54E3" w:rsidRDefault="00EC54E3" w:rsidP="00EC54E3">
      <w:r>
        <w:t xml:space="preserve">Access to Resources: Collaborating with community organisations provides access to resources and services that the police may not have on their own. This enhances the ability to address underlying issues within the community, such as social services, mental health support, or educational programs. This could also allow for a quicker response for the communities in need, again breaking down barriers and building trust with disengaged individuals. </w:t>
      </w:r>
    </w:p>
    <w:p w14:paraId="6D31A6C4" w14:textId="77777777" w:rsidR="00EC54E3" w:rsidRDefault="00EC54E3" w:rsidP="00EC54E3">
      <w:r>
        <w:t xml:space="preserve">Mutual Understanding: Partnership working allows police officers to gain a better understanding of the community's needs, concerns, and perspectives. This understanding enables police to tailor their approaches and interventions more effectively. By actively seeking this understanding of their needs, will break down barriers and regain trust and confidence. </w:t>
      </w:r>
    </w:p>
    <w:p w14:paraId="24D78BB1" w14:textId="77777777" w:rsidR="00EC54E3" w:rsidRDefault="00EC54E3" w:rsidP="00EC54E3">
      <w:r>
        <w:t xml:space="preserve">Reducing Stigma: Engaging with the community through partnerships can help reduce the stigma associated with police. When community members see the police working collaboratively with organisations that focus on their well-being, it may improve perceptions and decrease reluctance to engage with police. If these disengaged individuals see groups in which they respect, and they see they are working with police, then this can allow for a way for slow and positive results, in reducing stigma and allowing police in and to ultimately help. </w:t>
      </w:r>
    </w:p>
    <w:p w14:paraId="7C16BAB9" w14:textId="77777777" w:rsidR="00EC54E3" w:rsidRDefault="00EC54E3" w:rsidP="00EC54E3">
      <w:r>
        <w:t>Community Empowerment: Empowerment focuses on understanding power dynamics and employing intervention strategies to challenge social injustice through political and social avenues. Its objective is to empower individuals to have control over the actions and decisions that shape their lives, (Public Health Wales) Involving the community in problem-solving and decision-making processes empowers individuals to take an active role in shaping their environment. This empowerment can lead to a sense of ownership and investment in community safety. (Principles of Community Engagement for Empowerment, n.d.)</w:t>
      </w:r>
    </w:p>
    <w:p w14:paraId="0F06389B" w14:textId="77777777" w:rsidR="00EC54E3" w:rsidRDefault="00EC54E3" w:rsidP="00EC54E3">
      <w:r>
        <w:t>Conflict Resolution: Partnership working can facilitate better conflict resolution mechanisms. In cases where there may be tension or mistrust between the police and certain groups, third-party organisations can mediate and facilitate dialogue, promoting resolution and understanding.</w:t>
      </w:r>
    </w:p>
    <w:p w14:paraId="7CB64D46" w14:textId="77777777" w:rsidR="00EC54E3" w:rsidRDefault="00EC54E3" w:rsidP="00EC54E3">
      <w:r>
        <w:t>Effective Communication Channels: Community organisations often serve as effective communication channels between the police and the community. They can relay information, address concerns, and provide feedback in a way that is more accessible and acceptable to the community.</w:t>
      </w:r>
    </w:p>
    <w:p w14:paraId="78BF74C1" w14:textId="77777777" w:rsidR="00EC54E3" w:rsidRDefault="00EC54E3" w:rsidP="00EC54E3">
      <w:r>
        <w:t>Long-Term Relationship Building: Building partnerships is a long-term strategy. It allows for sustained engagement and relationship-building, fostering an environment where community members may become more willing to collaborate with the police over time.</w:t>
      </w:r>
    </w:p>
    <w:p w14:paraId="63EF19E8" w14:textId="77777777" w:rsidR="00EC54E3" w:rsidRDefault="00EC54E3" w:rsidP="00EC54E3">
      <w:r>
        <w:t xml:space="preserve">Problem-Oriented Policing: Problem-Oriented Policing (POP) is an approach within law enforcement that involves identifying and analysing specific issues or problems in a community and developing tailored strategies to address them. Rather than solely responding to incidents, POP emphasizes understanding the underlying causes of recurring problems and implementing </w:t>
      </w:r>
      <w:r>
        <w:lastRenderedPageBreak/>
        <w:t>targeted solutions. This approach encourages collaboration between police officers, community members, and other stakeholders to find effective and sustainable solutions to public safety issues, (College of policing 2003). Partnership working aligns with problem-oriented policing approaches, where the focus is on identifying and addressing underlying issues contributing to crime. This collaborative approach enables a more holistic and community-centred response.</w:t>
      </w:r>
    </w:p>
    <w:p w14:paraId="66C1B49E" w14:textId="77777777" w:rsidR="00EC54E3" w:rsidRDefault="00EC54E3" w:rsidP="00EC54E3">
      <w:r>
        <w:t>According to College of Policing (2021) Chief officers, in collaboration with police and crime commissioners, must prioritise and sustain neighbourhood policing through effective community engagement. Key elements include officers, staff, and volunteers maintaining a visible presence, establishing a transparent purpose for engagement, fostering regular contact with communities, collaborating with partners, and sharing information on local crime. Engagement should be tailored to diverse community needs, aiming to identify local priorities and support community-led policing efforts. This approach aligns with Section 34 of the Police Reform and Social Responsibility Act 2011, emphasising legal requirements for consultation, local crime information dissemination, and regular public meetings.</w:t>
      </w:r>
    </w:p>
    <w:p w14:paraId="303AFB59" w14:textId="77777777" w:rsidR="00EC54E3" w:rsidRDefault="00EC54E3" w:rsidP="00EC54E3">
      <w:r>
        <w:t>In summary, partnership working offers a collaborative, inclusive, and community-driven approach that can help overcome initial reluctance and establish positive relationships between the police and communities. It emphasises a shared responsibility for public safety and focuses on addressing the root causes of issues within communities.</w:t>
      </w:r>
    </w:p>
    <w:p w14:paraId="61C95906" w14:textId="77777777" w:rsidR="00EC54E3" w:rsidRDefault="00EC54E3" w:rsidP="00EC54E3">
      <w:r>
        <w:t xml:space="preserve">1104 words </w:t>
      </w:r>
    </w:p>
    <w:p w14:paraId="04693744" w14:textId="42EC71EB" w:rsidR="00EC54E3" w:rsidRDefault="00EC54E3" w:rsidP="00EC54E3">
      <w:r>
        <w:t xml:space="preserve">Berry, G., Briggs, P., Erol, R. and Van Staden, L. (n.d.). The effectiveness of partnership working in a crime and disorder context A rapid evidence assessment. [online] Available at: </w:t>
      </w:r>
      <w:hyperlink r:id="rId7" w:history="1">
        <w:r w:rsidR="00B76B49" w:rsidRPr="007E5CD0">
          <w:rPr>
            <w:rStyle w:val="Hyperlink"/>
          </w:rPr>
          <w:t>https://assets.publishing.service.gov.uk/media/5a7a2d65e5274a34770e4cb7/horr52-summary.pdf</w:t>
        </w:r>
      </w:hyperlink>
      <w:r>
        <w:t>.</w:t>
      </w:r>
      <w:r w:rsidR="00B76B49">
        <w:t xml:space="preserve"> </w:t>
      </w:r>
      <w:r>
        <w:t xml:space="preserve"> </w:t>
      </w:r>
    </w:p>
    <w:p w14:paraId="5379D763" w14:textId="77777777" w:rsidR="00EC54E3" w:rsidRDefault="00EC54E3" w:rsidP="00EC54E3">
      <w:r>
        <w:t xml:space="preserve">College of Policing. (2003). Problem-oriented policing (POP) guidelines. [online] Available at: https://www.college.police.uk/article/problem-oriented-policing-pop-guidelines </w:t>
      </w:r>
    </w:p>
    <w:p w14:paraId="0448C6D6" w14:textId="487C9ACB" w:rsidR="00EC54E3" w:rsidRDefault="00EC54E3" w:rsidP="00EC54E3">
      <w:r>
        <w:t xml:space="preserve">College of Policing (2020). Partnership working. [online] College of Policing. Available at: </w:t>
      </w:r>
      <w:hyperlink r:id="rId8" w:history="1">
        <w:r w:rsidR="00B76B49" w:rsidRPr="007E5CD0">
          <w:rPr>
            <w:rStyle w:val="Hyperlink"/>
          </w:rPr>
          <w:t>https://www.college.police.uk/app/major-investigation-and-public-protection/hate-crime/partnership-working</w:t>
        </w:r>
      </w:hyperlink>
      <w:r w:rsidR="00B76B49">
        <w:t xml:space="preserve"> </w:t>
      </w:r>
      <w:r>
        <w:t xml:space="preserve"> </w:t>
      </w:r>
    </w:p>
    <w:p w14:paraId="7700B95C" w14:textId="4FAF971D" w:rsidR="00EC54E3" w:rsidRDefault="00EC54E3" w:rsidP="00EC54E3">
      <w:r>
        <w:t xml:space="preserve">College of Policing (2021). Engaging communities. [online] College of Policing. Available at: </w:t>
      </w:r>
      <w:hyperlink r:id="rId9" w:history="1">
        <w:r w:rsidR="00B76B49" w:rsidRPr="007E5CD0">
          <w:rPr>
            <w:rStyle w:val="Hyperlink"/>
          </w:rPr>
          <w:t>https://www.college.police.uk/guidance/neighbourhood-policing/engaging-communities</w:t>
        </w:r>
      </w:hyperlink>
      <w:r w:rsidR="00B76B49">
        <w:t xml:space="preserve"> </w:t>
      </w:r>
      <w:r>
        <w:t xml:space="preserve"> </w:t>
      </w:r>
    </w:p>
    <w:p w14:paraId="71D3F268" w14:textId="70CD98C4" w:rsidR="00EC54E3" w:rsidRDefault="00EC54E3" w:rsidP="00EC54E3">
      <w:r>
        <w:t xml:space="preserve">Man, J. (2021). Cultural Competence: The Ultimate Guide to Cultural Proficiency (2021) | Diversity for Social Impact. [online] Diversity for Social Impact. Available at: </w:t>
      </w:r>
      <w:hyperlink r:id="rId10" w:history="1">
        <w:r w:rsidR="00B76B49" w:rsidRPr="007E5CD0">
          <w:rPr>
            <w:rStyle w:val="Hyperlink"/>
          </w:rPr>
          <w:t>https://diversity.social/cultural-competence/</w:t>
        </w:r>
      </w:hyperlink>
      <w:r>
        <w:t>.</w:t>
      </w:r>
      <w:r w:rsidR="00B76B49">
        <w:t xml:space="preserve"> </w:t>
      </w:r>
    </w:p>
    <w:p w14:paraId="6B0786E0" w14:textId="36C80F0D" w:rsidR="00EC54E3" w:rsidRDefault="00EC54E3" w:rsidP="00EC54E3">
      <w:r>
        <w:t xml:space="preserve">Public Health Wales. Principles of Community Engagement for Empowerment. (n.d.). Available at: </w:t>
      </w:r>
      <w:hyperlink r:id="rId11" w:history="1">
        <w:r w:rsidR="00B76B49" w:rsidRPr="007E5CD0">
          <w:rPr>
            <w:rStyle w:val="Hyperlink"/>
          </w:rPr>
          <w:t>https://phw.nhs.wales/news/rules-of-community-engagement-relinquish-your-power-so-that-communities-can-take-control/principles-of-community-engagement-for-empowerment/</w:t>
        </w:r>
      </w:hyperlink>
      <w:r w:rsidR="00B76B49">
        <w:t xml:space="preserve"> </w:t>
      </w:r>
      <w:r>
        <w:t xml:space="preserve"> </w:t>
      </w:r>
    </w:p>
    <w:p w14:paraId="1ACE2C66" w14:textId="77777777" w:rsidR="00EC54E3" w:rsidRDefault="00EC54E3" w:rsidP="00EC54E3"/>
    <w:p w14:paraId="728A039E" w14:textId="77777777" w:rsidR="00EC54E3" w:rsidRDefault="00EC54E3" w:rsidP="00EC54E3">
      <w:r>
        <w:rPr>
          <w:rFonts w:hint="cs"/>
        </w:rPr>
        <w:t>‌</w:t>
      </w:r>
    </w:p>
    <w:p w14:paraId="4A7D952D" w14:textId="77777777" w:rsidR="00EC54E3" w:rsidRDefault="00EC54E3" w:rsidP="00EC54E3"/>
    <w:p w14:paraId="3339DF07" w14:textId="77777777" w:rsidR="00B76B49" w:rsidRDefault="00B76B49" w:rsidP="00EC54E3"/>
    <w:p w14:paraId="4ED0ACAC" w14:textId="77777777" w:rsidR="00EC54E3" w:rsidRPr="00B76B49" w:rsidRDefault="00EC54E3" w:rsidP="00EC54E3">
      <w:pPr>
        <w:rPr>
          <w:b/>
          <w:bCs/>
        </w:rPr>
      </w:pPr>
      <w:r w:rsidRPr="00B76B49">
        <w:rPr>
          <w:b/>
          <w:bCs/>
        </w:rPr>
        <w:lastRenderedPageBreak/>
        <w:t xml:space="preserve">Essay four </w:t>
      </w:r>
    </w:p>
    <w:p w14:paraId="367D2DB5" w14:textId="77777777" w:rsidR="00EC54E3" w:rsidRDefault="00EC54E3" w:rsidP="00EC54E3">
      <w:r>
        <w:t xml:space="preserve">Serious and organised crime (SOC) refers to planned, coordinated criminal activities carried out by individuals operating independently, in groups, or as part of transnational networks. This criminal behaviour typically revolves around obtaining money, profit, influence, power, and, in certain cases, sexual gratification, (Winchester, 2020). The methods employed to achieve these objectives vary widely, such as violence, corruption, control and intimidation. Examples of some the most serious and organised crimes are: </w:t>
      </w:r>
    </w:p>
    <w:p w14:paraId="7B4F4FD1" w14:textId="77777777" w:rsidR="00EC54E3" w:rsidRDefault="00EC54E3" w:rsidP="00EC54E3">
      <w:r>
        <w:rPr>
          <w:rFonts w:hint="eastAsia"/>
        </w:rPr>
        <w:t>•</w:t>
      </w:r>
      <w:r>
        <w:tab/>
        <w:t>Drug trafficking.</w:t>
      </w:r>
    </w:p>
    <w:p w14:paraId="2CB607AD" w14:textId="77777777" w:rsidR="00EC54E3" w:rsidRDefault="00EC54E3" w:rsidP="00EC54E3">
      <w:r>
        <w:rPr>
          <w:rFonts w:hint="eastAsia"/>
        </w:rPr>
        <w:t>•</w:t>
      </w:r>
      <w:r>
        <w:tab/>
        <w:t>Modern slavery and human trafficking.</w:t>
      </w:r>
    </w:p>
    <w:p w14:paraId="5E515056" w14:textId="77777777" w:rsidR="00EC54E3" w:rsidRDefault="00EC54E3" w:rsidP="00EC54E3">
      <w:r>
        <w:rPr>
          <w:rFonts w:hint="eastAsia"/>
        </w:rPr>
        <w:t>•</w:t>
      </w:r>
      <w:r>
        <w:tab/>
        <w:t>Organised immigration crime.</w:t>
      </w:r>
    </w:p>
    <w:p w14:paraId="7083E0EF" w14:textId="77777777" w:rsidR="00EC54E3" w:rsidRDefault="00EC54E3" w:rsidP="00EC54E3">
      <w:r>
        <w:rPr>
          <w:rFonts w:hint="eastAsia"/>
        </w:rPr>
        <w:t>•</w:t>
      </w:r>
      <w:r>
        <w:tab/>
        <w:t>Kidnapping and extortion.</w:t>
      </w:r>
    </w:p>
    <w:p w14:paraId="0E592E08" w14:textId="77777777" w:rsidR="00EC54E3" w:rsidRDefault="00EC54E3" w:rsidP="00EC54E3">
      <w:r>
        <w:rPr>
          <w:rFonts w:hint="eastAsia"/>
        </w:rPr>
        <w:t>•</w:t>
      </w:r>
      <w:r>
        <w:tab/>
        <w:t>Child sexual abuse and exploitation.</w:t>
      </w:r>
    </w:p>
    <w:p w14:paraId="0E47B077" w14:textId="77777777" w:rsidR="00EC54E3" w:rsidRDefault="00EC54E3" w:rsidP="00EC54E3">
      <w:r>
        <w:t xml:space="preserve">These offenses are frequently perpetrated by organised crime groups (OCGs). The UK Government published a serious and organised crime strategy in 2013 and revised this in 2018. The strategy highlighted a 4 P framework, Prevent, Pursue, Protect and Prepare. Protect focuses on protecting individuals, communities and organisations against SOC with the objective to build the highest levels of defence and resilience in vulnerable people, communities, businesses and systems (Winchester, 2020) This highlights that there is clear evidence that some characteristics are at greater risk of being a victim of or involved with SOC. </w:t>
      </w:r>
    </w:p>
    <w:p w14:paraId="6F498A9D" w14:textId="77777777" w:rsidR="00EC54E3" w:rsidRDefault="00EC54E3" w:rsidP="00EC54E3">
      <w:r>
        <w:t xml:space="preserve">The National Crime Agency has released the National Strategic Assessment of Serious and Organised Crime 2020, presenting a comprehensive overview of the threat posed to the UK by serious and organised crime. This assessment reveals that we are facing a swiftly evolving threat, growing in complexity as criminals leverage the rapid expansion of technology for engaging in unlawful activities, (National Crime Agency, 2020). </w:t>
      </w:r>
    </w:p>
    <w:p w14:paraId="73578A84" w14:textId="77777777" w:rsidR="00EC54E3" w:rsidRDefault="00EC54E3" w:rsidP="00EC54E3">
      <w:r>
        <w:t xml:space="preserve">Their primary focus remains on addressing high-harm, high-impact offenders who exploit vulnerabilities through modern slavery, human trafficking, people smuggling, and child sexual abuse. </w:t>
      </w:r>
    </w:p>
    <w:p w14:paraId="0069CFEF" w14:textId="77777777" w:rsidR="00EC54E3" w:rsidRDefault="00EC54E3" w:rsidP="00EC54E3">
      <w:r>
        <w:t>According to the NCA, 2020, vulnerable people are at risk of threat through 4 main areas:</w:t>
      </w:r>
    </w:p>
    <w:p w14:paraId="765ABF8A" w14:textId="77777777" w:rsidR="00EC54E3" w:rsidRDefault="00EC54E3" w:rsidP="00EC54E3">
      <w:r>
        <w:rPr>
          <w:rFonts w:hint="eastAsia"/>
        </w:rPr>
        <w:t>•</w:t>
      </w:r>
      <w:r>
        <w:tab/>
        <w:t>Child Sexual Abuse</w:t>
      </w:r>
    </w:p>
    <w:p w14:paraId="1273086C" w14:textId="77777777" w:rsidR="00EC54E3" w:rsidRDefault="00EC54E3" w:rsidP="00EC54E3">
      <w:r>
        <w:rPr>
          <w:rFonts w:hint="eastAsia"/>
        </w:rPr>
        <w:t>•</w:t>
      </w:r>
      <w:r>
        <w:tab/>
        <w:t>Modern Slavery and Human Trafficking</w:t>
      </w:r>
    </w:p>
    <w:p w14:paraId="6216DFB0" w14:textId="77777777" w:rsidR="00EC54E3" w:rsidRDefault="00EC54E3" w:rsidP="00EC54E3">
      <w:r>
        <w:rPr>
          <w:rFonts w:hint="eastAsia"/>
        </w:rPr>
        <w:t>•</w:t>
      </w:r>
      <w:r>
        <w:tab/>
        <w:t>Organised Immigration Crime</w:t>
      </w:r>
    </w:p>
    <w:p w14:paraId="22905594" w14:textId="77777777" w:rsidR="00EC54E3" w:rsidRDefault="00EC54E3" w:rsidP="00EC54E3">
      <w:r>
        <w:rPr>
          <w:rFonts w:hint="eastAsia"/>
        </w:rPr>
        <w:t>•</w:t>
      </w:r>
      <w:r>
        <w:tab/>
        <w:t>Fraud</w:t>
      </w:r>
    </w:p>
    <w:p w14:paraId="162FE529" w14:textId="77777777" w:rsidR="00EC54E3" w:rsidRDefault="00EC54E3" w:rsidP="00EC54E3">
      <w:r>
        <w:t>There is a potential for various forms of exploitation to overlap, where individuals initially singled out for one type of exploitation may find themselves falling victim to another. To illustrate, individuals subjected to modern slavery might be compelled to participate in criminal activities, such as serving as 'runners' in county lines drug supply operations or working in cannabis farms.</w:t>
      </w:r>
    </w:p>
    <w:p w14:paraId="467719EE" w14:textId="77777777" w:rsidR="00EC54E3" w:rsidRDefault="00EC54E3" w:rsidP="00EC54E3">
      <w:r>
        <w:lastRenderedPageBreak/>
        <w:t>According to the Strategic Centre for Organised Crime Office for Security and Counter-Terrorism report, 2015, there is research that have pinpointed several elements that might increase the likelihood of individuals getting involved in serious and organised crime. These risk factors are organised into four categories:</w:t>
      </w:r>
    </w:p>
    <w:p w14:paraId="622A969A" w14:textId="77777777" w:rsidR="00EC54E3" w:rsidRDefault="00EC54E3" w:rsidP="00EC54E3">
      <w:r>
        <w:t>Criminality: Involving patterns and trends of offending behaviour.</w:t>
      </w:r>
    </w:p>
    <w:p w14:paraId="16E0754E" w14:textId="77777777" w:rsidR="00EC54E3" w:rsidRDefault="00EC54E3" w:rsidP="00EC54E3">
      <w:r>
        <w:t>Ability: Encompassing specialised skills, access, or professional positions.</w:t>
      </w:r>
    </w:p>
    <w:p w14:paraId="3C00DF44" w14:textId="77777777" w:rsidR="00EC54E3" w:rsidRDefault="00EC54E3" w:rsidP="00EC54E3">
      <w:r>
        <w:t>Networks: Involving access to criminal associates through family, peer, or professional connections.</w:t>
      </w:r>
    </w:p>
    <w:p w14:paraId="08821ACF" w14:textId="77777777" w:rsidR="00EC54E3" w:rsidRDefault="00EC54E3" w:rsidP="00EC54E3">
      <w:r>
        <w:t>Identity: Involving upbringing and lifestyle factors</w:t>
      </w:r>
    </w:p>
    <w:p w14:paraId="35B34E02" w14:textId="77777777" w:rsidR="00EC54E3" w:rsidRDefault="00EC54E3" w:rsidP="00EC54E3">
      <w:r>
        <w:t xml:space="preserve">Home Office research suggests that a significant portion of organised criminals have a history of engaging in prolific criminal behaviour from a young age. Just under 25% of all organised criminals are below 25 years old. Early experiences with criminality can lead to sustained involvement into adulthood and progression into serious and organized criminal activities, (HM Government, 2015). </w:t>
      </w:r>
    </w:p>
    <w:p w14:paraId="3AC47FA3" w14:textId="77777777" w:rsidR="00EC54E3" w:rsidRDefault="00EC54E3" w:rsidP="00EC54E3">
      <w:r>
        <w:t>Individuals with specialised skills, access, or in specific professions may be recruited or corrupted for serious and organised crime. In a real case, a solicitor named Misha, initially without convictions, became involved in a £2.3 million fraud through her relationship with an organized crime group connected to Liberia. Misha's professional skills were exploited for mortgage fraud and altering property documentation. Those with connections to criminal networks through family, friends, or associations face the risk of involvement in serious and organised crime.</w:t>
      </w:r>
    </w:p>
    <w:p w14:paraId="1F61730C" w14:textId="77777777" w:rsidR="00EC54E3" w:rsidRDefault="00EC54E3" w:rsidP="00EC54E3">
      <w:r>
        <w:t>An individual's background and life circumstances significantly influence their vulnerability to serious and organised crime. Factors like intimate relationships with criminals, lifestyle changes, such as marital breakdowns or substance dependencies, can create openings to criminal involvement. Social and psychological influences may contribute to the adoption of 'pro-criminal' attitudes, where individuals no longer see criminal behaviour as inherently illegitimate. Other characteristics that may increase an individual's vulnerability include:</w:t>
      </w:r>
    </w:p>
    <w:p w14:paraId="78875D3C" w14:textId="77777777" w:rsidR="00EC54E3" w:rsidRDefault="00EC54E3" w:rsidP="00EC54E3">
      <w:r>
        <w:t>Experiences of Neglect or Abuse: Past or present trauma, including adverse childhood experiences.</w:t>
      </w:r>
    </w:p>
    <w:p w14:paraId="7C10CABE" w14:textId="77777777" w:rsidR="00EC54E3" w:rsidRDefault="00EC54E3" w:rsidP="00EC54E3">
      <w:r>
        <w:t>Social vulnerabilities, Isolation or Peer Pressure: Young people are targeted due to susceptibility to peer pressure and lack of life experience, seeking a sense of belonging.</w:t>
      </w:r>
    </w:p>
    <w:p w14:paraId="2B3ED648" w14:textId="77777777" w:rsidR="00EC54E3" w:rsidRDefault="00EC54E3" w:rsidP="00EC54E3">
      <w:r>
        <w:t>Economic Hardship: Financial necessity may lead individuals in disadvantaged situations to accept offers of financial gain from organised crime (SOC) groups.</w:t>
      </w:r>
    </w:p>
    <w:p w14:paraId="24AF5A5B" w14:textId="77777777" w:rsidR="00EC54E3" w:rsidRDefault="00EC54E3" w:rsidP="00EC54E3">
      <w:r>
        <w:t>Homelessness or Insecure Housing: Those in or leaving the care system are vulnerable due to a lack of a safe environment and positive role models.</w:t>
      </w:r>
    </w:p>
    <w:p w14:paraId="762A127F" w14:textId="77777777" w:rsidR="00EC54E3" w:rsidRDefault="00EC54E3" w:rsidP="00EC54E3">
      <w:r>
        <w:t>Gang Connections or Normalised Criminal Behaviour: Social norms glorifying criminal behaviour contribute to vulnerability, especially in communities where SOC is normalised.</w:t>
      </w:r>
    </w:p>
    <w:p w14:paraId="4714903E" w14:textId="77777777" w:rsidR="00EC54E3" w:rsidRDefault="00EC54E3" w:rsidP="00EC54E3">
      <w:r>
        <w:t>Physical or Learning Disabilities: Reduced ability to recognise or communicate exploitation.</w:t>
      </w:r>
    </w:p>
    <w:p w14:paraId="7AEE68F8" w14:textId="77777777" w:rsidR="00EC54E3" w:rsidRDefault="00EC54E3" w:rsidP="00EC54E3">
      <w:r>
        <w:t>Mental Health Issues: Exploiters target individuals with poor emotional well-being or low self-esteem, making them susceptible to manipulation.</w:t>
      </w:r>
    </w:p>
    <w:p w14:paraId="273DF91E" w14:textId="77777777" w:rsidR="00EC54E3" w:rsidRDefault="00EC54E3" w:rsidP="00EC54E3">
      <w:r>
        <w:lastRenderedPageBreak/>
        <w:t>Substance Misuse: Those struggling with addiction may be coerced into criminal activities to sustain their habits, continuing a cycle of vulnerability.</w:t>
      </w:r>
    </w:p>
    <w:p w14:paraId="0F8AB3AA" w14:textId="77777777" w:rsidR="00EC54E3" w:rsidRDefault="00EC54E3" w:rsidP="00EC54E3">
      <w:r>
        <w:t>Exclusion from Education: Limited access to education leaves individuals with fewer opportunities, making them susceptible to criminal offers.</w:t>
      </w:r>
    </w:p>
    <w:p w14:paraId="571B4A56" w14:textId="77777777" w:rsidR="00EC54E3" w:rsidRDefault="00EC54E3" w:rsidP="00EC54E3">
      <w:r>
        <w:t>Insecure Immigration Status: Vulnerabilities in unaccompanied asylum-seeking children and refugees, including social isolation and potential links to organized crime. Non-UK victims of modern slavery face high exploitation risk, especially post-arrival in the UK (NCA, 2020).</w:t>
      </w:r>
    </w:p>
    <w:p w14:paraId="4CFFAD51" w14:textId="77777777" w:rsidR="00EC54E3" w:rsidRDefault="00EC54E3" w:rsidP="00EC54E3">
      <w:r>
        <w:t xml:space="preserve">Certain individuals willingly engage in criminal activities, while others, like victims of Modern Slavery, may unknowingly be lured, groomed, and subsequently exploited. The below diagram, retrieved from the Strategic Centre for Organised Crime Office for Security and Counter-Terrorism (2015) shows examples of how individuals can find them themselves involved in SOC. </w:t>
      </w:r>
    </w:p>
    <w:p w14:paraId="29412570" w14:textId="77777777" w:rsidR="00EC54E3" w:rsidRDefault="00EC54E3" w:rsidP="00EC54E3"/>
    <w:p w14:paraId="4345FBB3" w14:textId="77777777" w:rsidR="00EC54E3" w:rsidRDefault="00EC54E3" w:rsidP="00EC54E3">
      <w:r>
        <w:t xml:space="preserve">Exploitation can take various forms and involve power imbalances, (Home Office 2023). Perpetrators use methods such as: </w:t>
      </w:r>
    </w:p>
    <w:p w14:paraId="6ED5DCD7" w14:textId="77777777" w:rsidR="00EC54E3" w:rsidRDefault="00EC54E3" w:rsidP="00EC54E3">
      <w:r>
        <w:rPr>
          <w:rFonts w:hint="eastAsia"/>
        </w:rPr>
        <w:t>•</w:t>
      </w:r>
      <w:r>
        <w:tab/>
        <w:t xml:space="preserve">Exchange offers, such as money, clothes, drugs, protection and love. </w:t>
      </w:r>
    </w:p>
    <w:p w14:paraId="1D8603A4" w14:textId="77777777" w:rsidR="00EC54E3" w:rsidRDefault="00EC54E3" w:rsidP="00EC54E3">
      <w:r>
        <w:rPr>
          <w:rFonts w:hint="eastAsia"/>
        </w:rPr>
        <w:t>•</w:t>
      </w:r>
      <w:r>
        <w:tab/>
        <w:t xml:space="preserve">Violence or threats </w:t>
      </w:r>
    </w:p>
    <w:p w14:paraId="394674D5" w14:textId="77777777" w:rsidR="00EC54E3" w:rsidRDefault="00EC54E3" w:rsidP="00EC54E3">
      <w:r>
        <w:rPr>
          <w:rFonts w:hint="eastAsia"/>
        </w:rPr>
        <w:t>•</w:t>
      </w:r>
      <w:r>
        <w:tab/>
        <w:t>Abduction/ kidnapping</w:t>
      </w:r>
    </w:p>
    <w:p w14:paraId="5EFCE971" w14:textId="77777777" w:rsidR="00EC54E3" w:rsidRDefault="00EC54E3" w:rsidP="00EC54E3">
      <w:r>
        <w:rPr>
          <w:rFonts w:hint="eastAsia"/>
        </w:rPr>
        <w:t>•</w:t>
      </w:r>
      <w:r>
        <w:tab/>
        <w:t>Emotional or Psychological Coercion</w:t>
      </w:r>
    </w:p>
    <w:p w14:paraId="27947AA1" w14:textId="77777777" w:rsidR="00EC54E3" w:rsidRDefault="00EC54E3" w:rsidP="00EC54E3">
      <w:r>
        <w:rPr>
          <w:rFonts w:hint="eastAsia"/>
        </w:rPr>
        <w:t>•</w:t>
      </w:r>
      <w:r>
        <w:tab/>
        <w:t>Sexual Abuse and Exploitation</w:t>
      </w:r>
    </w:p>
    <w:p w14:paraId="06313F85" w14:textId="77777777" w:rsidR="00EC54E3" w:rsidRDefault="00EC54E3" w:rsidP="00EC54E3">
      <w:r>
        <w:rPr>
          <w:rFonts w:hint="eastAsia"/>
        </w:rPr>
        <w:t>•</w:t>
      </w:r>
      <w:r>
        <w:tab/>
        <w:t>Blackmail</w:t>
      </w:r>
    </w:p>
    <w:p w14:paraId="2A5E7A4E" w14:textId="77777777" w:rsidR="00EC54E3" w:rsidRDefault="00EC54E3" w:rsidP="00EC54E3">
      <w:r>
        <w:rPr>
          <w:rFonts w:hint="eastAsia"/>
        </w:rPr>
        <w:t>•</w:t>
      </w:r>
      <w:r>
        <w:tab/>
        <w:t>Online Exploitation</w:t>
      </w:r>
    </w:p>
    <w:p w14:paraId="0586C387" w14:textId="77777777" w:rsidR="00EC54E3" w:rsidRDefault="00EC54E3" w:rsidP="00EC54E3">
      <w:r>
        <w:rPr>
          <w:rFonts w:hint="eastAsia"/>
        </w:rPr>
        <w:t>•</w:t>
      </w:r>
      <w:r>
        <w:tab/>
        <w:t>Cuckooing</w:t>
      </w:r>
    </w:p>
    <w:p w14:paraId="1E07C692" w14:textId="77777777" w:rsidR="00EC54E3" w:rsidRDefault="00EC54E3" w:rsidP="00EC54E3">
      <w:r>
        <w:rPr>
          <w:rFonts w:hint="eastAsia"/>
        </w:rPr>
        <w:t>•</w:t>
      </w:r>
      <w:r>
        <w:tab/>
        <w:t>Debt Bondage</w:t>
      </w:r>
    </w:p>
    <w:p w14:paraId="2B598F2E" w14:textId="77777777" w:rsidR="00EC54E3" w:rsidRDefault="00EC54E3" w:rsidP="00EC54E3">
      <w:r>
        <w:rPr>
          <w:rFonts w:hint="eastAsia"/>
        </w:rPr>
        <w:t>•</w:t>
      </w:r>
      <w:r>
        <w:tab/>
        <w:t>Financial Exploitation</w:t>
      </w:r>
    </w:p>
    <w:p w14:paraId="25D69DC5" w14:textId="77777777" w:rsidR="00EC54E3" w:rsidRDefault="00EC54E3" w:rsidP="00EC54E3">
      <w:r>
        <w:t>Within the UK, social challenges like homelessness, isolation, and substance abuse frequently contribute to the vulnerability of potential victims. Beyond the UK, the movement of vulnerable individuals is often propelled by a lack of economic or educational opportunities, (Home Office, 2023).</w:t>
      </w:r>
    </w:p>
    <w:p w14:paraId="356F620A" w14:textId="77777777" w:rsidR="00EC54E3" w:rsidRDefault="00EC54E3" w:rsidP="00EC54E3">
      <w:r>
        <w:t xml:space="preserve">To summarise, by comparing the perpetrators methods and the vulnerable characteristics it is clear to see why vulnerable individuals are an easy target for OCG and how these individuals can easily fall into SOC. The risk factors are not the direct causes of an individual's exploitation into criminal activity; instead, they create an imbalance of power that perpetrators often exploited. Not every person who is has a vulnerable characteristic will be exploited or involved in SOC. However, the research is outstanding in highlighting this is a significant problem within the UK and sadly vulnerable children and adults are at the centre of so much criminality. </w:t>
      </w:r>
    </w:p>
    <w:p w14:paraId="0D10DA73" w14:textId="77777777" w:rsidR="00EC54E3" w:rsidRDefault="00EC54E3" w:rsidP="00EC54E3"/>
    <w:p w14:paraId="5A9925D3" w14:textId="77777777" w:rsidR="00EC54E3" w:rsidRDefault="00EC54E3" w:rsidP="00EC54E3">
      <w:r>
        <w:t xml:space="preserve">1093 words </w:t>
      </w:r>
    </w:p>
    <w:p w14:paraId="404CE466" w14:textId="77777777" w:rsidR="00EC54E3" w:rsidRDefault="00EC54E3" w:rsidP="00EC54E3"/>
    <w:p w14:paraId="60E2E13D" w14:textId="0D269BF2" w:rsidR="00EC54E3" w:rsidRDefault="00EC54E3" w:rsidP="00EC54E3">
      <w:r>
        <w:t xml:space="preserve">HM Government (2015) Strategic Centre for Organised Crime Office for Security and Counterterrorism. Individuals at risk of being drawn into Serious and Organised Crime -a Prevent Guide. Available at: </w:t>
      </w:r>
      <w:hyperlink r:id="rId12" w:history="1">
        <w:r w:rsidR="00B76B49" w:rsidRPr="007E5CD0">
          <w:rPr>
            <w:rStyle w:val="Hyperlink"/>
          </w:rPr>
          <w:t>https://assets.publishing.service.gov.uk/government/uploads/system/uploads/attachment_data/file/408585/6_162_HO_SOC_PI_Guidance_Mar2015_v10_FINAL_270215_WEB__2_.pdf</w:t>
        </w:r>
      </w:hyperlink>
      <w:r>
        <w:t>.</w:t>
      </w:r>
      <w:r w:rsidR="00B76B49">
        <w:t xml:space="preserve"> </w:t>
      </w:r>
      <w:r>
        <w:t xml:space="preserve"> </w:t>
      </w:r>
    </w:p>
    <w:p w14:paraId="7AE7C63C" w14:textId="10B23793" w:rsidR="00EC54E3" w:rsidRDefault="00EC54E3" w:rsidP="00EC54E3">
      <w:r>
        <w:t xml:space="preserve">Home Office (2023). Criminal exploitation of children and vulnerable adults: county lines. [online] GOV.UK. Available at: </w:t>
      </w:r>
      <w:hyperlink r:id="rId13" w:history="1">
        <w:r w:rsidR="00B76B49" w:rsidRPr="007E5CD0">
          <w:rPr>
            <w:rStyle w:val="Hyperlink"/>
          </w:rPr>
          <w:t>https://www.gov.uk/government/publications/criminal-exploitation-of-children-and-vulnerable-adults-county-lines/criminal-exploitation-of-children-and-vulnerable-adults-county-lines</w:t>
        </w:r>
      </w:hyperlink>
      <w:r>
        <w:t>.</w:t>
      </w:r>
      <w:r w:rsidR="00B76B49">
        <w:t xml:space="preserve"> </w:t>
      </w:r>
      <w:r>
        <w:t xml:space="preserve"> </w:t>
      </w:r>
    </w:p>
    <w:p w14:paraId="5682E104" w14:textId="60AB2087" w:rsidR="00EC54E3" w:rsidRDefault="00EC54E3" w:rsidP="00EC54E3">
      <w:r>
        <w:t xml:space="preserve">National Crime Agency (NCA) (2020) National Strategic Assessment of Serious and Organised Crime. Available at: </w:t>
      </w:r>
      <w:hyperlink r:id="rId14" w:history="1">
        <w:r w:rsidR="00B76B49" w:rsidRPr="007E5CD0">
          <w:rPr>
            <w:rStyle w:val="Hyperlink"/>
          </w:rPr>
          <w:t>https://nationalcrimeagency.gov.uk/who-we-are/publications/437-national-strategic-assessment-of-serious-and-organised-crime-2020/file</w:t>
        </w:r>
      </w:hyperlink>
      <w:r w:rsidR="00B76B49">
        <w:t xml:space="preserve"> </w:t>
      </w:r>
      <w:r>
        <w:t xml:space="preserve">. </w:t>
      </w:r>
    </w:p>
    <w:p w14:paraId="75FF2B0B" w14:textId="648EA5FA" w:rsidR="00EC54E3" w:rsidRDefault="00EC54E3" w:rsidP="00EC54E3">
      <w:r>
        <w:t xml:space="preserve">Winchester, N. (2020). Library Briefing. [online] Available at: </w:t>
      </w:r>
      <w:hyperlink r:id="rId15" w:history="1">
        <w:r w:rsidR="00B76B49" w:rsidRPr="007E5CD0">
          <w:rPr>
            <w:rStyle w:val="Hyperlink"/>
          </w:rPr>
          <w:t>https://researchbriefings.files.parliament.uk/documents/LLN-2020-0016/LLN-2020-0016.pdf</w:t>
        </w:r>
      </w:hyperlink>
      <w:r>
        <w:t>.</w:t>
      </w:r>
      <w:r w:rsidR="00B76B49">
        <w:t xml:space="preserve"> </w:t>
      </w:r>
      <w:r>
        <w:t xml:space="preserve"> </w:t>
      </w:r>
    </w:p>
    <w:p w14:paraId="592347F8" w14:textId="77777777" w:rsidR="00EC54E3" w:rsidRDefault="00EC54E3" w:rsidP="00EC54E3"/>
    <w:p w14:paraId="3F212822" w14:textId="77777777" w:rsidR="00B76B49" w:rsidRDefault="00B76B49" w:rsidP="00EC54E3"/>
    <w:p w14:paraId="7C71CE5A" w14:textId="77777777" w:rsidR="00B76B49" w:rsidRDefault="00B76B49" w:rsidP="00EC54E3"/>
    <w:p w14:paraId="4CC42907" w14:textId="77777777" w:rsidR="00B76B49" w:rsidRDefault="00B76B49" w:rsidP="00EC54E3"/>
    <w:p w14:paraId="2FD451EB" w14:textId="77777777" w:rsidR="00B76B49" w:rsidRDefault="00B76B49" w:rsidP="00EC54E3"/>
    <w:p w14:paraId="5AF08B05" w14:textId="77777777" w:rsidR="00B76B49" w:rsidRDefault="00B76B49" w:rsidP="00EC54E3"/>
    <w:p w14:paraId="28D81938" w14:textId="77777777" w:rsidR="00B76B49" w:rsidRDefault="00B76B49" w:rsidP="00EC54E3"/>
    <w:p w14:paraId="398CE26A" w14:textId="77777777" w:rsidR="00EC54E3" w:rsidRPr="00B76B49" w:rsidRDefault="00EC54E3" w:rsidP="00EC54E3">
      <w:pPr>
        <w:rPr>
          <w:b/>
          <w:bCs/>
        </w:rPr>
      </w:pPr>
      <w:r w:rsidRPr="00B76B49">
        <w:rPr>
          <w:b/>
          <w:bCs/>
        </w:rPr>
        <w:t>Essay 5</w:t>
      </w:r>
    </w:p>
    <w:p w14:paraId="6CD6D6DE" w14:textId="77777777" w:rsidR="00EC54E3" w:rsidRDefault="00EC54E3" w:rsidP="00EC54E3">
      <w:r>
        <w:t>Early interventions with young offenders (or with those deemed to be at risk of offending) are one of the preferred methods of controlling crime, (Thompson, 2021). Early interventions employ a collaborative, multi-agency approach, involving the police, social services, education, employment, and health services working collectively. This approach aims to offer additional support and guidance to young offenders or those at risk of offending, steering them away from engaging in criminal activities.</w:t>
      </w:r>
    </w:p>
    <w:p w14:paraId="08FE051A" w14:textId="77777777" w:rsidR="00EC54E3" w:rsidRDefault="00EC54E3" w:rsidP="00EC54E3">
      <w:r>
        <w:t>The UK government implements early intervention initiatives to combat violent crime. A 2019 parliamentary briefing highlights successful programs that reduce instances of violence by addressing factors such as individual vulnerabilities and strained community-police relations. Providing support to prevent adverse childhood experiences and implementing population-wide interventions involving multiple agencies are key strategies identified to decrease overall violence levels (Parliament. UK, 2019).</w:t>
      </w:r>
    </w:p>
    <w:p w14:paraId="14167311" w14:textId="77777777" w:rsidR="00EC54E3" w:rsidRDefault="00EC54E3" w:rsidP="00EC54E3">
      <w:r>
        <w:t>It is important to note that there are certain risk factors that make a person more likely to commit crime.</w:t>
      </w:r>
    </w:p>
    <w:p w14:paraId="3C4904A1" w14:textId="77777777" w:rsidR="00EC54E3" w:rsidRDefault="00EC54E3" w:rsidP="00EC54E3">
      <w:r>
        <w:t>Individual Risk Factors</w:t>
      </w:r>
    </w:p>
    <w:p w14:paraId="584369D5" w14:textId="77777777" w:rsidR="00EC54E3" w:rsidRDefault="00EC54E3" w:rsidP="00EC54E3">
      <w:r>
        <w:lastRenderedPageBreak/>
        <w:t>Throughout a person's life, various individual risk factors emerge, including adverse childhood experiences (ACEs), education and exclusion from school, and health and mental health. Directly attributing outcomes to these risk factors can be challenging due to their interrelated and simultaneous occurrence. Additionally, some risk factors may function as outcomes themselves; for instance, poor mental health serves as both a risk factor for violent behaviour and, in certain cases, an outcome of childhood trauma, (Hughes, K. et al, 2017).  It's important to emphasise that no single individual factor is the sole cause of someone becoming a perpetrator or victim of violence. Instead, a combination of these risk factors can shape early experiences, leaving individuals vulnerable to exploitation (Scott, J. et al, 2013).</w:t>
      </w:r>
    </w:p>
    <w:p w14:paraId="2D3FE5F3" w14:textId="77777777" w:rsidR="00EC54E3" w:rsidRDefault="00EC54E3" w:rsidP="00EC54E3">
      <w:r>
        <w:t>Environmental factors</w:t>
      </w:r>
    </w:p>
    <w:p w14:paraId="07655F64" w14:textId="77777777" w:rsidR="00EC54E3" w:rsidRDefault="00EC54E3" w:rsidP="00EC54E3">
      <w:r>
        <w:t xml:space="preserve">This refers to characteristics related to a geographical location. This includes social deprivation, negative experiences with police and its surrounding community. Some individual and environmental factors are interconnected. For instance, individuals from Black, Asian, and minority ethnic (BAME) backgrounds are disproportionately affected, serving as both victims and perpetrators in crimes involving knives, (Youth Justice Board, 2019). However, this perceived individual risk factor (BAME background) is, in fact, an accumulation of environmental factors. This includes the likelihood that BAME individuals are more commonly located in metropolitan areas and have a higher probability of encountering strained community-police relations due to perceived unfair targeting in practices such as stop and search Environmental Risk Factors such as coming from an area of social deprivation and have negative experiences with the police through stop and search, the latter of which is especially correlated with being an ethnic minority, (Parlament.UK 2019). </w:t>
      </w:r>
    </w:p>
    <w:p w14:paraId="57093713" w14:textId="77777777" w:rsidR="00EC54E3" w:rsidRDefault="00EC54E3" w:rsidP="00EC54E3">
      <w:r>
        <w:t>Early interventions include programs implemented during early life to diminish risk factors and those specifically aimed at young individuals when they initially engage in criminal activities, (EIF, 2018). They focus on identifying and addressing the underlying factors that contribute to offending behaviour. This may include family issues, substance abuse, mental health challenges, or educational difficulties.</w:t>
      </w:r>
    </w:p>
    <w:p w14:paraId="1792B324" w14:textId="77777777" w:rsidR="00EC54E3" w:rsidRDefault="00EC54E3" w:rsidP="00EC54E3">
      <w:r>
        <w:t xml:space="preserve">Several initiatives target young individuals during their initial interactions with police or emergency services, aiming to divert them toward employment, development, and education opportunities. Examples include the Lambeth DIVERT program, with a 7% reoffending rate, and </w:t>
      </w:r>
      <w:proofErr w:type="spellStart"/>
      <w:r>
        <w:t>Redthread's</w:t>
      </w:r>
      <w:proofErr w:type="spellEnd"/>
      <w:r>
        <w:t xml:space="preserve"> Youth Violence Intervention Programme, resulting in a significant reduction in violence engagement. Various organisations provide one-to-one support services, focusing on life skills and coping mechanisms. Resilience development through reliable adult figures and mentoring, when well-trained and long-term, can be effective in reducing violence levels in youth (Metropolitan Police Service, 2018; King, 2018; Bellis, 2018; Children’s Commissioner, 2018).</w:t>
      </w:r>
    </w:p>
    <w:p w14:paraId="71EF1A62" w14:textId="77777777" w:rsidR="00EC54E3" w:rsidRDefault="00EC54E3" w:rsidP="00EC54E3">
      <w:r>
        <w:t>The presence of a reliable adult figure can contribute to the development of resilience in children and adolescents, potentially reducing childhood adversity, (Bellis, 2018). Mentoring can potentially reduce levels of violence in young individuals when mentors are well-trained and spend sufficient time with participants, Children’s Commissioner, 2018). However, if delivered without appropriate training and lacking long-term support for participants, mentoring can have adverse effects on the mental health of both mentor and mentee, (Childrens Commissioner, 2018).</w:t>
      </w:r>
    </w:p>
    <w:p w14:paraId="7CD4052E" w14:textId="77777777" w:rsidR="00EC54E3" w:rsidRDefault="00EC54E3" w:rsidP="00EC54E3">
      <w:r>
        <w:lastRenderedPageBreak/>
        <w:t xml:space="preserve">School-based interventions can identify students at risk of exclusion or experiencing low academic achievement, offering additional support for both academic and behavioural skills. When chosen as an alternative to exclusions, this approach has proven to positively impact community engagement, academic success, and the constructive expression of emotions, (Scott, 2013). Initiatives focused on imparting social, emotional, and communication skills to children during their primary school years have proven to be effective in reducing substance misuse, antisocial behaviour, and mental health problems during adolescence, (EIF, 2018). </w:t>
      </w:r>
    </w:p>
    <w:p w14:paraId="6CD79EFC" w14:textId="77777777" w:rsidR="00EC54E3" w:rsidRDefault="00EC54E3" w:rsidP="00EC54E3">
      <w:r>
        <w:t xml:space="preserve">Effective early intervention involves collaboration between families, schools, communities, and relevant agencies. Building a supportive community network contributes to a more holistic approach to prevention. </w:t>
      </w:r>
    </w:p>
    <w:p w14:paraId="26FB0B55" w14:textId="77777777" w:rsidR="00EC54E3" w:rsidRDefault="00EC54E3" w:rsidP="00EC54E3">
      <w:r>
        <w:t xml:space="preserve">Studies on family focused early interventions suggest that programs tend to achieve greater effectiveness when they address risk factors within the family, (Farrington, 2017). The Troubled Families Programme specifically targets families with risk factors such as domestic abuse or family members involved in criminal activities, House of Commons Library, 2018). The program aims to assist family members in securing employment or making progress with their challenges. The findings of this intervention in 2020 saw a reduction in children going into care, some increase in adult employment and a reduction in juvenile convictions, (Ministry of Housing, Communities and Local Government, 2019). </w:t>
      </w:r>
    </w:p>
    <w:p w14:paraId="07EE7102" w14:textId="77777777" w:rsidR="00EC54E3" w:rsidRDefault="00EC54E3" w:rsidP="00EC54E3">
      <w:r>
        <w:t>Effectively managing an area can contribute to preventing future crime, as research indicates that reducing opportunities for initial offences can impede the escalation to more serious criminal activities later in life, (Farell, 2011) The visibility of police in an area can impact violent crime rates. For example, following the 7/7 terror attacks in London, there was an increased police deployment in certain boroughs for the subsequent six weeks.64 In comparison to boroughs without heightened police presence, violent crime in these areas decreased by 3%, (</w:t>
      </w:r>
      <w:proofErr w:type="spellStart"/>
      <w:r>
        <w:t>Draca</w:t>
      </w:r>
      <w:proofErr w:type="spellEnd"/>
      <w:r>
        <w:t xml:space="preserve">, 2008). </w:t>
      </w:r>
    </w:p>
    <w:p w14:paraId="617204E2" w14:textId="77777777" w:rsidR="00EC54E3" w:rsidRDefault="00EC54E3" w:rsidP="00EC54E3">
      <w:r>
        <w:t>In summary, intervening in a young person's influential years significantly influences their development, with positive interventions guiding them away from criminal behaviour. Success hinges on accessible, quality, and sustained support. Tailored approaches, considering individual needs and circumstances, are pivotal for effective early intervention. Maslow’s Hierarchy of basic needs underscores meeting fundamental needs for children and young people to thrive, (Cherry, 2022). While some may still choose to offend despite interventions, it's crucial to recognise that what works for one may not work for another. Flexible interventions adapted to individual needs and considering both personal and environmental factors are crucial. Positive interventions early in a young person's life can have a lasting impact, reducing the likelihood of future reoffending. Identifying at-risk youth and providing targeted interventions diminishes the likelihood of involvement in criminal activities. Addressing risk factors early on lowers the chances of engaging in delinquent behaviour.</w:t>
      </w:r>
    </w:p>
    <w:p w14:paraId="6E3243EA" w14:textId="77777777" w:rsidR="00EC54E3" w:rsidRDefault="00EC54E3" w:rsidP="00EC54E3"/>
    <w:p w14:paraId="196464D7" w14:textId="77777777" w:rsidR="00EC54E3" w:rsidRDefault="00EC54E3" w:rsidP="00EC54E3">
      <w:r>
        <w:t>1088</w:t>
      </w:r>
    </w:p>
    <w:p w14:paraId="52895FEF" w14:textId="3971AFB8" w:rsidR="00EC54E3" w:rsidRDefault="00EC54E3" w:rsidP="00EC54E3">
      <w:r>
        <w:t xml:space="preserve">Bellis, M. A. et al. (2018). Does adult alcohol consumption combine with adverse childhood experiences to increase involvement in violence in men and women? A cross-sectional study in England and Wales BMJ Open, Vol 8. (Available on): </w:t>
      </w:r>
      <w:hyperlink r:id="rId16" w:history="1">
        <w:r w:rsidR="00B76B49" w:rsidRPr="007E5CD0">
          <w:rPr>
            <w:rStyle w:val="Hyperlink"/>
          </w:rPr>
          <w:t>https://bmjopen.bmj.com/content/8/12/e020591</w:t>
        </w:r>
      </w:hyperlink>
      <w:r w:rsidR="00B76B49">
        <w:t xml:space="preserve"> </w:t>
      </w:r>
      <w:r>
        <w:t xml:space="preserve"> </w:t>
      </w:r>
    </w:p>
    <w:p w14:paraId="4F4DE195" w14:textId="57C4F502" w:rsidR="00EC54E3" w:rsidRDefault="00EC54E3" w:rsidP="00EC54E3">
      <w:r>
        <w:lastRenderedPageBreak/>
        <w:t xml:space="preserve">Cherry, K. (2022). Maslow’s Hierarchy of Needs. [online] </w:t>
      </w:r>
      <w:proofErr w:type="spellStart"/>
      <w:r>
        <w:t>Verywellmind</w:t>
      </w:r>
      <w:proofErr w:type="spellEnd"/>
      <w:r>
        <w:t xml:space="preserve">. (Available on) </w:t>
      </w:r>
      <w:hyperlink r:id="rId17" w:history="1">
        <w:r w:rsidR="00B76B49" w:rsidRPr="007E5CD0">
          <w:rPr>
            <w:rStyle w:val="Hyperlink"/>
          </w:rPr>
          <w:t>https://www.verywellmind.com/what-is-maslows-hierarchy-of-needs-4136760</w:t>
        </w:r>
      </w:hyperlink>
      <w:r w:rsidR="00B76B49">
        <w:t xml:space="preserve"> </w:t>
      </w:r>
      <w:r>
        <w:t xml:space="preserve"> </w:t>
      </w:r>
    </w:p>
    <w:p w14:paraId="5581D461" w14:textId="3A7F35B1" w:rsidR="00EC54E3" w:rsidRDefault="00EC54E3" w:rsidP="00EC54E3">
      <w:r>
        <w:t xml:space="preserve">Children’s Commissioner (2018). Forging futures through mentoring: A risk worth pursuing? (Available on) </w:t>
      </w:r>
      <w:hyperlink r:id="rId18" w:history="1">
        <w:r w:rsidR="00B76B49" w:rsidRPr="007E5CD0">
          <w:rPr>
            <w:rStyle w:val="Hyperlink"/>
          </w:rPr>
          <w:t>https://www.childrenscommissioner.gov.uk/resource/mentoring/</w:t>
        </w:r>
      </w:hyperlink>
      <w:r w:rsidR="00B76B49">
        <w:t xml:space="preserve"> </w:t>
      </w:r>
      <w:r>
        <w:t xml:space="preserve">  </w:t>
      </w:r>
    </w:p>
    <w:p w14:paraId="30B49312" w14:textId="7B88C278" w:rsidR="00EC54E3" w:rsidRDefault="00EC54E3" w:rsidP="00EC54E3">
      <w:proofErr w:type="spellStart"/>
      <w:r>
        <w:t>Draca</w:t>
      </w:r>
      <w:proofErr w:type="spellEnd"/>
      <w:r>
        <w:t xml:space="preserve">, M. et al. (2008). Panic on the streets of London: Police, crime and the July 2005 terror attacks. Cent. Econ. Perform. (Available on): </w:t>
      </w:r>
      <w:hyperlink r:id="rId19" w:history="1">
        <w:r w:rsidR="00B76B49" w:rsidRPr="007E5CD0">
          <w:rPr>
            <w:rStyle w:val="Hyperlink"/>
          </w:rPr>
          <w:t>https://www.aeaweb.org/articles?id=10.1257/aer.101.5.2157</w:t>
        </w:r>
      </w:hyperlink>
      <w:r w:rsidR="00B76B49">
        <w:t xml:space="preserve"> </w:t>
      </w:r>
      <w:r>
        <w:t xml:space="preserve"> </w:t>
      </w:r>
    </w:p>
    <w:p w14:paraId="7A1C9ECE" w14:textId="7B0D5FB7" w:rsidR="00EC54E3" w:rsidRDefault="00EC54E3" w:rsidP="00EC54E3">
      <w:r>
        <w:t xml:space="preserve">EIF (2018). Realising the potential of early intervention (Available on): </w:t>
      </w:r>
      <w:hyperlink r:id="rId20" w:history="1">
        <w:r w:rsidR="00B76B49" w:rsidRPr="007E5CD0">
          <w:rPr>
            <w:rStyle w:val="Hyperlink"/>
          </w:rPr>
          <w:t>https://www.eif.org.uk/report/realising-the-potential-of-early-intervention</w:t>
        </w:r>
      </w:hyperlink>
      <w:r w:rsidR="00B76B49">
        <w:t xml:space="preserve"> </w:t>
      </w:r>
      <w:r>
        <w:t xml:space="preserve">   </w:t>
      </w:r>
    </w:p>
    <w:p w14:paraId="5CD2496F" w14:textId="201B79CB" w:rsidR="00EC54E3" w:rsidRDefault="00EC54E3" w:rsidP="00EC54E3">
      <w:r>
        <w:t xml:space="preserve">Farrell, G. et al. (2011). The crime drop and the security hypothesis. J. Res. Crime Delinquency, Vol 48, 147–175. (Available on): </w:t>
      </w:r>
      <w:hyperlink r:id="rId21" w:history="1">
        <w:r w:rsidR="00B76B49" w:rsidRPr="007E5CD0">
          <w:rPr>
            <w:rStyle w:val="Hyperlink"/>
          </w:rPr>
          <w:t>https://journals.sagepub.com/doi/10.1177/0022427810391539</w:t>
        </w:r>
      </w:hyperlink>
      <w:r w:rsidR="00B76B49">
        <w:t xml:space="preserve"> </w:t>
      </w:r>
      <w:r>
        <w:t xml:space="preserve">  </w:t>
      </w:r>
    </w:p>
    <w:p w14:paraId="70B53173" w14:textId="2D5CF08A" w:rsidR="00EC54E3" w:rsidRDefault="00EC54E3" w:rsidP="00EC54E3">
      <w:r>
        <w:t xml:space="preserve">Farrington, D. P. et al. (2017). Systematic reviews of the effectiveness of developmental prevention programs in reducing delinquency, aggression, and bullying. Aggress. Violent Behaviour., Vol 33, 91–106 </w:t>
      </w:r>
      <w:hyperlink r:id="rId22" w:history="1">
        <w:r w:rsidR="00B76B49" w:rsidRPr="007E5CD0">
          <w:rPr>
            <w:rStyle w:val="Hyperlink"/>
          </w:rPr>
          <w:t>https://www.sciencedirect.com/science/article/abs/pii/S1359178916301963?via%3Dihub</w:t>
        </w:r>
      </w:hyperlink>
      <w:r w:rsidR="00B76B49">
        <w:t xml:space="preserve"> </w:t>
      </w:r>
      <w:r>
        <w:t xml:space="preserve">  </w:t>
      </w:r>
    </w:p>
    <w:p w14:paraId="40BA2109" w14:textId="26729930" w:rsidR="00EC54E3" w:rsidRDefault="00EC54E3" w:rsidP="00EC54E3">
      <w:r>
        <w:t xml:space="preserve">House of Commons Library (2018). The Troubled Families programme (England). (Available on) </w:t>
      </w:r>
      <w:hyperlink r:id="rId23" w:history="1">
        <w:r w:rsidR="00B76B49" w:rsidRPr="007E5CD0">
          <w:rPr>
            <w:rStyle w:val="Hyperlink"/>
          </w:rPr>
          <w:t>https://commonslibrary.parliament.uk/research-briefings/cbp-7585/</w:t>
        </w:r>
      </w:hyperlink>
      <w:r w:rsidR="00B76B49">
        <w:t xml:space="preserve"> </w:t>
      </w:r>
    </w:p>
    <w:p w14:paraId="67D36241" w14:textId="35FDEE97" w:rsidR="00EC54E3" w:rsidRDefault="00EC54E3" w:rsidP="00EC54E3">
      <w:r>
        <w:t xml:space="preserve">Hughes, K. et al. (2017). The effect of multiple adverse childhood experiences. (Available on) </w:t>
      </w:r>
      <w:hyperlink r:id="rId24" w:history="1">
        <w:r w:rsidR="00B76B49" w:rsidRPr="007E5CD0">
          <w:rPr>
            <w:rStyle w:val="Hyperlink"/>
          </w:rPr>
          <w:t>https://www.thelancet.com/journals/lanpub/article/PIIS2468-2667(17)30118-4/fulltext</w:t>
        </w:r>
      </w:hyperlink>
      <w:r w:rsidR="00B76B49">
        <w:t xml:space="preserve"> </w:t>
      </w:r>
      <w:r>
        <w:t xml:space="preserve">  </w:t>
      </w:r>
    </w:p>
    <w:p w14:paraId="336D3FFD" w14:textId="1C3F8266" w:rsidR="00EC54E3" w:rsidRDefault="00EC54E3" w:rsidP="00EC54E3">
      <w:r>
        <w:t xml:space="preserve">King, B. (2018) Impact of a youth violence intervention in the emergency department of a London hospital. (Available on) </w:t>
      </w:r>
      <w:hyperlink r:id="rId25" w:history="1">
        <w:r w:rsidR="00B76B49" w:rsidRPr="007E5CD0">
          <w:rPr>
            <w:rStyle w:val="Hyperlink"/>
          </w:rPr>
          <w:t>https://ayph.org.uk/wp-content/uploads/2018/02/Impact-of-a-youth-violence-intervention-in-the-emergency-department-of-a-London-hospital-Brendan-King.pdf</w:t>
        </w:r>
      </w:hyperlink>
      <w:r w:rsidR="00B76B49">
        <w:t xml:space="preserve"> </w:t>
      </w:r>
      <w:r>
        <w:t xml:space="preserve"> </w:t>
      </w:r>
    </w:p>
    <w:p w14:paraId="013CA7BA" w14:textId="77777777" w:rsidR="00EC54E3" w:rsidRDefault="00EC54E3" w:rsidP="00EC54E3"/>
    <w:p w14:paraId="58629A34" w14:textId="24B34287" w:rsidR="00EC54E3" w:rsidRDefault="00EC54E3" w:rsidP="00EC54E3">
      <w:r>
        <w:t xml:space="preserve">Metropolitan Police Service (2018). DIVERT briefing note (Available on) </w:t>
      </w:r>
      <w:hyperlink r:id="rId26" w:history="1">
        <w:r w:rsidR="00B76B49" w:rsidRPr="007E5CD0">
          <w:rPr>
            <w:rStyle w:val="Hyperlink"/>
          </w:rPr>
          <w:t>https://www.criminalbar.com/wp-content/uploads/2018/05/180409075836-DIVERTBriefingNote.pdf</w:t>
        </w:r>
      </w:hyperlink>
      <w:r w:rsidR="00B76B49">
        <w:t xml:space="preserve"> </w:t>
      </w:r>
      <w:r>
        <w:t xml:space="preserve"> </w:t>
      </w:r>
    </w:p>
    <w:p w14:paraId="19D3DD6F" w14:textId="5804EC49" w:rsidR="00EC54E3" w:rsidRDefault="00EC54E3" w:rsidP="00EC54E3">
      <w:r>
        <w:t xml:space="preserve">Ministry of Housing, Communities and Local Government (2019). National evaluation of the Troubled Families Programme 2015 to 2020: Findings. (Available on) </w:t>
      </w:r>
      <w:hyperlink r:id="rId27" w:history="1">
        <w:r w:rsidR="00B76B49" w:rsidRPr="007E5CD0">
          <w:rPr>
            <w:rStyle w:val="Hyperlink"/>
          </w:rPr>
          <w:t>https://assets.publishing.service.gov.uk/government/uploads/system/uploads/attachment_data/file/786889/National_evaluation_of_the_Troubled_Families_Programme_2015_to_2020_evaluation_overview_policy_report.pdf</w:t>
        </w:r>
      </w:hyperlink>
      <w:r w:rsidR="00B76B49">
        <w:t xml:space="preserve">  </w:t>
      </w:r>
      <w:r>
        <w:t xml:space="preserve"> </w:t>
      </w:r>
    </w:p>
    <w:p w14:paraId="656E5F12" w14:textId="2F069128" w:rsidR="00EC54E3" w:rsidRDefault="00EC54E3" w:rsidP="00EC54E3">
      <w:r>
        <w:t xml:space="preserve">NPC Associates (2018). </w:t>
      </w:r>
      <w:proofErr w:type="spellStart"/>
      <w:r>
        <w:t>Redthread</w:t>
      </w:r>
      <w:proofErr w:type="spellEnd"/>
      <w:r>
        <w:t xml:space="preserve"> Youth Violence Intervention Project: St Mary’s Hospital. (Available on) </w:t>
      </w:r>
      <w:hyperlink r:id="rId28" w:history="1">
        <w:r w:rsidR="00B76B49" w:rsidRPr="007E5CD0">
          <w:rPr>
            <w:rStyle w:val="Hyperlink"/>
          </w:rPr>
          <w:t>https://www.redthread.org.uk/impact/</w:t>
        </w:r>
      </w:hyperlink>
      <w:r w:rsidR="00B76B49">
        <w:t xml:space="preserve"> </w:t>
      </w:r>
      <w:r>
        <w:t xml:space="preserve">   </w:t>
      </w:r>
    </w:p>
    <w:p w14:paraId="4400981C" w14:textId="29FB8260" w:rsidR="00EC54E3" w:rsidRDefault="00EC54E3" w:rsidP="00EC54E3">
      <w:r>
        <w:t xml:space="preserve">Parliament.uk. (2019) (Available on): </w:t>
      </w:r>
      <w:hyperlink r:id="rId29" w:history="1">
        <w:r w:rsidR="00B76B49" w:rsidRPr="007E5CD0">
          <w:rPr>
            <w:rStyle w:val="Hyperlink"/>
          </w:rPr>
          <w:t>https://researchbriefings.files.parliament.uk/documents/POST-PN-0599/POST-PN-0599.pdf</w:t>
        </w:r>
      </w:hyperlink>
      <w:r w:rsidR="00B76B49">
        <w:t xml:space="preserve"> </w:t>
      </w:r>
      <w:r>
        <w:t xml:space="preserve"> </w:t>
      </w:r>
    </w:p>
    <w:p w14:paraId="3670A4D9" w14:textId="2DF41E81" w:rsidR="00EC54E3" w:rsidRDefault="00EC54E3" w:rsidP="00EC54E3">
      <w:r>
        <w:t xml:space="preserve">Scott, J. et al. (2013). School meets street: Exploring the links between low achievement, school exclusion and youth crime among African-Caribbean boys in London. (Available on) </w:t>
      </w:r>
      <w:hyperlink r:id="rId30" w:history="1">
        <w:r w:rsidR="00B76B49" w:rsidRPr="007E5CD0">
          <w:rPr>
            <w:rStyle w:val="Hyperlink"/>
          </w:rPr>
          <w:t>https://www.iser.essex.ac.uk/research/publications/working-papers/iser/2013-25</w:t>
        </w:r>
      </w:hyperlink>
      <w:r w:rsidR="00B76B49">
        <w:t xml:space="preserve"> </w:t>
      </w:r>
      <w:r>
        <w:t xml:space="preserve">  </w:t>
      </w:r>
    </w:p>
    <w:p w14:paraId="76EA26E2" w14:textId="347E8390" w:rsidR="00EC54E3" w:rsidRDefault="00EC54E3" w:rsidP="00EC54E3">
      <w:r>
        <w:lastRenderedPageBreak/>
        <w:t>Thompson, A.K. (2021). How successful are early interventions in reducing violent crime? Revise</w:t>
      </w:r>
      <w:r w:rsidR="00B76B49">
        <w:t xml:space="preserve"> </w:t>
      </w:r>
      <w:r>
        <w:t xml:space="preserve">Sociology. (Available on): </w:t>
      </w:r>
      <w:hyperlink r:id="rId31" w:history="1">
        <w:r w:rsidR="00B76B49" w:rsidRPr="007E5CD0">
          <w:rPr>
            <w:rStyle w:val="Hyperlink"/>
          </w:rPr>
          <w:t>https://revisesociology.com/2021/05/26/how-successful-are-early-interventions-in-reducing-violent-crime/</w:t>
        </w:r>
      </w:hyperlink>
      <w:r w:rsidR="00B76B49">
        <w:t xml:space="preserve"> </w:t>
      </w:r>
      <w:r>
        <w:t xml:space="preserve"> </w:t>
      </w:r>
    </w:p>
    <w:p w14:paraId="4BFF2A0F" w14:textId="2841DF58" w:rsidR="00C26308" w:rsidRDefault="00EC54E3" w:rsidP="00EC54E3">
      <w:r>
        <w:t xml:space="preserve">Youth Justice Board (2019). Youth Justice Statistics Bulletin 2017/18. (Available on) </w:t>
      </w:r>
      <w:hyperlink r:id="rId32" w:history="1">
        <w:r w:rsidR="00B76B49" w:rsidRPr="007E5CD0">
          <w:rPr>
            <w:rStyle w:val="Hyperlink"/>
          </w:rPr>
          <w:t>https://www.gov.uk/government/statistics/youth-justice-statistics-2017-to-2018</w:t>
        </w:r>
      </w:hyperlink>
      <w:r w:rsidR="00B76B49">
        <w:t xml:space="preserve"> </w:t>
      </w:r>
      <w:r>
        <w:t xml:space="preserve">   </w:t>
      </w:r>
    </w:p>
    <w:sectPr w:rsidR="00C2630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54E3"/>
    <w:rsid w:val="00975AD2"/>
    <w:rsid w:val="00B76B49"/>
    <w:rsid w:val="00C26308"/>
    <w:rsid w:val="00EC54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AF4834"/>
  <w15:chartTrackingRefBased/>
  <w15:docId w15:val="{B3E95723-7B04-4892-AD42-B1F1E81A13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C54E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C54E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C54E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C54E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C54E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C54E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C54E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C54E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C54E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C54E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C54E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C54E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C54E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C54E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C54E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C54E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C54E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C54E3"/>
    <w:rPr>
      <w:rFonts w:eastAsiaTheme="majorEastAsia" w:cstheme="majorBidi"/>
      <w:color w:val="272727" w:themeColor="text1" w:themeTint="D8"/>
    </w:rPr>
  </w:style>
  <w:style w:type="paragraph" w:styleId="Title">
    <w:name w:val="Title"/>
    <w:basedOn w:val="Normal"/>
    <w:next w:val="Normal"/>
    <w:link w:val="TitleChar"/>
    <w:uiPriority w:val="10"/>
    <w:qFormat/>
    <w:rsid w:val="00EC54E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C54E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C54E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C54E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C54E3"/>
    <w:pPr>
      <w:spacing w:before="160"/>
      <w:jc w:val="center"/>
    </w:pPr>
    <w:rPr>
      <w:i/>
      <w:iCs/>
      <w:color w:val="404040" w:themeColor="text1" w:themeTint="BF"/>
    </w:rPr>
  </w:style>
  <w:style w:type="character" w:customStyle="1" w:styleId="QuoteChar">
    <w:name w:val="Quote Char"/>
    <w:basedOn w:val="DefaultParagraphFont"/>
    <w:link w:val="Quote"/>
    <w:uiPriority w:val="29"/>
    <w:rsid w:val="00EC54E3"/>
    <w:rPr>
      <w:i/>
      <w:iCs/>
      <w:color w:val="404040" w:themeColor="text1" w:themeTint="BF"/>
    </w:rPr>
  </w:style>
  <w:style w:type="paragraph" w:styleId="ListParagraph">
    <w:name w:val="List Paragraph"/>
    <w:basedOn w:val="Normal"/>
    <w:uiPriority w:val="34"/>
    <w:qFormat/>
    <w:rsid w:val="00EC54E3"/>
    <w:pPr>
      <w:ind w:left="720"/>
      <w:contextualSpacing/>
    </w:pPr>
  </w:style>
  <w:style w:type="character" w:styleId="IntenseEmphasis">
    <w:name w:val="Intense Emphasis"/>
    <w:basedOn w:val="DefaultParagraphFont"/>
    <w:uiPriority w:val="21"/>
    <w:qFormat/>
    <w:rsid w:val="00EC54E3"/>
    <w:rPr>
      <w:i/>
      <w:iCs/>
      <w:color w:val="0F4761" w:themeColor="accent1" w:themeShade="BF"/>
    </w:rPr>
  </w:style>
  <w:style w:type="paragraph" w:styleId="IntenseQuote">
    <w:name w:val="Intense Quote"/>
    <w:basedOn w:val="Normal"/>
    <w:next w:val="Normal"/>
    <w:link w:val="IntenseQuoteChar"/>
    <w:uiPriority w:val="30"/>
    <w:qFormat/>
    <w:rsid w:val="00EC54E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C54E3"/>
    <w:rPr>
      <w:i/>
      <w:iCs/>
      <w:color w:val="0F4761" w:themeColor="accent1" w:themeShade="BF"/>
    </w:rPr>
  </w:style>
  <w:style w:type="character" w:styleId="IntenseReference">
    <w:name w:val="Intense Reference"/>
    <w:basedOn w:val="DefaultParagraphFont"/>
    <w:uiPriority w:val="32"/>
    <w:qFormat/>
    <w:rsid w:val="00EC54E3"/>
    <w:rPr>
      <w:b/>
      <w:bCs/>
      <w:smallCaps/>
      <w:color w:val="0F4761" w:themeColor="accent1" w:themeShade="BF"/>
      <w:spacing w:val="5"/>
    </w:rPr>
  </w:style>
  <w:style w:type="character" w:styleId="Hyperlink">
    <w:name w:val="Hyperlink"/>
    <w:basedOn w:val="DefaultParagraphFont"/>
    <w:uiPriority w:val="99"/>
    <w:unhideWhenUsed/>
    <w:rsid w:val="00B76B49"/>
    <w:rPr>
      <w:color w:val="467886" w:themeColor="hyperlink"/>
      <w:u w:val="single"/>
    </w:rPr>
  </w:style>
  <w:style w:type="character" w:styleId="UnresolvedMention">
    <w:name w:val="Unresolved Mention"/>
    <w:basedOn w:val="DefaultParagraphFont"/>
    <w:uiPriority w:val="99"/>
    <w:semiHidden/>
    <w:unhideWhenUsed/>
    <w:rsid w:val="00B76B4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uk/government/publications/criminal-exploitation-of-children-and-vulnerable-adults-county-lines/criminal-exploitation-of-children-and-vulnerable-adults-county-lines" TargetMode="External"/><Relationship Id="rId18" Type="http://schemas.openxmlformats.org/officeDocument/2006/relationships/hyperlink" Target="https://www.childrenscommissioner.gov.uk/resource/mentoring/" TargetMode="External"/><Relationship Id="rId26" Type="http://schemas.openxmlformats.org/officeDocument/2006/relationships/hyperlink" Target="https://www.criminalbar.com/wp-content/uploads/2018/05/180409075836-DIVERTBriefingNote.pdf" TargetMode="External"/><Relationship Id="rId3" Type="http://schemas.openxmlformats.org/officeDocument/2006/relationships/webSettings" Target="webSettings.xml"/><Relationship Id="rId21" Type="http://schemas.openxmlformats.org/officeDocument/2006/relationships/hyperlink" Target="https://journals.sagepub.com/doi/10.1177/0022427810391539" TargetMode="External"/><Relationship Id="rId34" Type="http://schemas.openxmlformats.org/officeDocument/2006/relationships/theme" Target="theme/theme1.xml"/><Relationship Id="rId7" Type="http://schemas.openxmlformats.org/officeDocument/2006/relationships/hyperlink" Target="https://assets.publishing.service.gov.uk/media/5a7a2d65e5274a34770e4cb7/horr52-summary.pdf" TargetMode="External"/><Relationship Id="rId12" Type="http://schemas.openxmlformats.org/officeDocument/2006/relationships/hyperlink" Target="https://assets.publishing.service.gov.uk/government/uploads/system/uploads/attachment_data/file/408585/6_162_HO_SOC_PI_Guidance_Mar2015_v10_FINAL_270215_WEB__2_.pdf" TargetMode="External"/><Relationship Id="rId17" Type="http://schemas.openxmlformats.org/officeDocument/2006/relationships/hyperlink" Target="https://www.verywellmind.com/what-is-maslows-hierarchy-of-needs-4136760" TargetMode="External"/><Relationship Id="rId25" Type="http://schemas.openxmlformats.org/officeDocument/2006/relationships/hyperlink" Target="https://ayph.org.uk/wp-content/uploads/2018/02/Impact-of-a-youth-violence-intervention-in-the-emergency-department-of-a-London-hospital-Brendan-King.pdf" TargetMode="External"/><Relationship Id="rId33"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bmjopen.bmj.com/content/8/12/e020591" TargetMode="External"/><Relationship Id="rId20" Type="http://schemas.openxmlformats.org/officeDocument/2006/relationships/hyperlink" Target="https://www.eif.org.uk/report/realising-the-potential-of-early-intervention" TargetMode="External"/><Relationship Id="rId29" Type="http://schemas.openxmlformats.org/officeDocument/2006/relationships/hyperlink" Target="https://researchbriefings.files.parliament.uk/documents/POST-PN-0599/POST-PN-0599.pdf" TargetMode="External"/><Relationship Id="rId1" Type="http://schemas.openxmlformats.org/officeDocument/2006/relationships/styles" Target="styles.xml"/><Relationship Id="rId6" Type="http://schemas.openxmlformats.org/officeDocument/2006/relationships/hyperlink" Target="https://www.theguardian.com/uk-news/2019/feb/22/macpherson-report-what-was-it-and-what-impact-did-it-have" TargetMode="External"/><Relationship Id="rId11" Type="http://schemas.openxmlformats.org/officeDocument/2006/relationships/hyperlink" Target="https://phw.nhs.wales/news/rules-of-community-engagement-relinquish-your-power-so-that-communities-can-take-control/principles-of-community-engagement-for-empowerment/" TargetMode="External"/><Relationship Id="rId24" Type="http://schemas.openxmlformats.org/officeDocument/2006/relationships/hyperlink" Target="https://www.thelancet.com/journals/lanpub/article/PIIS2468-2667(17)30118-4/fulltext" TargetMode="External"/><Relationship Id="rId32" Type="http://schemas.openxmlformats.org/officeDocument/2006/relationships/hyperlink" Target="https://www.gov.uk/government/statistics/youth-justice-statistics-2017-to-2018" TargetMode="External"/><Relationship Id="rId5" Type="http://schemas.openxmlformats.org/officeDocument/2006/relationships/hyperlink" Target="https://assets.publishing.service.gov.uk/media/5a7c2af540f0b645ba3c7202/4262.pdf" TargetMode="External"/><Relationship Id="rId15" Type="http://schemas.openxmlformats.org/officeDocument/2006/relationships/hyperlink" Target="https://researchbriefings.files.parliament.uk/documents/LLN-2020-0016/LLN-2020-0016.pdf" TargetMode="External"/><Relationship Id="rId23" Type="http://schemas.openxmlformats.org/officeDocument/2006/relationships/hyperlink" Target="https://commonslibrary.parliament.uk/research-briefings/cbp-7585/" TargetMode="External"/><Relationship Id="rId28" Type="http://schemas.openxmlformats.org/officeDocument/2006/relationships/hyperlink" Target="https://www.redthread.org.uk/impact/" TargetMode="External"/><Relationship Id="rId10" Type="http://schemas.openxmlformats.org/officeDocument/2006/relationships/hyperlink" Target="https://diversity.social/cultural-competence/" TargetMode="External"/><Relationship Id="rId19" Type="http://schemas.openxmlformats.org/officeDocument/2006/relationships/hyperlink" Target="https://www.aeaweb.org/articles?id=10.1257/aer.101.5.2157" TargetMode="External"/><Relationship Id="rId31" Type="http://schemas.openxmlformats.org/officeDocument/2006/relationships/hyperlink" Target="https://revisesociology.com/2021/05/26/how-successful-are-early-interventions-in-reducing-violent-crime/" TargetMode="External"/><Relationship Id="rId4" Type="http://schemas.openxmlformats.org/officeDocument/2006/relationships/hyperlink" Target="https://www.calmsage.com/what-is-selective-perception/" TargetMode="External"/><Relationship Id="rId9" Type="http://schemas.openxmlformats.org/officeDocument/2006/relationships/hyperlink" Target="https://www.college.police.uk/guidance/neighbourhood-policing/engaging-communities" TargetMode="External"/><Relationship Id="rId14" Type="http://schemas.openxmlformats.org/officeDocument/2006/relationships/hyperlink" Target="https://nationalcrimeagency.gov.uk/who-we-are/publications/437-national-strategic-assessment-of-serious-and-organised-crime-2020/file" TargetMode="External"/><Relationship Id="rId22" Type="http://schemas.openxmlformats.org/officeDocument/2006/relationships/hyperlink" Target="https://www.sciencedirect.com/science/article/abs/pii/S1359178916301963?via%3Dihub" TargetMode="External"/><Relationship Id="rId27" Type="http://schemas.openxmlformats.org/officeDocument/2006/relationships/hyperlink" Target="https://assets.publishing.service.gov.uk/government/uploads/system/uploads/attachment_data/file/786889/National_evaluation_of_the_Troubled_Families_Programme_2015_to_2020_evaluation_overview_policy_report.pdf" TargetMode="External"/><Relationship Id="rId30" Type="http://schemas.openxmlformats.org/officeDocument/2006/relationships/hyperlink" Target="https://www.iser.essex.ac.uk/research/publications/working-papers/iser/2013-25" TargetMode="External"/><Relationship Id="rId8" Type="http://schemas.openxmlformats.org/officeDocument/2006/relationships/hyperlink" Target="https://www.college.police.uk/app/major-investigation-and-public-protection/hate-crime/partnership-work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14</Pages>
  <Words>6186</Words>
  <Characters>35265</Characters>
  <Application>Microsoft Office Word</Application>
  <DocSecurity>0</DocSecurity>
  <Lines>293</Lines>
  <Paragraphs>82</Paragraphs>
  <ScaleCrop>false</ScaleCrop>
  <Company/>
  <LinksUpToDate>false</LinksUpToDate>
  <CharactersWithSpaces>41369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Davies,Stacey swp8619</dc:creator>
  <cp:keywords/>
  <dc:description/>
  <cp:lastModifiedBy>Davies,Stacey swp8619</cp:lastModifiedBy>
  <cp:revision>2</cp:revision>
  <dcterms:created xsi:type="dcterms:W3CDTF">2024-05-14T15:00:00Z</dcterms:created>
  <dcterms:modified xsi:type="dcterms:W3CDTF">2024-05-15T12:16:00Z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2024-05-14T15:02:11Z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c37a5154-9d3b-41f0-b8f4-699697b4a388</vt:lpwstr>
  </property>
  <property fmtid="{D5CDD505-2E9C-101B-9397-08002B2CF9AE}" pid="8" name="MSIP_Label_66cf8fe5-b7b7-4df7-b38d-1c61ac2f6639_ContentBits">
    <vt:lpwstr>0</vt:lpwstr>
  </property>
</Properties>
</file>