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0865" w14:textId="452F9B28" w:rsidR="005D6FF7" w:rsidRDefault="00FF4EFE" w:rsidP="005D6FF7">
      <w:r w:rsidRPr="00516A86">
        <w:rPr>
          <w:i/>
          <w:iCs/>
        </w:rPr>
        <w:t>Troy</w:t>
      </w:r>
      <w:r>
        <w:t xml:space="preserve"> (2004)</w:t>
      </w:r>
      <w:r w:rsidR="00516A86">
        <w:t>,</w:t>
      </w:r>
      <w:r>
        <w:t xml:space="preserve"> directed by Wolfgang Peterson, written by David Benioff, and starring Brad Pitt, Orlando Bloom, Peter </w:t>
      </w:r>
      <w:proofErr w:type="gramStart"/>
      <w:r>
        <w:t>O’Toole</w:t>
      </w:r>
      <w:proofErr w:type="gramEnd"/>
      <w:r>
        <w:t xml:space="preserve"> and Sean Bean, tells a very impious yet still engaging, version of the Trojan War.</w:t>
      </w:r>
      <w:r w:rsidR="008E0CD4">
        <w:t xml:space="preserve"> </w:t>
      </w:r>
      <w:r w:rsidR="008E0CD4">
        <w:t>The film centres around the male characters and their actions, disregarding the women and blatantly excluding the divinities. Even Helen, the woman whose face set sail a thousand ships, only appears briefly within the film, and has few lines, appearing more to be a named extra than the cause of the Trojan War.</w:t>
      </w:r>
      <w:r w:rsidR="008E0CD4">
        <w:t xml:space="preserve"> </w:t>
      </w:r>
      <w:r>
        <w:t>At the end of the film, before the credits appear, it is declared that the film is “inspired by Homer’s ‘The Iliad’” which is easily apparent through the names of characters.</w:t>
      </w:r>
      <w:r w:rsidR="008E0CD4">
        <w:rPr>
          <w:rStyle w:val="FootnoteReference"/>
        </w:rPr>
        <w:footnoteReference w:id="1"/>
      </w:r>
      <w:r>
        <w:t xml:space="preserve"> However, with how much is missing or changed from the original work, it may as well be a different war, not the Trojan War. Benioff and Peterson were incredibly liberal with their creative freedom and while it gave them a commercial success, it was criticised for the “loose devotion to Homer’s original text” as quoted by Yohana Desta and further detailed by Carolyn Jess.</w:t>
      </w:r>
      <w:r>
        <w:rPr>
          <w:rStyle w:val="FootnoteReference"/>
        </w:rPr>
        <w:footnoteReference w:id="2"/>
      </w:r>
      <w:r w:rsidR="008E0CD4" w:rsidRPr="008E0CD4">
        <w:t xml:space="preserve"> </w:t>
      </w:r>
      <w:r w:rsidR="008E0CD4">
        <w:t xml:space="preserve">The women of </w:t>
      </w:r>
      <w:r w:rsidR="008E0CD4" w:rsidRPr="00970EFE">
        <w:rPr>
          <w:i/>
          <w:iCs/>
        </w:rPr>
        <w:t>Troy</w:t>
      </w:r>
      <w:r w:rsidR="008E0CD4">
        <w:t xml:space="preserve"> tend to be depicted first as sexual objects through the male gaze, but</w:t>
      </w:r>
      <w:r w:rsidR="006352DE">
        <w:t xml:space="preserve"> the characters of</w:t>
      </w:r>
      <w:r w:rsidR="008E0CD4">
        <w:t xml:space="preserve"> Helen, Andromache and Briseis each have a </w:t>
      </w:r>
      <w:r w:rsidR="007F037D">
        <w:t>scene or sequence of scenes</w:t>
      </w:r>
      <w:r w:rsidR="008E0CD4">
        <w:t xml:space="preserve"> where they can be classed as selfless or heroic. Thus, the feminist film theory will be used to explore the role of the women of </w:t>
      </w:r>
      <w:r w:rsidR="008E0CD4">
        <w:rPr>
          <w:i/>
          <w:iCs/>
        </w:rPr>
        <w:t>Troy</w:t>
      </w:r>
      <w:r w:rsidR="008E0CD4">
        <w:t>, whether they are sexual objects, selfless, heroic, or a mix</w:t>
      </w:r>
      <w:r w:rsidR="004069B8">
        <w:t>ture of them</w:t>
      </w:r>
      <w:r w:rsidR="008E0CD4">
        <w:t>.</w:t>
      </w:r>
    </w:p>
    <w:p w14:paraId="1283E429" w14:textId="7225B747" w:rsidR="005D6FF7" w:rsidRDefault="005D6FF7" w:rsidP="005D6FF7">
      <w:r>
        <w:tab/>
        <w:t>To start off, in an interview Peterson said that Nicole Kidman, the original interest for the role of Helen, “‘is great but she’s a movie star,’” leading the interviewer to divulge that Peterson wanted an unknown actress to play Helen, supposedly to “play on the mythical aspect of the character.”</w:t>
      </w:r>
      <w:r>
        <w:rPr>
          <w:rStyle w:val="FootnoteReference"/>
        </w:rPr>
        <w:footnoteReference w:id="3"/>
      </w:r>
      <w:r>
        <w:t xml:space="preserve"> While a newcomer might have been a good option for the mythical aspect, and for the fact that Helen appears rather little during the film compared to enormity of the Trojan War starting to get her back, casting Diane Kruger instead of a well-known actress, or even just a better-known actress, makes the film a bit more lacklustre. This is especially true when compared to the male line-up of Brad Pitt, Orlando Bloom, Sean Bean, Peter O’Toole, Eric Bana, and Brendon Gleeson. Right away this choice of cast emphasises the importance of the males within the film and signifying that the cast of women is not as important as the men. Helen’s face is supposed to be the one that sailed a thousand ships, and yet her character must settle with being played by a newcomer with very little experience instead of a more well-established actress. The Trojan War revolves around the action of Paris and Helen, although Paris’ line of “come with me” suggests that Helen was given a choice, one she had answered earlier when stating she was afraid of losing Paris, either by distance or by death (and as such was not as much a choice as a demand, for Paris knew Helen would follow him).</w:t>
      </w:r>
      <w:r>
        <w:rPr>
          <w:rStyle w:val="FootnoteReference"/>
        </w:rPr>
        <w:footnoteReference w:id="4"/>
      </w:r>
      <w:r>
        <w:t xml:space="preserve"> This action, whether by choice or not, is the film’s reason for the outbreak of the Trojan War, and the impact of such an important scene is lessened by the unknown Diane Kruger. One could easily accept a thousand ships being sailed for a Helen played by Angelina Jolie, Cameron </w:t>
      </w:r>
      <w:r>
        <w:t>Diaz,</w:t>
      </w:r>
      <w:r>
        <w:t xml:space="preserve"> or Nicole Kidman, but here the viewers would think ‘who is she’ when presented with Kruger and wonder why a more </w:t>
      </w:r>
      <w:r w:rsidR="004069B8">
        <w:t>experienced</w:t>
      </w:r>
      <w:r>
        <w:t xml:space="preserve"> actress was not chosen.</w:t>
      </w:r>
    </w:p>
    <w:p w14:paraId="12089C30" w14:textId="79953860" w:rsidR="003E5ABC" w:rsidRDefault="005D6FF7" w:rsidP="005D6FF7">
      <w:r>
        <w:tab/>
        <w:t xml:space="preserve">The main women within the film (Helen – Diane Kruger; Briseis – Rose Byrne; Andromache – Saffron Burrows) do not have a huge presence within the film, although the biggest of them all is surprisingly Briseis, not Helen who inadvertently started the war. The women are typically categorised in three areas, servants, wives, and sexual relief, stereotypical roles for women in films </w:t>
      </w:r>
      <w:r>
        <w:lastRenderedPageBreak/>
        <w:t>and often derogatory. This is clearly a view of women through the male gaze, as Mulvey discusses, and later states that women “signifies male desire” and that “traditionally, the woman displayed has functioned as erotic object for characters and as erotic object for the spectator.”</w:t>
      </w:r>
      <w:r>
        <w:rPr>
          <w:rStyle w:val="FootnoteReference"/>
        </w:rPr>
        <w:footnoteReference w:id="5"/>
      </w:r>
      <w:r>
        <w:t xml:space="preserve"> Within </w:t>
      </w:r>
      <w:r>
        <w:rPr>
          <w:i/>
          <w:iCs/>
        </w:rPr>
        <w:t>Troy</w:t>
      </w:r>
      <w:r>
        <w:t>, the sexualised women are erotic objects for both characters and spectators, for the naked women tend to appear</w:t>
      </w:r>
      <w:r w:rsidR="007F037D">
        <w:t xml:space="preserve"> in scenes</w:t>
      </w:r>
      <w:r>
        <w:t xml:space="preserve"> alongside naked men. Achilles with two nameless women at the start, Helen with Paris, and later Briseis with Achilles. </w:t>
      </w:r>
    </w:p>
    <w:p w14:paraId="68D4A7B9" w14:textId="3C259FA5" w:rsidR="005D6FF7" w:rsidRDefault="00711B5F" w:rsidP="003E5ABC">
      <w:pPr>
        <w:ind w:firstLine="720"/>
      </w:pPr>
      <w:r>
        <w:t xml:space="preserve">It is even more significant that Briseis becomes an erotic object, especially for Achilles, for </w:t>
      </w:r>
      <w:r w:rsidR="00717B0F">
        <w:t xml:space="preserve">in Briseis’ first scene, </w:t>
      </w:r>
      <w:r>
        <w:t>she was depicted wearing “virgin robes” and went to become an apostle at the temple to Apollo that Achilles desecrated.</w:t>
      </w:r>
      <w:r w:rsidRPr="00711B5F">
        <w:rPr>
          <w:rStyle w:val="FootnoteReference"/>
        </w:rPr>
        <w:t xml:space="preserve"> </w:t>
      </w:r>
      <w:r>
        <w:rPr>
          <w:rStyle w:val="FootnoteReference"/>
        </w:rPr>
        <w:footnoteReference w:id="6"/>
      </w:r>
      <w:r>
        <w:t xml:space="preserve"> Additionally, not only is Achilles the hero of her enemies who desecrated her temple, but </w:t>
      </w:r>
      <w:r w:rsidR="003F7990">
        <w:t>Briseis</w:t>
      </w:r>
      <w:r>
        <w:t xml:space="preserve"> attempts to kill him in his sleep (and at the end of the film actually kills Agamemnon), showing that Briseis has courage and the ability to look after herself</w:t>
      </w:r>
      <w:r>
        <w:t>.</w:t>
      </w:r>
      <w:r w:rsidR="003F7990">
        <w:rPr>
          <w:rStyle w:val="FootnoteReference"/>
        </w:rPr>
        <w:footnoteReference w:id="7"/>
      </w:r>
      <w:r>
        <w:t xml:space="preserve"> For Briseis to willingly become a bed-warmer for Achilles</w:t>
      </w:r>
      <w:r w:rsidR="00717B0F">
        <w:t>, especially in the same scene where she attempts to kill him,</w:t>
      </w:r>
      <w:r>
        <w:t xml:space="preserve"> is a contrast for how she is portrayed, despite being true to </w:t>
      </w:r>
      <w:r>
        <w:rPr>
          <w:i/>
          <w:iCs/>
        </w:rPr>
        <w:t>The Iliad</w:t>
      </w:r>
      <w:r>
        <w:t>.</w:t>
      </w:r>
      <w:r w:rsidR="005D6FF7">
        <w:t xml:space="preserve"> This act of Briseis’ firmly encapsulates the role of the women and the male gaze within the film, that the</w:t>
      </w:r>
      <w:r w:rsidR="00717B0F">
        <w:t>ir characters</w:t>
      </w:r>
      <w:r w:rsidR="005D6FF7">
        <w:t xml:space="preserve"> should be nothing more than an erotic object. While this attitude towards women likely would have been true at the time of the setting, the film being made in 2004 gave Benioff and Peterson chance to give the women bigger roles, especially considering their decision to remove the deities from the war when they have huge roles within the whole story of Homer’s Iliad. The film thus largely follows the old misogynistic way of thinking where a woman’s only virtue is her ability to be a wife and a mother, hence why the role of a mother in a film could be seen as derogatory or belittling of/to women despite it not truly being so. Additionally, all three of the main women have a heroic or selfless </w:t>
      </w:r>
      <w:r w:rsidR="006352DE">
        <w:t>scene or sequence of scenes</w:t>
      </w:r>
      <w:r w:rsidR="005D6FF7">
        <w:t>, whether th</w:t>
      </w:r>
      <w:r w:rsidR="006B0A20">
        <w:t>ey managed to succeed with their action or not</w:t>
      </w:r>
      <w:r w:rsidR="005D6FF7">
        <w:t>.</w:t>
      </w:r>
    </w:p>
    <w:p w14:paraId="41335234" w14:textId="14BCF7DA" w:rsidR="005D6FF7" w:rsidRDefault="005D6FF7" w:rsidP="005D6FF7">
      <w:r>
        <w:tab/>
        <w:t>For Andromache, instead of saving herself and her son with Hector and ensuring the continuation of the Trojan royal family, she saved as many citizens as she could through the secret passageway Hector had showed her.</w:t>
      </w:r>
      <w:r w:rsidR="006B0A20">
        <w:rPr>
          <w:rStyle w:val="FootnoteReference"/>
        </w:rPr>
        <w:footnoteReference w:id="8"/>
      </w:r>
      <w:r>
        <w:t xml:space="preserve"> Admittedly, saving the citizens is something her husband Hector had told her to do, but as he had been killed by Achilles almost two weeks prior,</w:t>
      </w:r>
      <w:r w:rsidR="00F04944">
        <w:t xml:space="preserve"> by modern standards</w:t>
      </w:r>
      <w:r>
        <w:t xml:space="preserve"> she was under no obligation to follow through with Hector’s wishes.</w:t>
      </w:r>
      <w:r w:rsidR="006B0A20">
        <w:rPr>
          <w:rStyle w:val="FootnoteReference"/>
        </w:rPr>
        <w:footnoteReference w:id="9"/>
      </w:r>
      <w:r>
        <w:t xml:space="preserve"> Andromache’s actions of saving as many civilians as possible could lead the Greeks towards the passageway through their determination to end the Trojans, essentially putting her and her baby’s lives on the line for the safety of the civilians. If </w:t>
      </w:r>
      <w:r w:rsidR="007F037D">
        <w:t xml:space="preserve">the sequence of long shot scenes of </w:t>
      </w:r>
      <w:r>
        <w:t xml:space="preserve">Andromache </w:t>
      </w:r>
      <w:r w:rsidR="00E2467B">
        <w:t xml:space="preserve">leading the citizens out of the hidden tunnel and </w:t>
      </w:r>
      <w:r>
        <w:t>putting her life on the line for the safety of the masses is not heroic, then neither Achilles nor Hector should be named as heroes for they both did the same thing</w:t>
      </w:r>
      <w:r w:rsidR="007F037D">
        <w:t xml:space="preserve"> in earlier scenes</w:t>
      </w:r>
      <w:r>
        <w:t xml:space="preserve">. </w:t>
      </w:r>
    </w:p>
    <w:p w14:paraId="1E2D9877" w14:textId="7B3D7778" w:rsidR="006B0A20" w:rsidRDefault="006B0A20" w:rsidP="006B0A20">
      <w:pPr>
        <w:ind w:firstLine="720"/>
      </w:pPr>
      <w:r>
        <w:t>Briseis appears to have Stockholm Syndrome for she falls in love with Achilles, the hero of her enemies who desecrated the temple to Apollo she served at and held her as prisoner. Briseis goes from attempting to kill Achilles to willingly sleeping with her captor</w:t>
      </w:r>
      <w:r w:rsidR="003C3FA5">
        <w:t xml:space="preserve"> within the same scene, taken as a mix of a long shot with shot/reverse shots of close-ups of the faces of Achilles and Briseis</w:t>
      </w:r>
      <w:r>
        <w:t xml:space="preserve">, disregarding the virgin robes she once wore. It appears Achilles also has taken a liking, at the very least, to Briseis, although often spurns her cries to spare her family, especially after her cousin Hector killed Achille’s cousin </w:t>
      </w:r>
      <w:proofErr w:type="spellStart"/>
      <w:r>
        <w:t>Patroklos</w:t>
      </w:r>
      <w:proofErr w:type="spellEnd"/>
      <w:r>
        <w:t xml:space="preserve">. Despite this, during the burning of the city of Troy, Briseis </w:t>
      </w:r>
      <w:r>
        <w:lastRenderedPageBreak/>
        <w:t>and Achilles</w:t>
      </w:r>
      <w:r w:rsidR="006352DE">
        <w:t>’ scenes show them</w:t>
      </w:r>
      <w:r>
        <w:t xml:space="preserve"> spend</w:t>
      </w:r>
      <w:r w:rsidR="006352DE">
        <w:t>ing</w:t>
      </w:r>
      <w:r>
        <w:t xml:space="preserve"> most of their time trying to find other</w:t>
      </w:r>
      <w:r w:rsidR="00DA0D26">
        <w:t>s</w:t>
      </w:r>
      <w:r>
        <w:t>, with Briseis even running toward the danger that the Trojan citizens run away from</w:t>
      </w:r>
      <w:r w:rsidR="005F5E52">
        <w:t xml:space="preserve"> and Achilles shouting Briseis’ name.</w:t>
      </w:r>
      <w:r>
        <w:rPr>
          <w:rStyle w:val="FootnoteReference"/>
        </w:rPr>
        <w:footnoteReference w:id="10"/>
      </w:r>
      <w:r>
        <w:t xml:space="preserve"> Briseis’ character truly sees the contrast of women; her functionality as an erotic object, her selflessness to save those she loves, and the ability to harm those who wish her harm.</w:t>
      </w:r>
    </w:p>
    <w:p w14:paraId="563EBDDC" w14:textId="7F6ABCF8" w:rsidR="006B0A20" w:rsidRDefault="006B0A20" w:rsidP="006B0A20">
      <w:r>
        <w:tab/>
        <w:t>Helen also shows two of those qualities (selflessness and being a sexual object), although in lesser quantities. She is first seen as an erotic object for both characters and spectators, like Paris, where they sleep together yet again while celebrations happen downstairs</w:t>
      </w:r>
      <w:r w:rsidR="004069B8">
        <w:t xml:space="preserve">, shown in consecutive shots </w:t>
      </w:r>
      <w:r w:rsidR="00717B0F">
        <w:t>and the continuity of time</w:t>
      </w:r>
      <w:r>
        <w:t xml:space="preserve">. In her selfless and potentially heroic </w:t>
      </w:r>
      <w:r w:rsidR="00E2467B">
        <w:t xml:space="preserve">sequence of </w:t>
      </w:r>
      <w:r w:rsidR="006352DE">
        <w:t>s</w:t>
      </w:r>
      <w:r w:rsidR="00E2467B">
        <w:t>hots</w:t>
      </w:r>
      <w:r>
        <w:t xml:space="preserve">, Helen attempts to give herself up to prevent the war going further, to be stopped by Paris’ brother Hector who made her understand that her selfless move would unfortunately not stop the war. Helen attempted to be a hero here, giving herself up to save the family who accepted her and took her in, but would have become a martyr instead because of Agamemnon’s ambition if Hector let her do as she chose. This reaffirms her statement </w:t>
      </w:r>
      <w:r w:rsidR="00E2467B">
        <w:t xml:space="preserve">in an </w:t>
      </w:r>
      <w:r>
        <w:t>earlier</w:t>
      </w:r>
      <w:r w:rsidR="00E2467B">
        <w:t xml:space="preserve"> scene</w:t>
      </w:r>
      <w:r>
        <w:t xml:space="preserve"> in the film, when she says “I’m not afraid of dying” to Paris when discussing the problem of Helen’s husband, Menelaus, in their relationship.</w:t>
      </w:r>
      <w:r>
        <w:rPr>
          <w:rStyle w:val="FootnoteReference"/>
        </w:rPr>
        <w:footnoteReference w:id="11"/>
      </w:r>
      <w:r>
        <w:t xml:space="preserve"> “He will kill us both” she says of Menelaus, but when coupled with her later statement that she’s not afraid of dying, it gives the perception that she cares more about Paris’ life than her own.</w:t>
      </w:r>
      <w:r>
        <w:rPr>
          <w:rStyle w:val="FootnoteReference"/>
        </w:rPr>
        <w:footnoteReference w:id="12"/>
      </w:r>
      <w:r>
        <w:t xml:space="preserve"> This shows when she attempts to give herself up to save Paris and the rest of the Trojans, even though King Priam of the Trojans had accepted her, and Paris had given her a new title of ‘Helen of Troy’ instead of ‘Helen of Sparta’.</w:t>
      </w:r>
    </w:p>
    <w:p w14:paraId="40067657" w14:textId="5F7BC31B" w:rsidR="006B0A20" w:rsidRDefault="006B0A20" w:rsidP="006B0A20">
      <w:pPr>
        <w:ind w:firstLine="720"/>
      </w:pPr>
      <w:r>
        <w:t>However, this then brings the problem of ownership into Helen’s name. Although she is not formally known as Helen, Menelaus’ wife, or even just as Menelaus’ wife (as Curl</w:t>
      </w:r>
      <w:r w:rsidR="00877E93">
        <w:t>e</w:t>
      </w:r>
      <w:r>
        <w:t xml:space="preserve">y’s Wife was named in </w:t>
      </w:r>
      <w:r>
        <w:rPr>
          <w:i/>
          <w:iCs/>
        </w:rPr>
        <w:t>Of Mice and Men</w:t>
      </w:r>
      <w:r>
        <w:t>),</w:t>
      </w:r>
      <w:r>
        <w:rPr>
          <w:rStyle w:val="FootnoteReference"/>
        </w:rPr>
        <w:footnoteReference w:id="13"/>
      </w:r>
      <w:r>
        <w:t xml:space="preserve"> she is still treated as an object. While calling Helen ‘of Troy’ instead of ‘of Sparta’ does give the feeling that she is welcomed and accepted in Troy, it also renounces her individuality and makes it seem that she </w:t>
      </w:r>
      <w:proofErr w:type="gramStart"/>
      <w:r>
        <w:t>has to</w:t>
      </w:r>
      <w:proofErr w:type="gramEnd"/>
      <w:r>
        <w:t xml:space="preserve"> be belonging to a place (and thus a man, for she leaves Menelaus in Sparta to be with Paris in Troy). It was not Helen’s choice to be called ‘Helen of Troy’,</w:t>
      </w:r>
      <w:r w:rsidRPr="00F750CA">
        <w:t xml:space="preserve"> </w:t>
      </w:r>
      <w:r>
        <w:t>(and one can assume it was also not her choice to be called ‘Helen of Sparta’) that was Paris’ decision to ‘correct’ his father</w:t>
      </w:r>
      <w:r w:rsidR="00E2467B">
        <w:t xml:space="preserve"> in the scene</w:t>
      </w:r>
      <w:r>
        <w:t xml:space="preserve"> whe</w:t>
      </w:r>
      <w:r w:rsidR="00E2467B">
        <w:t>re</w:t>
      </w:r>
      <w:r>
        <w:t xml:space="preserve"> Priam asks, “of Sparta?” when Helen is introduced to him.</w:t>
      </w:r>
      <w:r>
        <w:rPr>
          <w:rStyle w:val="FootnoteReference"/>
        </w:rPr>
        <w:footnoteReference w:id="14"/>
      </w:r>
      <w:r>
        <w:t xml:space="preserve"> It also reaffirms Paris’ ‘ownership’ of Helen, for in ancient Greece, most specifically Athens, most women had a </w:t>
      </w:r>
      <w:r>
        <w:rPr>
          <w:i/>
          <w:iCs/>
        </w:rPr>
        <w:t>kyrios</w:t>
      </w:r>
      <w:r>
        <w:t xml:space="preserve">, or a guardian (usually a father or a husband, but always the closest living </w:t>
      </w:r>
      <w:r w:rsidRPr="00B656B3">
        <w:rPr>
          <w:b/>
          <w:bCs/>
        </w:rPr>
        <w:t xml:space="preserve">male </w:t>
      </w:r>
      <w:r>
        <w:t xml:space="preserve">relative). Helen left her husband Menelaus for Paris, and with Paris’ renaming of Helen along with Priam’s acceptance of her, Menelaus’ death and Paris’ survival, it can be assumed that Paris and Helen would be wed and thus legally Paris would become Helen’s </w:t>
      </w:r>
      <w:r>
        <w:rPr>
          <w:i/>
          <w:iCs/>
        </w:rPr>
        <w:t>kyrios</w:t>
      </w:r>
      <w:r>
        <w:t xml:space="preserve">, if Troy has/had such a custom. </w:t>
      </w:r>
      <w:r w:rsidR="00570B12">
        <w:t>W</w:t>
      </w:r>
      <w:r>
        <w:t xml:space="preserve">hile Helen’s treatment would likely be commonplace for the setting of the film, Peterson and Benioff could have made their Helen more independent and less reliant on men </w:t>
      </w:r>
      <w:r w:rsidR="00570B12">
        <w:t>considering</w:t>
      </w:r>
      <w:r>
        <w:t xml:space="preserve"> how many other changes were made in the film.</w:t>
      </w:r>
    </w:p>
    <w:p w14:paraId="32312016" w14:textId="061859BE" w:rsidR="00FF4EFE" w:rsidRDefault="006B0A20" w:rsidP="00321504">
      <w:pPr>
        <w:ind w:firstLine="720"/>
      </w:pPr>
      <w:r>
        <w:t xml:space="preserve">Thus, the role of the women in </w:t>
      </w:r>
      <w:r>
        <w:rPr>
          <w:i/>
          <w:iCs/>
        </w:rPr>
        <w:t>Troy</w:t>
      </w:r>
      <w:r>
        <w:t xml:space="preserve"> is not completely set in stone. They are overtly shown off as erotic objects, yet subtly shown as heroes and selfless, as if trying to hide that aspect of the women. This may be in part due to how little the women appear on the screen, not wanting the film to appear too much in the male gaze with misogyny and sexism. But </w:t>
      </w:r>
      <w:r>
        <w:rPr>
          <w:i/>
          <w:iCs/>
        </w:rPr>
        <w:t>Troy</w:t>
      </w:r>
      <w:r>
        <w:t xml:space="preserve"> appears to also be unwilling to solely present the women as selfless and heroes due to the original material of </w:t>
      </w:r>
      <w:r>
        <w:rPr>
          <w:i/>
          <w:iCs/>
        </w:rPr>
        <w:t>The Iliad</w:t>
      </w:r>
      <w:r>
        <w:t xml:space="preserve">. As such, the characters in Peterson and Benioff’s </w:t>
      </w:r>
      <w:r>
        <w:rPr>
          <w:i/>
          <w:iCs/>
        </w:rPr>
        <w:t>Troy</w:t>
      </w:r>
      <w:r>
        <w:t xml:space="preserve"> can be suggested to be as ambiguous as who </w:t>
      </w:r>
      <w:r>
        <w:lastRenderedPageBreak/>
        <w:t xml:space="preserve">Peterson and Benioff want the viewers to cheer for. In conclusion, </w:t>
      </w:r>
      <w:r w:rsidR="00882070">
        <w:t>withdrawing</w:t>
      </w:r>
      <w:r>
        <w:t xml:space="preserve"> away from women in </w:t>
      </w:r>
      <w:r>
        <w:rPr>
          <w:i/>
          <w:iCs/>
        </w:rPr>
        <w:t>Troy</w:t>
      </w:r>
      <w:r>
        <w:t xml:space="preserve"> serves to protect both the original material of </w:t>
      </w:r>
      <w:r>
        <w:rPr>
          <w:i/>
          <w:iCs/>
        </w:rPr>
        <w:t>The Iliad</w:t>
      </w:r>
      <w:r>
        <w:t xml:space="preserve"> and its inherent misogyny and the integrity of women and their slightly more feministic and selfless roles. This blend of misogyny and feminism would not be as easily possible if </w:t>
      </w:r>
      <w:r>
        <w:rPr>
          <w:i/>
          <w:iCs/>
        </w:rPr>
        <w:t>Troy</w:t>
      </w:r>
      <w:r>
        <w:t xml:space="preserve"> were not such a masculine and androcentric film.</w:t>
      </w:r>
    </w:p>
    <w:p w14:paraId="79382127" w14:textId="77777777" w:rsidR="00615EBF" w:rsidRDefault="00615EBF" w:rsidP="00615EBF">
      <w:pPr>
        <w:pStyle w:val="Title"/>
      </w:pPr>
    </w:p>
    <w:p w14:paraId="0D8103AD" w14:textId="4B8CF24C" w:rsidR="00615EBF" w:rsidRDefault="00615EBF" w:rsidP="00615EBF">
      <w:pPr>
        <w:pStyle w:val="Title"/>
      </w:pPr>
      <w:r>
        <w:t>Bibliography</w:t>
      </w:r>
    </w:p>
    <w:p w14:paraId="2976C1D1" w14:textId="77777777" w:rsidR="00615EBF" w:rsidRDefault="00615EBF" w:rsidP="00615EBF">
      <w:pPr>
        <w:pStyle w:val="Heading1"/>
      </w:pPr>
      <w:r>
        <w:t>Classical</w:t>
      </w:r>
    </w:p>
    <w:p w14:paraId="4BF62AB8" w14:textId="77777777" w:rsidR="00615EBF" w:rsidRPr="00331F4B" w:rsidRDefault="00615EBF" w:rsidP="00615EBF">
      <w:pPr>
        <w:pStyle w:val="ListParagraph"/>
        <w:numPr>
          <w:ilvl w:val="0"/>
          <w:numId w:val="1"/>
        </w:numPr>
      </w:pPr>
      <w:r>
        <w:t xml:space="preserve">Homer </w:t>
      </w:r>
      <w:r>
        <w:rPr>
          <w:i/>
          <w:iCs/>
        </w:rPr>
        <w:t>The Iliad</w:t>
      </w:r>
      <w:r>
        <w:t>, A.T., Murray, (trans), 1924, Cambridge, MA: Harvard University Press</w:t>
      </w:r>
    </w:p>
    <w:p w14:paraId="3DD1ACBC" w14:textId="77777777" w:rsidR="00615EBF" w:rsidRDefault="00615EBF" w:rsidP="00615EBF">
      <w:pPr>
        <w:pStyle w:val="Heading1"/>
      </w:pPr>
      <w:r>
        <w:t>Modern</w:t>
      </w:r>
    </w:p>
    <w:p w14:paraId="2206E3C6" w14:textId="77777777" w:rsidR="00570B12" w:rsidRDefault="00570B12" w:rsidP="00615EBF">
      <w:pPr>
        <w:pStyle w:val="ListParagraph"/>
        <w:numPr>
          <w:ilvl w:val="0"/>
          <w:numId w:val="1"/>
        </w:numPr>
        <w:spacing w:line="276" w:lineRule="auto"/>
      </w:pPr>
      <w:r>
        <w:t xml:space="preserve">Bassett, S.E., (1933), ‘Achilles’ Treatment of Hector’s Body’ in </w:t>
      </w:r>
      <w:r>
        <w:rPr>
          <w:i/>
          <w:iCs/>
        </w:rPr>
        <w:t>Transactions and Proceedings of the American Philological Association</w:t>
      </w:r>
      <w:r>
        <w:t>, vol 64, pp 41-65</w:t>
      </w:r>
    </w:p>
    <w:p w14:paraId="7D5CF92B" w14:textId="77777777" w:rsidR="00570B12" w:rsidRDefault="00570B12" w:rsidP="00615EBF">
      <w:pPr>
        <w:pStyle w:val="ListParagraph"/>
        <w:numPr>
          <w:ilvl w:val="0"/>
          <w:numId w:val="1"/>
        </w:numPr>
        <w:spacing w:line="276" w:lineRule="auto"/>
      </w:pPr>
      <w:r>
        <w:t xml:space="preserve">Butler, J., (1999), ‘Gender is Burning: Questions of Appropriation and Subversion’ in </w:t>
      </w:r>
      <w:r>
        <w:rPr>
          <w:i/>
          <w:iCs/>
        </w:rPr>
        <w:t>Feminist Film Theory: A Reader</w:t>
      </w:r>
      <w:r>
        <w:t xml:space="preserve">, Sue </w:t>
      </w:r>
      <w:proofErr w:type="spellStart"/>
      <w:r>
        <w:t>Thornham</w:t>
      </w:r>
      <w:proofErr w:type="spellEnd"/>
      <w:r>
        <w:t xml:space="preserve"> (ed), Edinburgh University Press pp336-352</w:t>
      </w:r>
    </w:p>
    <w:p w14:paraId="72CFE971" w14:textId="77777777" w:rsidR="00570B12" w:rsidRDefault="00570B12" w:rsidP="00615EBF">
      <w:pPr>
        <w:pStyle w:val="ListParagraph"/>
        <w:numPr>
          <w:ilvl w:val="0"/>
          <w:numId w:val="1"/>
        </w:numPr>
        <w:spacing w:line="276" w:lineRule="auto"/>
      </w:pPr>
      <w:r>
        <w:t xml:space="preserve">Citron, M., Lesage, J., Mayne, J., Rich, B.R., and Taylor, A.M., (1999), ‘Women and Film: A Discussion of Feminist Aesthetics’ in </w:t>
      </w:r>
      <w:r>
        <w:rPr>
          <w:i/>
          <w:iCs/>
        </w:rPr>
        <w:t>Feminist Film Theory: A Reader</w:t>
      </w:r>
      <w:r>
        <w:t xml:space="preserve">, Sue </w:t>
      </w:r>
      <w:proofErr w:type="spellStart"/>
      <w:r>
        <w:t>Thornham</w:t>
      </w:r>
      <w:proofErr w:type="spellEnd"/>
      <w:r>
        <w:t xml:space="preserve"> (ed), Edinburgh University Press pp115-121</w:t>
      </w:r>
    </w:p>
    <w:p w14:paraId="2D3B99F3" w14:textId="77777777" w:rsidR="00570B12" w:rsidRDefault="00570B12" w:rsidP="00615EBF">
      <w:pPr>
        <w:pStyle w:val="ListParagraph"/>
        <w:numPr>
          <w:ilvl w:val="0"/>
          <w:numId w:val="1"/>
        </w:numPr>
        <w:spacing w:line="276" w:lineRule="auto"/>
      </w:pPr>
      <w:r>
        <w:t xml:space="preserve">Clarke, W.M., (1978), ‘Achilles and Patroclus in Love’, in </w:t>
      </w:r>
      <w:r>
        <w:rPr>
          <w:i/>
          <w:iCs/>
        </w:rPr>
        <w:t>Hermes</w:t>
      </w:r>
      <w:r>
        <w:t>, 106 Bd, H 3 (vol 106/issue 3?) pp381-396</w:t>
      </w:r>
    </w:p>
    <w:p w14:paraId="628DC988" w14:textId="77777777" w:rsidR="00570B12" w:rsidRDefault="00570B12" w:rsidP="00615EBF">
      <w:pPr>
        <w:pStyle w:val="ListParagraph"/>
        <w:numPr>
          <w:ilvl w:val="0"/>
          <w:numId w:val="1"/>
        </w:numPr>
        <w:spacing w:line="276" w:lineRule="auto"/>
      </w:pPr>
      <w:r>
        <w:t xml:space="preserve">Freeland, C., (2006), ‘Evaluating Film’ in </w:t>
      </w:r>
      <w:r>
        <w:rPr>
          <w:i/>
          <w:iCs/>
        </w:rPr>
        <w:t>Film Studies</w:t>
      </w:r>
      <w:r>
        <w:t>, Issue 8, pp154-160</w:t>
      </w:r>
    </w:p>
    <w:p w14:paraId="74794078" w14:textId="77777777" w:rsidR="00570B12" w:rsidRDefault="00570B12" w:rsidP="00615EBF">
      <w:pPr>
        <w:pStyle w:val="ListParagraph"/>
        <w:numPr>
          <w:ilvl w:val="0"/>
          <w:numId w:val="1"/>
        </w:numPr>
        <w:spacing w:line="276" w:lineRule="auto"/>
      </w:pPr>
      <w:r>
        <w:t xml:space="preserve">Gaines, J., (1999), ‘While Privilege and Looking Relations: Race and Gender in Feminist Film Theory’ in </w:t>
      </w:r>
      <w:r>
        <w:rPr>
          <w:i/>
          <w:iCs/>
        </w:rPr>
        <w:t>Feminist Film Theory: A Reader</w:t>
      </w:r>
      <w:r>
        <w:t xml:space="preserve">, Sue </w:t>
      </w:r>
      <w:proofErr w:type="spellStart"/>
      <w:r>
        <w:t>Thornham</w:t>
      </w:r>
      <w:proofErr w:type="spellEnd"/>
      <w:r>
        <w:t xml:space="preserve"> (ed), Edinburgh University Press pp293-306</w:t>
      </w:r>
    </w:p>
    <w:p w14:paraId="6AAB222B" w14:textId="77777777" w:rsidR="00570B12" w:rsidRDefault="00570B12" w:rsidP="00615EBF">
      <w:pPr>
        <w:pStyle w:val="ListParagraph"/>
        <w:numPr>
          <w:ilvl w:val="0"/>
          <w:numId w:val="1"/>
        </w:numPr>
        <w:spacing w:line="276" w:lineRule="auto"/>
      </w:pPr>
      <w:r>
        <w:t xml:space="preserve">Jess, C., (2005), ‘Achilles vs Jason (and the Argonauts): Review of Troy (Peterson, 2004)’, in </w:t>
      </w:r>
      <w:r>
        <w:rPr>
          <w:i/>
          <w:iCs/>
        </w:rPr>
        <w:t>Literature/Film Quarterly</w:t>
      </w:r>
      <w:r>
        <w:t>, vol 33, issue 1, pp79-80</w:t>
      </w:r>
    </w:p>
    <w:p w14:paraId="424ABF16" w14:textId="77777777" w:rsidR="00570B12" w:rsidRPr="00331F4B" w:rsidRDefault="00570B12" w:rsidP="00615EBF">
      <w:pPr>
        <w:pStyle w:val="ListParagraph"/>
        <w:numPr>
          <w:ilvl w:val="0"/>
          <w:numId w:val="1"/>
        </w:numPr>
        <w:spacing w:line="276" w:lineRule="auto"/>
      </w:pPr>
      <w:proofErr w:type="spellStart"/>
      <w:r>
        <w:t>Kleu</w:t>
      </w:r>
      <w:proofErr w:type="spellEnd"/>
      <w:r>
        <w:t xml:space="preserve">, M., and </w:t>
      </w:r>
      <w:proofErr w:type="spellStart"/>
      <w:r>
        <w:t>Proch</w:t>
      </w:r>
      <w:proofErr w:type="spellEnd"/>
      <w:r>
        <w:t xml:space="preserve">, C., (2013) ‘Models of Masculinities in </w:t>
      </w:r>
      <w:r>
        <w:rPr>
          <w:i/>
          <w:iCs/>
        </w:rPr>
        <w:t>Troy</w:t>
      </w:r>
      <w:r>
        <w:t xml:space="preserve">: </w:t>
      </w:r>
      <w:proofErr w:type="spellStart"/>
      <w:r>
        <w:t>Achillies</w:t>
      </w:r>
      <w:proofErr w:type="spellEnd"/>
      <w:r>
        <w:t xml:space="preserve">, Hector and Their Female Partners’ in </w:t>
      </w:r>
      <w:r>
        <w:rPr>
          <w:i/>
          <w:iCs/>
        </w:rPr>
        <w:t>Ancient Worlds in Film and Television</w:t>
      </w:r>
      <w:r>
        <w:t xml:space="preserve">, </w:t>
      </w:r>
      <w:proofErr w:type="spellStart"/>
      <w:r>
        <w:t>Renger</w:t>
      </w:r>
      <w:proofErr w:type="spellEnd"/>
      <w:r>
        <w:t>, A.-B., and Solomon, J., (eds) pp175-194</w:t>
      </w:r>
    </w:p>
    <w:p w14:paraId="4891854F" w14:textId="77777777" w:rsidR="00570B12" w:rsidRPr="00331F4B" w:rsidRDefault="00570B12" w:rsidP="00615EBF">
      <w:pPr>
        <w:pStyle w:val="ListParagraph"/>
        <w:numPr>
          <w:ilvl w:val="0"/>
          <w:numId w:val="1"/>
        </w:numPr>
        <w:spacing w:line="276" w:lineRule="auto"/>
      </w:pPr>
      <w:proofErr w:type="spellStart"/>
      <w:r>
        <w:t>Krass</w:t>
      </w:r>
      <w:proofErr w:type="spellEnd"/>
      <w:r>
        <w:t xml:space="preserve">, A., (2013)’Over His Dead Body: Male Friendship in Homer’s </w:t>
      </w:r>
      <w:r>
        <w:rPr>
          <w:i/>
          <w:iCs/>
        </w:rPr>
        <w:t>Iliad</w:t>
      </w:r>
      <w:r>
        <w:t xml:space="preserve"> and Wolfgang Peterson’s </w:t>
      </w:r>
      <w:r>
        <w:rPr>
          <w:i/>
          <w:iCs/>
        </w:rPr>
        <w:t>Troy</w:t>
      </w:r>
      <w:r>
        <w:t>’ in</w:t>
      </w:r>
      <w:r>
        <w:rPr>
          <w:i/>
          <w:iCs/>
        </w:rPr>
        <w:t xml:space="preserve"> Ancient Worlds in Film and Television</w:t>
      </w:r>
      <w:r>
        <w:t xml:space="preserve">, </w:t>
      </w:r>
      <w:proofErr w:type="spellStart"/>
      <w:r>
        <w:t>Renger</w:t>
      </w:r>
      <w:proofErr w:type="spellEnd"/>
      <w:r>
        <w:t>, A.-B., and Solomon, J., (eds) pp153-174</w:t>
      </w:r>
    </w:p>
    <w:p w14:paraId="11B40B22" w14:textId="77777777" w:rsidR="00570B12" w:rsidRDefault="00570B12" w:rsidP="00615EBF">
      <w:pPr>
        <w:pStyle w:val="ListParagraph"/>
        <w:numPr>
          <w:ilvl w:val="0"/>
          <w:numId w:val="1"/>
        </w:numPr>
        <w:spacing w:line="276" w:lineRule="auto"/>
      </w:pPr>
      <w:r>
        <w:t xml:space="preserve">Laguna-Mariscal, G., and Sanz-Morales, M., (2003), ‘The Relationship between Achilles and Patroclus according to Chariton of </w:t>
      </w:r>
      <w:proofErr w:type="spellStart"/>
      <w:r>
        <w:t>Aphrodisias</w:t>
      </w:r>
      <w:proofErr w:type="spellEnd"/>
      <w:r>
        <w:t xml:space="preserve">’, in </w:t>
      </w:r>
      <w:r>
        <w:rPr>
          <w:i/>
          <w:iCs/>
        </w:rPr>
        <w:t>The Classical Quarterly</w:t>
      </w:r>
      <w:r>
        <w:t>, vol 53, issue 1, pp 292-295</w:t>
      </w:r>
    </w:p>
    <w:p w14:paraId="431BCC40" w14:textId="77777777" w:rsidR="00570B12" w:rsidRDefault="00570B12" w:rsidP="00615EBF">
      <w:pPr>
        <w:pStyle w:val="ListParagraph"/>
        <w:numPr>
          <w:ilvl w:val="0"/>
          <w:numId w:val="1"/>
        </w:numPr>
        <w:spacing w:line="276" w:lineRule="auto"/>
      </w:pPr>
      <w:r>
        <w:t xml:space="preserve">Laguna-Mariscal, G., and Sanz-Morales, M., (2005), ‘Was the Relationship between Achilles and Patroclus Homoerotic? The View of Apollonius </w:t>
      </w:r>
      <w:proofErr w:type="spellStart"/>
      <w:r>
        <w:t>Rhodius</w:t>
      </w:r>
      <w:proofErr w:type="spellEnd"/>
      <w:r>
        <w:t xml:space="preserve">’ in </w:t>
      </w:r>
      <w:r>
        <w:rPr>
          <w:i/>
          <w:iCs/>
        </w:rPr>
        <w:t>Hermes</w:t>
      </w:r>
      <w:r>
        <w:t xml:space="preserve">, 133 </w:t>
      </w:r>
      <w:proofErr w:type="spellStart"/>
      <w:r>
        <w:t>Jahrg</w:t>
      </w:r>
      <w:proofErr w:type="spellEnd"/>
      <w:r>
        <w:t>, H 1 (vol 133, issue 1?) pp120-123</w:t>
      </w:r>
    </w:p>
    <w:p w14:paraId="1C77963C" w14:textId="77777777" w:rsidR="00570B12" w:rsidRDefault="00570B12" w:rsidP="00615EBF">
      <w:pPr>
        <w:pStyle w:val="ListParagraph"/>
        <w:numPr>
          <w:ilvl w:val="0"/>
          <w:numId w:val="1"/>
        </w:numPr>
        <w:spacing w:line="276" w:lineRule="auto"/>
      </w:pPr>
      <w:proofErr w:type="spellStart"/>
      <w:r>
        <w:t>Modleski</w:t>
      </w:r>
      <w:proofErr w:type="spellEnd"/>
      <w:r>
        <w:t xml:space="preserve">, T., (1999), ‘Cinema and the Dark Continent: Race and Gender in Popular Film’ in </w:t>
      </w:r>
      <w:r>
        <w:rPr>
          <w:i/>
          <w:iCs/>
        </w:rPr>
        <w:t>Feminist Film Theory: A Reader</w:t>
      </w:r>
      <w:r>
        <w:t xml:space="preserve">, Sue </w:t>
      </w:r>
      <w:proofErr w:type="spellStart"/>
      <w:r>
        <w:t>Thornham</w:t>
      </w:r>
      <w:proofErr w:type="spellEnd"/>
      <w:r>
        <w:t xml:space="preserve"> (ed), Edinburgh University Press pp321-335</w:t>
      </w:r>
    </w:p>
    <w:p w14:paraId="32CB2D40" w14:textId="77777777" w:rsidR="00570B12" w:rsidRDefault="00570B12" w:rsidP="00615EBF">
      <w:pPr>
        <w:pStyle w:val="ListParagraph"/>
        <w:numPr>
          <w:ilvl w:val="0"/>
          <w:numId w:val="1"/>
        </w:numPr>
        <w:spacing w:line="276" w:lineRule="auto"/>
      </w:pPr>
      <w:r>
        <w:lastRenderedPageBreak/>
        <w:t xml:space="preserve">Mulvey, L., (1999), ‘Visual Pleasure and Narrative Cinema’ in </w:t>
      </w:r>
      <w:r>
        <w:rPr>
          <w:i/>
          <w:iCs/>
        </w:rPr>
        <w:t>Feminist Film Theory: A Reader</w:t>
      </w:r>
      <w:r>
        <w:t xml:space="preserve">, Sue </w:t>
      </w:r>
      <w:proofErr w:type="spellStart"/>
      <w:r>
        <w:t>Thornham</w:t>
      </w:r>
      <w:proofErr w:type="spellEnd"/>
      <w:r>
        <w:t xml:space="preserve"> (ed), Edinburgh University Press, pp58-69</w:t>
      </w:r>
    </w:p>
    <w:p w14:paraId="3793C598" w14:textId="77777777" w:rsidR="00570B12" w:rsidRDefault="00570B12" w:rsidP="00615EBF">
      <w:pPr>
        <w:pStyle w:val="ListParagraph"/>
        <w:numPr>
          <w:ilvl w:val="0"/>
          <w:numId w:val="1"/>
        </w:numPr>
        <w:spacing w:line="276" w:lineRule="auto"/>
      </w:pPr>
      <w:r>
        <w:t xml:space="preserve">Stacey, J., (1999), ‘Feminine Fascinations: Forms of identification in Star-Audience Relations’ in </w:t>
      </w:r>
      <w:r>
        <w:rPr>
          <w:i/>
          <w:iCs/>
        </w:rPr>
        <w:t>Feminist Film Theory: A Reader</w:t>
      </w:r>
      <w:r>
        <w:t xml:space="preserve">, Sue </w:t>
      </w:r>
      <w:proofErr w:type="spellStart"/>
      <w:r>
        <w:t>Thornham</w:t>
      </w:r>
      <w:proofErr w:type="spellEnd"/>
      <w:r>
        <w:t xml:space="preserve"> (ed), Edinburgh University Press pp196-209</w:t>
      </w:r>
    </w:p>
    <w:p w14:paraId="3B102DCA" w14:textId="77777777" w:rsidR="00570B12" w:rsidRDefault="00570B12" w:rsidP="00615EBF">
      <w:pPr>
        <w:pStyle w:val="ListParagraph"/>
        <w:numPr>
          <w:ilvl w:val="0"/>
          <w:numId w:val="1"/>
        </w:numPr>
        <w:spacing w:line="276" w:lineRule="auto"/>
      </w:pPr>
      <w:r>
        <w:t xml:space="preserve">Steinbeck, J., (1965), </w:t>
      </w:r>
      <w:r>
        <w:rPr>
          <w:i/>
          <w:iCs/>
        </w:rPr>
        <w:t>Of Mice and Men</w:t>
      </w:r>
      <w:r>
        <w:t>, New York: Penguin Books</w:t>
      </w:r>
    </w:p>
    <w:p w14:paraId="76B9627D" w14:textId="77777777" w:rsidR="00570B12" w:rsidRDefault="00570B12" w:rsidP="00615EBF">
      <w:pPr>
        <w:pStyle w:val="ListParagraph"/>
        <w:numPr>
          <w:ilvl w:val="0"/>
          <w:numId w:val="1"/>
        </w:numPr>
        <w:spacing w:line="276" w:lineRule="auto"/>
      </w:pPr>
      <w:r>
        <w:t xml:space="preserve">Walkerdine, V., (1999), ‘Video Replay: Families, Films and Fantasy’ in </w:t>
      </w:r>
      <w:r>
        <w:rPr>
          <w:i/>
          <w:iCs/>
        </w:rPr>
        <w:t>Feminist Film Theory: A Reader</w:t>
      </w:r>
      <w:r>
        <w:t xml:space="preserve">, Sue </w:t>
      </w:r>
      <w:proofErr w:type="spellStart"/>
      <w:r>
        <w:t>Thornham</w:t>
      </w:r>
      <w:proofErr w:type="spellEnd"/>
      <w:r>
        <w:t xml:space="preserve"> (ed), Edinburgh University Press pp180-195</w:t>
      </w:r>
    </w:p>
    <w:p w14:paraId="410459E2" w14:textId="77777777" w:rsidR="00570B12" w:rsidRDefault="00570B12" w:rsidP="00615EBF">
      <w:pPr>
        <w:pStyle w:val="ListParagraph"/>
        <w:numPr>
          <w:ilvl w:val="0"/>
          <w:numId w:val="1"/>
        </w:numPr>
        <w:spacing w:line="276" w:lineRule="auto"/>
      </w:pPr>
      <w:r>
        <w:t xml:space="preserve">Williams, L., (1999), ‘Film Bodies: Gender, Genre and Excess’ in </w:t>
      </w:r>
      <w:r>
        <w:rPr>
          <w:i/>
          <w:iCs/>
        </w:rPr>
        <w:t>Feminist Film Theory: A Reader</w:t>
      </w:r>
      <w:r>
        <w:t xml:space="preserve">, Sue </w:t>
      </w:r>
      <w:proofErr w:type="spellStart"/>
      <w:r>
        <w:t>Thornham</w:t>
      </w:r>
      <w:proofErr w:type="spellEnd"/>
      <w:r>
        <w:t xml:space="preserve"> (ed), Edinburgh University Press pp267-284</w:t>
      </w:r>
    </w:p>
    <w:p w14:paraId="5EF91255" w14:textId="77777777" w:rsidR="00570B12" w:rsidRDefault="00570B12" w:rsidP="00615EBF">
      <w:pPr>
        <w:pStyle w:val="ListParagraph"/>
        <w:numPr>
          <w:ilvl w:val="0"/>
          <w:numId w:val="1"/>
        </w:numPr>
        <w:spacing w:line="276" w:lineRule="auto"/>
      </w:pPr>
      <w:r>
        <w:t xml:space="preserve">Williams, M., (2017), ‘Nostalgic Impulses, Falling Idols and the Adoration of Achilles in </w:t>
      </w:r>
      <w:r>
        <w:rPr>
          <w:i/>
          <w:iCs/>
        </w:rPr>
        <w:t>Troy</w:t>
      </w:r>
      <w:r>
        <w:t xml:space="preserve"> (2004)’, in </w:t>
      </w:r>
      <w:r>
        <w:rPr>
          <w:i/>
          <w:iCs/>
        </w:rPr>
        <w:t>Film Stardom and the Ancient Past</w:t>
      </w:r>
      <w:r>
        <w:t>, London: Palgrave Macmillan, pp169-202</w:t>
      </w:r>
    </w:p>
    <w:p w14:paraId="2338822E" w14:textId="77777777" w:rsidR="00615EBF" w:rsidRDefault="00615EBF" w:rsidP="00615EBF">
      <w:pPr>
        <w:pStyle w:val="Heading1"/>
      </w:pPr>
      <w:r>
        <w:t>Internet</w:t>
      </w:r>
    </w:p>
    <w:p w14:paraId="49E6E751" w14:textId="77777777" w:rsidR="00615EBF" w:rsidRDefault="00615EBF" w:rsidP="00615EBF">
      <w:pPr>
        <w:pStyle w:val="ListParagraph"/>
        <w:numPr>
          <w:ilvl w:val="0"/>
          <w:numId w:val="1"/>
        </w:numPr>
      </w:pPr>
      <w:r>
        <w:t>Desta, Y., (2019),’</w:t>
      </w:r>
      <w:r>
        <w:rPr>
          <w:i/>
          <w:iCs/>
        </w:rPr>
        <w:t>Troy</w:t>
      </w:r>
      <w:r>
        <w:t xml:space="preserve">: The Secret Impact of Brad Pitt’s Sword-and-Sandal Epic’, </w:t>
      </w:r>
      <w:r>
        <w:rPr>
          <w:i/>
          <w:iCs/>
        </w:rPr>
        <w:t>Vanity Fair</w:t>
      </w:r>
      <w:r>
        <w:t>, 14</w:t>
      </w:r>
      <w:r w:rsidRPr="0091232F">
        <w:rPr>
          <w:vertAlign w:val="superscript"/>
        </w:rPr>
        <w:t>th</w:t>
      </w:r>
      <w:r>
        <w:t xml:space="preserve"> May, available at: </w:t>
      </w:r>
      <w:hyperlink r:id="rId7" w:history="1">
        <w:r w:rsidRPr="00505AE5">
          <w:rPr>
            <w:rStyle w:val="Hyperlink"/>
          </w:rPr>
          <w:t>https://www.vanityfair.com/hollywood/2019/05/troy-movie-anniversary-brad-pitt</w:t>
        </w:r>
      </w:hyperlink>
      <w:r>
        <w:t xml:space="preserve"> (last accessed 15/11/2021)</w:t>
      </w:r>
    </w:p>
    <w:p w14:paraId="3A44E8A4" w14:textId="77777777" w:rsidR="00615EBF" w:rsidRDefault="00615EBF" w:rsidP="00615EBF">
      <w:pPr>
        <w:pStyle w:val="Heading1"/>
      </w:pPr>
      <w:r>
        <w:t>Film</w:t>
      </w:r>
    </w:p>
    <w:p w14:paraId="009DA9BC" w14:textId="77777777" w:rsidR="00615EBF" w:rsidRPr="00331F4B" w:rsidRDefault="00615EBF" w:rsidP="00615EBF">
      <w:pPr>
        <w:pStyle w:val="ListParagraph"/>
        <w:numPr>
          <w:ilvl w:val="0"/>
          <w:numId w:val="1"/>
        </w:numPr>
      </w:pPr>
      <w:r>
        <w:rPr>
          <w:i/>
          <w:iCs/>
        </w:rPr>
        <w:t>Troy</w:t>
      </w:r>
      <w:r>
        <w:t xml:space="preserve"> (2004), directed by Wolfgang Peterson, [Netflix], USA: Warner Brothers</w:t>
      </w:r>
    </w:p>
    <w:p w14:paraId="5849424A" w14:textId="77777777" w:rsidR="00615EBF" w:rsidRDefault="00615EBF" w:rsidP="006B0A20"/>
    <w:sectPr w:rsidR="00615EBF" w:rsidSect="00615EBF">
      <w:headerReference w:type="first" r:id="rId8"/>
      <w:pgSz w:w="11906" w:h="16838"/>
      <w:pgMar w:top="1440" w:right="1440" w:bottom="1440" w:left="1440" w:header="39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EAED2" w14:textId="77777777" w:rsidR="00FF4EFE" w:rsidRDefault="00FF4EFE" w:rsidP="00FF4EFE">
      <w:pPr>
        <w:spacing w:after="0" w:line="240" w:lineRule="auto"/>
      </w:pPr>
      <w:r>
        <w:separator/>
      </w:r>
    </w:p>
  </w:endnote>
  <w:endnote w:type="continuationSeparator" w:id="0">
    <w:p w14:paraId="7A5E7DEB" w14:textId="77777777" w:rsidR="00FF4EFE" w:rsidRDefault="00FF4EFE" w:rsidP="00FF4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EABF1" w14:textId="77777777" w:rsidR="00FF4EFE" w:rsidRDefault="00FF4EFE" w:rsidP="00FF4EFE">
      <w:pPr>
        <w:spacing w:after="0" w:line="240" w:lineRule="auto"/>
      </w:pPr>
      <w:r>
        <w:separator/>
      </w:r>
    </w:p>
  </w:footnote>
  <w:footnote w:type="continuationSeparator" w:id="0">
    <w:p w14:paraId="2C573D98" w14:textId="77777777" w:rsidR="00FF4EFE" w:rsidRDefault="00FF4EFE" w:rsidP="00FF4EFE">
      <w:pPr>
        <w:spacing w:after="0" w:line="240" w:lineRule="auto"/>
      </w:pPr>
      <w:r>
        <w:continuationSeparator/>
      </w:r>
    </w:p>
  </w:footnote>
  <w:footnote w:id="1">
    <w:p w14:paraId="6E79520A" w14:textId="0F0C3CC4" w:rsidR="008E0CD4" w:rsidRPr="009E589B" w:rsidRDefault="008E0CD4">
      <w:pPr>
        <w:pStyle w:val="FootnoteText"/>
      </w:pPr>
      <w:r>
        <w:rPr>
          <w:rStyle w:val="FootnoteReference"/>
        </w:rPr>
        <w:footnoteRef/>
      </w:r>
      <w:r>
        <w:t xml:space="preserve"> </w:t>
      </w:r>
      <w:r w:rsidR="009E589B">
        <w:rPr>
          <w:i/>
          <w:iCs/>
        </w:rPr>
        <w:t>Troy</w:t>
      </w:r>
      <w:r w:rsidR="009E589B">
        <w:t xml:space="preserve"> (2004)</w:t>
      </w:r>
      <w:r w:rsidR="00B409CE">
        <w:t xml:space="preserve"> </w:t>
      </w:r>
      <w:r w:rsidR="00BE17D2">
        <w:t>2:33:10-2:33:14</w:t>
      </w:r>
    </w:p>
  </w:footnote>
  <w:footnote w:id="2">
    <w:p w14:paraId="26DD833E" w14:textId="199FAB7B" w:rsidR="00FF4EFE" w:rsidRDefault="00FF4EFE" w:rsidP="00FF4EFE">
      <w:pPr>
        <w:pStyle w:val="FootnoteText"/>
      </w:pPr>
      <w:r>
        <w:rPr>
          <w:rStyle w:val="FootnoteReference"/>
        </w:rPr>
        <w:footnoteRef/>
      </w:r>
      <w:r>
        <w:t xml:space="preserve"> </w:t>
      </w:r>
      <w:bookmarkStart w:id="0" w:name="_Hlk87879702"/>
      <w:r>
        <w:t>Desta, Y., (</w:t>
      </w:r>
      <w:r w:rsidR="00516A86">
        <w:t>2019</w:t>
      </w:r>
      <w:r>
        <w:t>)</w:t>
      </w:r>
      <w:bookmarkEnd w:id="0"/>
      <w:r>
        <w:t>; Jess, C., (</w:t>
      </w:r>
      <w:r w:rsidR="0091232F">
        <w:t>2005</w:t>
      </w:r>
      <w:r>
        <w:t>)</w:t>
      </w:r>
      <w:r w:rsidR="0091232F">
        <w:t xml:space="preserve"> p79</w:t>
      </w:r>
    </w:p>
  </w:footnote>
  <w:footnote w:id="3">
    <w:p w14:paraId="42D064E2" w14:textId="182B00C8" w:rsidR="005D6FF7" w:rsidRDefault="005D6FF7" w:rsidP="005D6FF7">
      <w:pPr>
        <w:pStyle w:val="FootnoteText"/>
      </w:pPr>
      <w:r>
        <w:rPr>
          <w:rStyle w:val="FootnoteReference"/>
        </w:rPr>
        <w:footnoteRef/>
      </w:r>
      <w:r>
        <w:t xml:space="preserve"> </w:t>
      </w:r>
      <w:r>
        <w:t>Desta, Y., (2019)</w:t>
      </w:r>
    </w:p>
  </w:footnote>
  <w:footnote w:id="4">
    <w:p w14:paraId="073C6D45" w14:textId="1336C93F" w:rsidR="005D6FF7" w:rsidRDefault="005D6FF7">
      <w:pPr>
        <w:pStyle w:val="FootnoteText"/>
      </w:pPr>
      <w:r>
        <w:rPr>
          <w:rStyle w:val="FootnoteReference"/>
        </w:rPr>
        <w:footnoteRef/>
      </w:r>
      <w:r>
        <w:t xml:space="preserve"> </w:t>
      </w:r>
      <w:r w:rsidR="009E589B">
        <w:rPr>
          <w:i/>
          <w:iCs/>
        </w:rPr>
        <w:t>Troy</w:t>
      </w:r>
      <w:r w:rsidR="009E589B">
        <w:t xml:space="preserve"> (2004)</w:t>
      </w:r>
      <w:r w:rsidR="00B409CE">
        <w:t xml:space="preserve"> </w:t>
      </w:r>
      <w:r w:rsidR="0034617F">
        <w:t>13:26-14:27</w:t>
      </w:r>
    </w:p>
  </w:footnote>
  <w:footnote w:id="5">
    <w:p w14:paraId="4FBB1861" w14:textId="53E4428B" w:rsidR="005D6FF7" w:rsidRDefault="005D6FF7" w:rsidP="005D6FF7">
      <w:pPr>
        <w:pStyle w:val="FootnoteText"/>
      </w:pPr>
      <w:r>
        <w:rPr>
          <w:rStyle w:val="FootnoteReference"/>
        </w:rPr>
        <w:footnoteRef/>
      </w:r>
      <w:r>
        <w:t xml:space="preserve"> </w:t>
      </w:r>
      <w:r>
        <w:t>Mulvey, L., (</w:t>
      </w:r>
      <w:r w:rsidR="00E207A0">
        <w:t>1999</w:t>
      </w:r>
      <w:r>
        <w:t>)</w:t>
      </w:r>
      <w:r w:rsidR="00851B8E">
        <w:t xml:space="preserve"> p63</w:t>
      </w:r>
    </w:p>
  </w:footnote>
  <w:footnote w:id="6">
    <w:p w14:paraId="07F73441" w14:textId="5B3EA17B" w:rsidR="00711B5F" w:rsidRDefault="00711B5F" w:rsidP="00711B5F">
      <w:pPr>
        <w:pStyle w:val="FootnoteText"/>
      </w:pPr>
      <w:r>
        <w:rPr>
          <w:rStyle w:val="FootnoteReference"/>
        </w:rPr>
        <w:footnoteRef/>
      </w:r>
      <w:r>
        <w:t xml:space="preserve"> </w:t>
      </w:r>
      <w:r>
        <w:rPr>
          <w:i/>
          <w:iCs/>
        </w:rPr>
        <w:t>Troy</w:t>
      </w:r>
      <w:r>
        <w:t xml:space="preserve"> (2004) </w:t>
      </w:r>
      <w:r w:rsidR="00A14924">
        <w:t>29:51-30:12</w:t>
      </w:r>
      <w:r w:rsidR="007E5E38">
        <w:t>,</w:t>
      </w:r>
      <w:r w:rsidR="00A14924">
        <w:t xml:space="preserve"> 44:01-</w:t>
      </w:r>
      <w:r w:rsidR="007E5E38">
        <w:t>46:43</w:t>
      </w:r>
    </w:p>
  </w:footnote>
  <w:footnote w:id="7">
    <w:p w14:paraId="35EB94EA" w14:textId="22D36051" w:rsidR="003F7990" w:rsidRDefault="003F7990">
      <w:pPr>
        <w:pStyle w:val="FootnoteText"/>
      </w:pPr>
      <w:r>
        <w:rPr>
          <w:rStyle w:val="FootnoteReference"/>
        </w:rPr>
        <w:footnoteRef/>
      </w:r>
      <w:r>
        <w:t xml:space="preserve"> Ibid 1:31:36-1:33:04</w:t>
      </w:r>
    </w:p>
  </w:footnote>
  <w:footnote w:id="8">
    <w:p w14:paraId="2A33B0AA" w14:textId="1A06998D" w:rsidR="006B0A20" w:rsidRDefault="006B0A20">
      <w:pPr>
        <w:pStyle w:val="FootnoteText"/>
      </w:pPr>
      <w:r>
        <w:rPr>
          <w:rStyle w:val="FootnoteReference"/>
        </w:rPr>
        <w:footnoteRef/>
      </w:r>
      <w:r>
        <w:t xml:space="preserve"> </w:t>
      </w:r>
      <w:r w:rsidR="009E589B">
        <w:t>Ibid</w:t>
      </w:r>
      <w:r w:rsidR="00B409CE">
        <w:t xml:space="preserve"> </w:t>
      </w:r>
      <w:r w:rsidR="004A5D2E">
        <w:t>1:47:21-1:48:50</w:t>
      </w:r>
      <w:r w:rsidR="007E5E38">
        <w:t>,</w:t>
      </w:r>
      <w:r w:rsidR="004A5D2E">
        <w:t xml:space="preserve"> </w:t>
      </w:r>
      <w:r w:rsidR="002026E2">
        <w:t>2:24:00-2:24:43</w:t>
      </w:r>
    </w:p>
  </w:footnote>
  <w:footnote w:id="9">
    <w:p w14:paraId="3D183A7F" w14:textId="75BB73C4" w:rsidR="006B0A20" w:rsidRDefault="006B0A20">
      <w:pPr>
        <w:pStyle w:val="FootnoteText"/>
      </w:pPr>
      <w:r>
        <w:rPr>
          <w:rStyle w:val="FootnoteReference"/>
        </w:rPr>
        <w:footnoteRef/>
      </w:r>
      <w:r>
        <w:t xml:space="preserve"> </w:t>
      </w:r>
      <w:r w:rsidR="009E589B">
        <w:t>Ibid</w:t>
      </w:r>
      <w:r w:rsidR="00B409CE">
        <w:t xml:space="preserve"> </w:t>
      </w:r>
      <w:r w:rsidR="004A5D2E">
        <w:t>1:48:39-1:48:50</w:t>
      </w:r>
      <w:r w:rsidR="007E5E38">
        <w:t>,</w:t>
      </w:r>
      <w:r w:rsidR="004A5D2E">
        <w:t xml:space="preserve"> 2:01:20-</w:t>
      </w:r>
      <w:r w:rsidR="002026E2">
        <w:t>2:01:58</w:t>
      </w:r>
    </w:p>
  </w:footnote>
  <w:footnote w:id="10">
    <w:p w14:paraId="5FCF7F6E" w14:textId="1F3997EA" w:rsidR="006B0A20" w:rsidRDefault="006B0A20" w:rsidP="006B0A20">
      <w:pPr>
        <w:pStyle w:val="FootnoteText"/>
      </w:pPr>
      <w:r>
        <w:rPr>
          <w:rStyle w:val="FootnoteReference"/>
        </w:rPr>
        <w:footnoteRef/>
      </w:r>
      <w:r>
        <w:t xml:space="preserve"> </w:t>
      </w:r>
      <w:r w:rsidR="009E589B">
        <w:t>Ibid</w:t>
      </w:r>
      <w:r w:rsidR="00B409CE">
        <w:t xml:space="preserve"> </w:t>
      </w:r>
      <w:r w:rsidR="00DA0D26">
        <w:t>2:19:20-</w:t>
      </w:r>
      <w:r w:rsidR="005F5E52">
        <w:t>2:</w:t>
      </w:r>
      <w:r w:rsidR="002D1C3D">
        <w:t>30:41</w:t>
      </w:r>
    </w:p>
  </w:footnote>
  <w:footnote w:id="11">
    <w:p w14:paraId="36587D72" w14:textId="33B05B65" w:rsidR="006B0A20" w:rsidRDefault="006B0A20" w:rsidP="006B0A20">
      <w:pPr>
        <w:pStyle w:val="FootnoteText"/>
      </w:pPr>
      <w:r>
        <w:rPr>
          <w:rStyle w:val="FootnoteReference"/>
        </w:rPr>
        <w:footnoteRef/>
      </w:r>
      <w:r w:rsidR="009E589B">
        <w:t xml:space="preserve"> </w:t>
      </w:r>
      <w:r w:rsidR="009E589B">
        <w:t>Ibid</w:t>
      </w:r>
      <w:r w:rsidR="00B409CE">
        <w:t xml:space="preserve"> </w:t>
      </w:r>
      <w:r w:rsidR="00860C82">
        <w:t>13:26-</w:t>
      </w:r>
      <w:r w:rsidR="0034617F">
        <w:t>13:40</w:t>
      </w:r>
    </w:p>
  </w:footnote>
  <w:footnote w:id="12">
    <w:p w14:paraId="7BD15A1F" w14:textId="0ED606EB" w:rsidR="006B0A20" w:rsidRDefault="006B0A20" w:rsidP="006B0A20">
      <w:pPr>
        <w:pStyle w:val="FootnoteText"/>
      </w:pPr>
      <w:r>
        <w:rPr>
          <w:rStyle w:val="FootnoteReference"/>
        </w:rPr>
        <w:footnoteRef/>
      </w:r>
      <w:r>
        <w:t xml:space="preserve"> </w:t>
      </w:r>
      <w:r w:rsidR="006B01F7">
        <w:t>Ibid</w:t>
      </w:r>
      <w:r w:rsidR="00B409CE">
        <w:t xml:space="preserve"> </w:t>
      </w:r>
      <w:r w:rsidR="00860C82">
        <w:t>13:18-13:20</w:t>
      </w:r>
    </w:p>
  </w:footnote>
  <w:footnote w:id="13">
    <w:p w14:paraId="297B640E" w14:textId="1AF2DB9B" w:rsidR="006B0A20" w:rsidRDefault="006B0A20" w:rsidP="006B0A20">
      <w:pPr>
        <w:pStyle w:val="FootnoteText"/>
      </w:pPr>
      <w:r>
        <w:rPr>
          <w:rStyle w:val="FootnoteReference"/>
        </w:rPr>
        <w:footnoteRef/>
      </w:r>
      <w:r>
        <w:t xml:space="preserve"> </w:t>
      </w:r>
      <w:r w:rsidR="002736FA">
        <w:t>Steinbeck, J., (</w:t>
      </w:r>
      <w:r w:rsidR="009E589B">
        <w:t>1965</w:t>
      </w:r>
      <w:r w:rsidR="002736FA">
        <w:t>)</w:t>
      </w:r>
    </w:p>
  </w:footnote>
  <w:footnote w:id="14">
    <w:p w14:paraId="7DBA2C3F" w14:textId="232CF0A6" w:rsidR="006B0A20" w:rsidRDefault="006B0A20" w:rsidP="006B0A20">
      <w:pPr>
        <w:pStyle w:val="FootnoteText"/>
      </w:pPr>
      <w:r>
        <w:rPr>
          <w:rStyle w:val="FootnoteReference"/>
        </w:rPr>
        <w:footnoteRef/>
      </w:r>
      <w:r>
        <w:t xml:space="preserve"> </w:t>
      </w:r>
      <w:r w:rsidR="009E589B">
        <w:rPr>
          <w:i/>
          <w:iCs/>
        </w:rPr>
        <w:t>Troy</w:t>
      </w:r>
      <w:r w:rsidR="009E589B">
        <w:t xml:space="preserve"> (2004)</w:t>
      </w:r>
      <w:r w:rsidR="00B409CE">
        <w:t xml:space="preserve"> </w:t>
      </w:r>
      <w:r w:rsidR="00511348">
        <w:t>29:03-29:14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855EF" w14:textId="77777777" w:rsidR="00615EBF" w:rsidRDefault="00615EBF" w:rsidP="00615EBF">
    <w:pPr>
      <w:pStyle w:val="Title"/>
      <w:jc w:val="center"/>
    </w:pPr>
    <w:r>
      <w:t xml:space="preserve">Heroes or sexual objects? The women of </w:t>
    </w:r>
    <w:r>
      <w:rPr>
        <w:i/>
        <w:iCs/>
      </w:rPr>
      <w:t>Troy</w:t>
    </w:r>
    <w:r>
      <w:t xml:space="preserve"> (2004)</w:t>
    </w:r>
  </w:p>
  <w:p w14:paraId="31157C61" w14:textId="77777777" w:rsidR="00615EBF" w:rsidRPr="00912591" w:rsidRDefault="00615EBF" w:rsidP="00615EBF"/>
  <w:p w14:paraId="30F37B4B" w14:textId="1DF8BAA4" w:rsidR="00615EBF" w:rsidRPr="00615EBF" w:rsidRDefault="00615EBF" w:rsidP="00615EBF">
    <w:pPr>
      <w:pStyle w:val="Header"/>
      <w:jc w:val="right"/>
      <w:rPr>
        <w:i/>
        <w:iCs/>
        <w:spacing w:val="5"/>
      </w:rPr>
    </w:pPr>
    <w:r w:rsidRPr="00912591">
      <w:rPr>
        <w:rStyle w:val="BookTitle"/>
        <w:b w:val="0"/>
        <w:bCs w:val="0"/>
      </w:rPr>
      <w:t>(</w:t>
    </w:r>
    <w:r w:rsidR="006352DE">
      <w:rPr>
        <w:rStyle w:val="BookTitle"/>
        <w:b w:val="0"/>
        <w:bCs w:val="0"/>
      </w:rPr>
      <w:t>20</w:t>
    </w:r>
    <w:r w:rsidR="00F04944">
      <w:rPr>
        <w:rStyle w:val="BookTitle"/>
        <w:b w:val="0"/>
        <w:bCs w:val="0"/>
      </w:rPr>
      <w:t>61</w:t>
    </w:r>
    <w:r w:rsidRPr="00912591">
      <w:rPr>
        <w:rStyle w:val="BookTitle"/>
        <w:b w:val="0"/>
        <w:bCs w:val="0"/>
      </w:rPr>
      <w:t xml:space="preserve"> words excluding title/references/bibliography)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4B5A05"/>
    <w:multiLevelType w:val="hybridMultilevel"/>
    <w:tmpl w:val="E10ABB84"/>
    <w:lvl w:ilvl="0" w:tplc="FB0C9D38">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EFE"/>
    <w:rsid w:val="001E3420"/>
    <w:rsid w:val="001F1405"/>
    <w:rsid w:val="002026E2"/>
    <w:rsid w:val="00251603"/>
    <w:rsid w:val="002736FA"/>
    <w:rsid w:val="002D1C3D"/>
    <w:rsid w:val="00321504"/>
    <w:rsid w:val="0034617F"/>
    <w:rsid w:val="0036419A"/>
    <w:rsid w:val="003C3FA5"/>
    <w:rsid w:val="003E5ABC"/>
    <w:rsid w:val="003F7990"/>
    <w:rsid w:val="004069B8"/>
    <w:rsid w:val="004205C0"/>
    <w:rsid w:val="00452F51"/>
    <w:rsid w:val="004A5D2E"/>
    <w:rsid w:val="00511348"/>
    <w:rsid w:val="00516A86"/>
    <w:rsid w:val="00570B12"/>
    <w:rsid w:val="005D6FF7"/>
    <w:rsid w:val="005F5E52"/>
    <w:rsid w:val="00615EBF"/>
    <w:rsid w:val="006352DE"/>
    <w:rsid w:val="006B01F7"/>
    <w:rsid w:val="006B0A20"/>
    <w:rsid w:val="00711B5F"/>
    <w:rsid w:val="00717B0F"/>
    <w:rsid w:val="007E5E38"/>
    <w:rsid w:val="007F037D"/>
    <w:rsid w:val="00851B8E"/>
    <w:rsid w:val="00860C82"/>
    <w:rsid w:val="00877E93"/>
    <w:rsid w:val="00882070"/>
    <w:rsid w:val="00884243"/>
    <w:rsid w:val="008C1544"/>
    <w:rsid w:val="008E0CD4"/>
    <w:rsid w:val="0091232F"/>
    <w:rsid w:val="00912591"/>
    <w:rsid w:val="009E589B"/>
    <w:rsid w:val="00A14924"/>
    <w:rsid w:val="00B409CE"/>
    <w:rsid w:val="00B43318"/>
    <w:rsid w:val="00B656B3"/>
    <w:rsid w:val="00BE17D2"/>
    <w:rsid w:val="00DA08B1"/>
    <w:rsid w:val="00DA0D26"/>
    <w:rsid w:val="00E207A0"/>
    <w:rsid w:val="00E2467B"/>
    <w:rsid w:val="00F04944"/>
    <w:rsid w:val="00FF4EFE"/>
    <w:rsid w:val="00FF6E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9DE65D"/>
  <w15:chartTrackingRefBased/>
  <w15:docId w15:val="{0DB1182F-4CF3-4231-820A-0431252EF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FE"/>
  </w:style>
  <w:style w:type="paragraph" w:styleId="Heading1">
    <w:name w:val="heading 1"/>
    <w:basedOn w:val="Normal"/>
    <w:next w:val="Normal"/>
    <w:link w:val="Heading1Char"/>
    <w:uiPriority w:val="9"/>
    <w:qFormat/>
    <w:rsid w:val="00615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4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EFE"/>
  </w:style>
  <w:style w:type="paragraph" w:styleId="Title">
    <w:name w:val="Title"/>
    <w:basedOn w:val="Normal"/>
    <w:next w:val="Normal"/>
    <w:link w:val="TitleChar"/>
    <w:uiPriority w:val="10"/>
    <w:qFormat/>
    <w:rsid w:val="00FF4E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EFE"/>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FF4E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4EFE"/>
    <w:rPr>
      <w:sz w:val="20"/>
      <w:szCs w:val="20"/>
    </w:rPr>
  </w:style>
  <w:style w:type="character" w:styleId="FootnoteReference">
    <w:name w:val="footnote reference"/>
    <w:basedOn w:val="DefaultParagraphFont"/>
    <w:uiPriority w:val="99"/>
    <w:semiHidden/>
    <w:unhideWhenUsed/>
    <w:rsid w:val="00FF4EFE"/>
    <w:rPr>
      <w:vertAlign w:val="superscript"/>
    </w:rPr>
  </w:style>
  <w:style w:type="paragraph" w:styleId="Footer">
    <w:name w:val="footer"/>
    <w:basedOn w:val="Normal"/>
    <w:link w:val="FooterChar"/>
    <w:uiPriority w:val="99"/>
    <w:unhideWhenUsed/>
    <w:rsid w:val="005D6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FF7"/>
  </w:style>
  <w:style w:type="character" w:styleId="BookTitle">
    <w:name w:val="Book Title"/>
    <w:basedOn w:val="DefaultParagraphFont"/>
    <w:uiPriority w:val="33"/>
    <w:qFormat/>
    <w:rsid w:val="00912591"/>
    <w:rPr>
      <w:b/>
      <w:bCs/>
      <w:i/>
      <w:iCs/>
      <w:spacing w:val="5"/>
    </w:rPr>
  </w:style>
  <w:style w:type="character" w:customStyle="1" w:styleId="Heading1Char">
    <w:name w:val="Heading 1 Char"/>
    <w:basedOn w:val="DefaultParagraphFont"/>
    <w:link w:val="Heading1"/>
    <w:uiPriority w:val="9"/>
    <w:rsid w:val="00615EB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15EBF"/>
    <w:pPr>
      <w:ind w:left="720"/>
      <w:contextualSpacing/>
    </w:pPr>
  </w:style>
  <w:style w:type="character" w:styleId="Hyperlink">
    <w:name w:val="Hyperlink"/>
    <w:basedOn w:val="DefaultParagraphFont"/>
    <w:uiPriority w:val="99"/>
    <w:unhideWhenUsed/>
    <w:rsid w:val="00615E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vanityfair.com/hollywood/2019/05/troy-movie-anniversary-brad-pi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4332</TotalTime>
  <Pages>5</Pages>
  <Words>2288</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Matthews</dc:creator>
  <cp:keywords/>
  <dc:description/>
  <cp:lastModifiedBy>Anna Matthews</cp:lastModifiedBy>
  <cp:revision>25</cp:revision>
  <dcterms:created xsi:type="dcterms:W3CDTF">2021-11-15T13:10:00Z</dcterms:created>
  <dcterms:modified xsi:type="dcterms:W3CDTF">2021-11-28T20:47:00Z</dcterms:modified>
</cp:coreProperties>
</file>