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010DF" w14:textId="77777777" w:rsidR="00925B43" w:rsidRPr="00B501B8" w:rsidRDefault="00B501B8" w:rsidP="00B501B8">
      <w:pPr>
        <w:jc w:val="center"/>
        <w:rPr>
          <w:b/>
          <w:sz w:val="32"/>
          <w:szCs w:val="32"/>
          <w:u w:val="single"/>
        </w:rPr>
      </w:pPr>
      <w:r w:rsidRPr="00B501B8">
        <w:rPr>
          <w:b/>
          <w:sz w:val="32"/>
          <w:szCs w:val="32"/>
          <w:u w:val="single"/>
        </w:rPr>
        <w:t>Character Journal</w:t>
      </w:r>
    </w:p>
    <w:p w14:paraId="7F6412AD" w14:textId="77777777" w:rsidR="00B501B8" w:rsidRPr="00B501B8" w:rsidRDefault="00B501B8" w:rsidP="00B501B8">
      <w:pPr>
        <w:jc w:val="center"/>
        <w:rPr>
          <w:b/>
          <w:sz w:val="32"/>
          <w:szCs w:val="32"/>
          <w:u w:val="single"/>
        </w:rPr>
      </w:pPr>
    </w:p>
    <w:p w14:paraId="3D2D7B9F" w14:textId="77777777" w:rsidR="00B501B8" w:rsidRDefault="00B501B8" w:rsidP="00B501B8">
      <w:pPr>
        <w:jc w:val="center"/>
        <w:rPr>
          <w:b/>
          <w:sz w:val="32"/>
          <w:szCs w:val="32"/>
          <w:u w:val="single"/>
        </w:rPr>
      </w:pPr>
    </w:p>
    <w:p w14:paraId="14EC5782" w14:textId="77777777" w:rsidR="00B501B8" w:rsidRDefault="00B501B8" w:rsidP="00B501B8">
      <w:pPr>
        <w:rPr>
          <w:sz w:val="32"/>
          <w:szCs w:val="32"/>
        </w:rPr>
      </w:pPr>
      <w:r>
        <w:rPr>
          <w:sz w:val="32"/>
          <w:szCs w:val="32"/>
        </w:rPr>
        <w:tab/>
      </w:r>
    </w:p>
    <w:p w14:paraId="0F2FDDA5" w14:textId="2E361ACD" w:rsidR="007672E9" w:rsidRPr="007672E9" w:rsidRDefault="007672E9" w:rsidP="00B501B8">
      <w:pPr>
        <w:rPr>
          <w:sz w:val="28"/>
          <w:szCs w:val="28"/>
        </w:rPr>
      </w:pPr>
      <w:r w:rsidRPr="007672E9">
        <w:rPr>
          <w:sz w:val="28"/>
          <w:szCs w:val="28"/>
        </w:rPr>
        <w:t>Day one – 323 BC</w:t>
      </w:r>
    </w:p>
    <w:p w14:paraId="6CAEE8BC" w14:textId="77777777" w:rsidR="007672E9" w:rsidRPr="007672E9" w:rsidRDefault="007672E9" w:rsidP="00B501B8">
      <w:pPr>
        <w:rPr>
          <w:sz w:val="28"/>
          <w:szCs w:val="28"/>
        </w:rPr>
      </w:pPr>
    </w:p>
    <w:p w14:paraId="49E5DA69" w14:textId="3D7E0AF8" w:rsidR="00B501B8" w:rsidRDefault="00DA1CC5" w:rsidP="004B0115">
      <w:r>
        <w:tab/>
        <w:t xml:space="preserve">As I was in </w:t>
      </w:r>
      <w:proofErr w:type="spellStart"/>
      <w:r>
        <w:t>Kilikia</w:t>
      </w:r>
      <w:proofErr w:type="spellEnd"/>
      <w:r>
        <w:t xml:space="preserve"> at the time of Alexander’</w:t>
      </w:r>
      <w:r w:rsidR="00D25850">
        <w:t>s death</w:t>
      </w:r>
      <w:r w:rsidR="003E27E9">
        <w:rPr>
          <w:rStyle w:val="FootnoteReference"/>
        </w:rPr>
        <w:footnoteReference w:id="1"/>
      </w:r>
      <w:r w:rsidR="00D25850">
        <w:t>,</w:t>
      </w:r>
      <w:r w:rsidR="006B7132">
        <w:t xml:space="preserve"> my first task was to advance</w:t>
      </w:r>
      <w:r w:rsidR="00F51B40">
        <w:t xml:space="preserve"> w</w:t>
      </w:r>
      <w:r w:rsidR="006142AF">
        <w:t xml:space="preserve">est </w:t>
      </w:r>
      <w:r w:rsidR="006B7132">
        <w:t xml:space="preserve">to </w:t>
      </w:r>
      <w:r w:rsidR="00EA32DD">
        <w:t xml:space="preserve">carry out Alexander’s </w:t>
      </w:r>
      <w:r w:rsidR="006142AF">
        <w:t xml:space="preserve">final command to me – that I was to assume </w:t>
      </w:r>
      <w:r w:rsidR="0065522F">
        <w:t>control of Macedonia</w:t>
      </w:r>
      <w:r w:rsidR="003E27E9">
        <w:t>, Thrace, Thessaly, and the freedom of the Greeks.</w:t>
      </w:r>
      <w:r w:rsidR="00D245C2">
        <w:rPr>
          <w:rStyle w:val="FootnoteReference"/>
        </w:rPr>
        <w:footnoteReference w:id="2"/>
      </w:r>
      <w:r w:rsidR="005F2273">
        <w:t xml:space="preserve"> Upon arriving in Macedon, I secured my relationship with Antipater by</w:t>
      </w:r>
      <w:r w:rsidR="00282FC4">
        <w:t xml:space="preserve"> marrying his daughter, </w:t>
      </w:r>
      <w:proofErr w:type="spellStart"/>
      <w:r w:rsidR="00282FC4">
        <w:t>Phila</w:t>
      </w:r>
      <w:proofErr w:type="spellEnd"/>
      <w:r w:rsidR="00282FC4">
        <w:t>.</w:t>
      </w:r>
      <w:r w:rsidR="00B3245D">
        <w:rPr>
          <w:rStyle w:val="FootnoteReference"/>
        </w:rPr>
        <w:footnoteReference w:id="3"/>
      </w:r>
      <w:r w:rsidR="00772F11">
        <w:t xml:space="preserve"> This also ensured I would control Macedonia upon the time of his death. </w:t>
      </w:r>
      <w:r w:rsidR="00757F3B">
        <w:t>As I</w:t>
      </w:r>
      <w:r w:rsidR="00A01209">
        <w:t xml:space="preserve"> was not in command of a navy</w:t>
      </w:r>
      <w:r w:rsidR="00757F3B">
        <w:t xml:space="preserve"> at the time, an envoy was sent to Nearchos in Babylon where he controlled </w:t>
      </w:r>
      <w:r w:rsidR="00A01209">
        <w:t>Alexander’s fleet.</w:t>
      </w:r>
      <w:r w:rsidR="00577927">
        <w:rPr>
          <w:rStyle w:val="FootnoteReference"/>
        </w:rPr>
        <w:footnoteReference w:id="4"/>
      </w:r>
      <w:r w:rsidR="00F76927">
        <w:t xml:space="preserve"> We formed an alliance which stated that Nearchos would not use his fleet to act against the Macedonians and that we could request the help of his fleet when necessary. In return, he was promised half of the taxes from Thrace and partial control of the land if we could take control of it. </w:t>
      </w:r>
      <w:r w:rsidR="008B065F">
        <w:t xml:space="preserve"> </w:t>
      </w:r>
      <w:r w:rsidR="00425424">
        <w:t>I was able to send my force of 10,000 infantry</w:t>
      </w:r>
      <w:r w:rsidR="00425424">
        <w:rPr>
          <w:rStyle w:val="FootnoteReference"/>
        </w:rPr>
        <w:footnoteReference w:id="5"/>
      </w:r>
      <w:r w:rsidR="00425424">
        <w:t xml:space="preserve"> and 1,500 cavalry into Thrace and take it with </w:t>
      </w:r>
      <w:r w:rsidR="00CD62CA">
        <w:t>minimal losses.</w:t>
      </w:r>
      <w:r w:rsidR="00F90206">
        <w:t xml:space="preserve"> I assumed control of Thrace until the time of Antipater’s death in Macedonia, at which point I would travel to Pella to rule there.</w:t>
      </w:r>
      <w:r w:rsidR="00CD62CA">
        <w:t xml:space="preserve"> </w:t>
      </w:r>
      <w:r w:rsidR="00F90206">
        <w:t>Being that Polyperchon was originally intended to be my successor in Macedonia</w:t>
      </w:r>
      <w:r w:rsidR="00F90206">
        <w:rPr>
          <w:rStyle w:val="FootnoteReference"/>
        </w:rPr>
        <w:footnoteReference w:id="6"/>
      </w:r>
      <w:r w:rsidR="00F90206">
        <w:t>, I placed him as my successor in Thrace upon</w:t>
      </w:r>
      <w:r w:rsidR="00A401F1">
        <w:t xml:space="preserve"> my departure.</w:t>
      </w:r>
    </w:p>
    <w:p w14:paraId="7528E8F6" w14:textId="77777777" w:rsidR="00A401F1" w:rsidRDefault="00A401F1" w:rsidP="004B0115"/>
    <w:p w14:paraId="2777B1A0" w14:textId="41C5D693" w:rsidR="00A401F1" w:rsidRDefault="009C1CFC" w:rsidP="004B0115">
      <w:pPr>
        <w:rPr>
          <w:sz w:val="28"/>
          <w:szCs w:val="28"/>
        </w:rPr>
      </w:pPr>
      <w:r w:rsidRPr="009C1CFC">
        <w:rPr>
          <w:sz w:val="28"/>
          <w:szCs w:val="28"/>
        </w:rPr>
        <w:t>Day two – 322 BC</w:t>
      </w:r>
    </w:p>
    <w:p w14:paraId="550B1898" w14:textId="77777777" w:rsidR="0074084B" w:rsidRDefault="0074084B" w:rsidP="004B0115">
      <w:pPr>
        <w:rPr>
          <w:sz w:val="28"/>
          <w:szCs w:val="28"/>
        </w:rPr>
      </w:pPr>
    </w:p>
    <w:p w14:paraId="25BB6F9D" w14:textId="43279D40" w:rsidR="0074084B" w:rsidRDefault="009A72C3" w:rsidP="004B0115">
      <w:r>
        <w:tab/>
        <w:t xml:space="preserve">Perdikkas was </w:t>
      </w:r>
      <w:r w:rsidR="00642081">
        <w:t xml:space="preserve">named </w:t>
      </w:r>
      <w:proofErr w:type="spellStart"/>
      <w:r w:rsidR="00642081">
        <w:rPr>
          <w:i/>
        </w:rPr>
        <w:t>strategos</w:t>
      </w:r>
      <w:proofErr w:type="spellEnd"/>
      <w:r w:rsidR="006071E2">
        <w:rPr>
          <w:rStyle w:val="FootnoteReference"/>
          <w:i/>
        </w:rPr>
        <w:footnoteReference w:id="7"/>
      </w:r>
      <w:r w:rsidR="00642081">
        <w:rPr>
          <w:i/>
        </w:rPr>
        <w:t xml:space="preserve"> </w:t>
      </w:r>
      <w:r w:rsidR="00642081">
        <w:t>of the army under my control in Macedonia.</w:t>
      </w:r>
      <w:r w:rsidR="00EF5020">
        <w:t xml:space="preserve"> He was also allowed to return home and remain in </w:t>
      </w:r>
      <w:proofErr w:type="spellStart"/>
      <w:r w:rsidR="00EF5020">
        <w:t>Orestis</w:t>
      </w:r>
      <w:proofErr w:type="spellEnd"/>
      <w:r w:rsidR="00EF5020">
        <w:t xml:space="preserve"> with control and autonomy in the area.</w:t>
      </w:r>
      <w:r w:rsidR="00EF5020">
        <w:rPr>
          <w:rStyle w:val="FootnoteReference"/>
        </w:rPr>
        <w:footnoteReference w:id="8"/>
      </w:r>
      <w:r w:rsidR="008D474E">
        <w:t xml:space="preserve"> </w:t>
      </w:r>
      <w:r w:rsidR="00F12788">
        <w:t xml:space="preserve">On the day of </w:t>
      </w:r>
      <w:proofErr w:type="spellStart"/>
      <w:r w:rsidR="00F12788">
        <w:t>Meleagros</w:t>
      </w:r>
      <w:proofErr w:type="spellEnd"/>
      <w:r w:rsidR="00F12788">
        <w:t xml:space="preserve">’ </w:t>
      </w:r>
      <w:r w:rsidR="00D0540D">
        <w:t xml:space="preserve">wedding, we sent Phillip </w:t>
      </w:r>
      <w:proofErr w:type="spellStart"/>
      <w:r w:rsidR="00D0540D">
        <w:t>Arrhidaeus</w:t>
      </w:r>
      <w:proofErr w:type="spellEnd"/>
      <w:r w:rsidR="00D0540D">
        <w:t xml:space="preserve"> as an envoy. This was an attempt to show good will by exposing the biological successor to Alexander’s empire.</w:t>
      </w:r>
      <w:r w:rsidR="00D0540D">
        <w:rPr>
          <w:rStyle w:val="FootnoteReference"/>
        </w:rPr>
        <w:footnoteReference w:id="9"/>
      </w:r>
      <w:r w:rsidR="0065620E">
        <w:t xml:space="preserve"> We had no intention of declaring him king of the empire, so we hoped we could lure </w:t>
      </w:r>
      <w:proofErr w:type="spellStart"/>
      <w:r w:rsidR="0065620E">
        <w:t>Meleagros</w:t>
      </w:r>
      <w:proofErr w:type="spellEnd"/>
      <w:r w:rsidR="0065620E">
        <w:t xml:space="preserve"> into a false sense of security if he thought he had a bargaining chip </w:t>
      </w:r>
      <w:r w:rsidR="001B3F40">
        <w:t xml:space="preserve">over us </w:t>
      </w:r>
      <w:r w:rsidR="0065620E">
        <w:t xml:space="preserve">that he did not. </w:t>
      </w:r>
      <w:r w:rsidR="00CF46FB">
        <w:t>I</w:t>
      </w:r>
      <w:r w:rsidR="00370DB0">
        <w:t xml:space="preserve">t was here that our ally </w:t>
      </w:r>
      <w:proofErr w:type="spellStart"/>
      <w:r w:rsidR="00370DB0">
        <w:t>Harpalo</w:t>
      </w:r>
      <w:r w:rsidR="00CF46FB">
        <w:t>s</w:t>
      </w:r>
      <w:proofErr w:type="spellEnd"/>
      <w:r w:rsidR="00CF46FB">
        <w:t xml:space="preserve"> was killed and I was able to marry Cleopatra, Alexander’</w:t>
      </w:r>
      <w:r w:rsidR="00D62CDE">
        <w:t>s sister.</w:t>
      </w:r>
      <w:r w:rsidR="00D62CDE">
        <w:rPr>
          <w:rStyle w:val="FootnoteReference"/>
        </w:rPr>
        <w:footnoteReference w:id="10"/>
      </w:r>
    </w:p>
    <w:p w14:paraId="569417A8" w14:textId="27E714A6" w:rsidR="002B0CF5" w:rsidRDefault="002B0CF5" w:rsidP="004B0115">
      <w:r>
        <w:tab/>
        <w:t>As the successor of our kingdom of Macedonia and Greece, I worked closely with Antipater to ensure Greece was happy with our control. To</w:t>
      </w:r>
      <w:r w:rsidR="00587773">
        <w:t xml:space="preserve"> do this, we allowed the Greek p</w:t>
      </w:r>
      <w:r>
        <w:t xml:space="preserve">oleis </w:t>
      </w:r>
      <w:r>
        <w:lastRenderedPageBreak/>
        <w:t>to maintai</w:t>
      </w:r>
      <w:r w:rsidR="00AC40FD">
        <w:t>n their autonomy under our rule if they accepted our command and did not act against Macedonian leadership.</w:t>
      </w:r>
      <w:r w:rsidR="00AC40FD">
        <w:rPr>
          <w:rStyle w:val="FootnoteReference"/>
        </w:rPr>
        <w:footnoteReference w:id="11"/>
      </w:r>
      <w:r w:rsidR="00F61DD0">
        <w:t xml:space="preserve"> </w:t>
      </w:r>
    </w:p>
    <w:p w14:paraId="6B369460" w14:textId="6AB388A4" w:rsidR="00F61DD0" w:rsidRDefault="00F61DD0" w:rsidP="004B0115">
      <w:r>
        <w:tab/>
        <w:t xml:space="preserve">An envoy was sent to the </w:t>
      </w:r>
      <w:proofErr w:type="spellStart"/>
      <w:r w:rsidR="00295D92">
        <w:t>Bosporan</w:t>
      </w:r>
      <w:proofErr w:type="spellEnd"/>
      <w:r w:rsidR="00295D92">
        <w:t xml:space="preserve"> Kingdom where a trade deal was established in which we sent them timber and received grain in return.</w:t>
      </w:r>
      <w:r w:rsidR="00295D92">
        <w:rPr>
          <w:rStyle w:val="FootnoteReference"/>
        </w:rPr>
        <w:footnoteReference w:id="12"/>
      </w:r>
      <w:r w:rsidR="004A7FB0">
        <w:t xml:space="preserve"> Following this, we were informed that Eumenes had taken </w:t>
      </w:r>
      <w:r w:rsidR="00543366">
        <w:t>control of Abydos on the Eastern side of the Helles</w:t>
      </w:r>
      <w:r w:rsidR="00EC2F9C">
        <w:t>pont. In return, we sent Eurydic</w:t>
      </w:r>
      <w:r w:rsidR="00543366">
        <w:t>e to Sestos with a small force</w:t>
      </w:r>
      <w:r w:rsidR="00131B25">
        <w:t xml:space="preserve"> to face Eumenes’ army and to speak with him for terms of peace.</w:t>
      </w:r>
      <w:r w:rsidR="00131B25">
        <w:rPr>
          <w:rStyle w:val="FootnoteReference"/>
        </w:rPr>
        <w:footnoteReference w:id="13"/>
      </w:r>
      <w:r w:rsidR="00D71F79">
        <w:t xml:space="preserve"> Eumenes then ensured us that he would not block trade as long as we did not cross the Hellespont into Abydos. </w:t>
      </w:r>
    </w:p>
    <w:p w14:paraId="0992D57A" w14:textId="3053A7DA" w:rsidR="00D71F79" w:rsidRDefault="00D71F79" w:rsidP="004B0115">
      <w:r>
        <w:tab/>
        <w:t>In another move to secure happiness and peace between and within Macedonia and Greece, the capitol and treasury of our empire was moved to Delphi, a place with signific</w:t>
      </w:r>
      <w:r w:rsidR="007A4806">
        <w:t>ant sacred ties to both places.</w:t>
      </w:r>
      <w:r w:rsidR="007A4806">
        <w:rPr>
          <w:rStyle w:val="FootnoteReference"/>
        </w:rPr>
        <w:footnoteReference w:id="14"/>
      </w:r>
      <w:r w:rsidR="002B6E78">
        <w:t xml:space="preserve"> </w:t>
      </w:r>
    </w:p>
    <w:p w14:paraId="452706FC" w14:textId="63413EC8" w:rsidR="009D4044" w:rsidRDefault="009D4044" w:rsidP="004B0115">
      <w:r>
        <w:tab/>
        <w:t>In the meantime, Perdikkas went to Lysimachus behind our backs to negotiate a deal with him in which the Macedonian court including myself, Antipater, Olympias, and Eurydice was all arrested. This plan was thwarted as he did</w:t>
      </w:r>
      <w:r w:rsidR="000C0116">
        <w:t xml:space="preserve"> not have the loyalty of any army.</w:t>
      </w:r>
    </w:p>
    <w:p w14:paraId="2ECEB304" w14:textId="77777777" w:rsidR="00295BFC" w:rsidRDefault="00295BFC" w:rsidP="004B0115"/>
    <w:p w14:paraId="4AB65DBF" w14:textId="2401CB58" w:rsidR="00295BFC" w:rsidRDefault="00295BFC" w:rsidP="004B0115">
      <w:pPr>
        <w:rPr>
          <w:sz w:val="28"/>
          <w:szCs w:val="28"/>
        </w:rPr>
      </w:pPr>
      <w:r>
        <w:rPr>
          <w:sz w:val="28"/>
          <w:szCs w:val="28"/>
        </w:rPr>
        <w:t>Day three – 321 BC</w:t>
      </w:r>
    </w:p>
    <w:p w14:paraId="61D6C5CC" w14:textId="77777777" w:rsidR="00357FE9" w:rsidRDefault="00357FE9" w:rsidP="004B0115">
      <w:pPr>
        <w:rPr>
          <w:sz w:val="28"/>
          <w:szCs w:val="28"/>
        </w:rPr>
      </w:pPr>
    </w:p>
    <w:p w14:paraId="076F0BA3" w14:textId="366AAAB5" w:rsidR="00357FE9" w:rsidRDefault="00357FE9" w:rsidP="004B0115">
      <w:r>
        <w:tab/>
        <w:t>Given that the Macedonians had seen Perdikkas for the traitor that he was, he killed himself in disgrace.</w:t>
      </w:r>
      <w:r w:rsidR="0065576F">
        <w:rPr>
          <w:rStyle w:val="FootnoteReference"/>
        </w:rPr>
        <w:footnoteReference w:id="15"/>
      </w:r>
      <w:r w:rsidR="006D33FB">
        <w:t xml:space="preserve"> </w:t>
      </w:r>
      <w:r w:rsidR="004D40A2">
        <w:t xml:space="preserve">Antipater soon died of old age, at which point I gained control of Macedonia and Greece, and Polyperchon gained control of Thrace with Nearchos. </w:t>
      </w:r>
    </w:p>
    <w:p w14:paraId="4C579A64" w14:textId="37F2E1F0" w:rsidR="00DC58C5" w:rsidRDefault="00DC58C5" w:rsidP="004B0115">
      <w:r>
        <w:tab/>
        <w:t>We received an envoy from Antigon</w:t>
      </w:r>
      <w:r w:rsidR="00F961BC">
        <w:t>us informing us that Eumenes was going to cross</w:t>
      </w:r>
      <w:r>
        <w:t xml:space="preserve"> the Hellespont and that Antigonus wanted to ally himself with us against him. </w:t>
      </w:r>
      <w:r w:rsidR="00F961BC">
        <w:t>We deploye</w:t>
      </w:r>
      <w:r w:rsidR="00CD0411">
        <w:t>d the Macedonian army into Bithy</w:t>
      </w:r>
      <w:r w:rsidR="00F961BC">
        <w:t xml:space="preserve">nia to meet </w:t>
      </w:r>
      <w:r w:rsidR="00CD0411">
        <w:t xml:space="preserve">him in battle. The Macedonians were victorious in battle </w:t>
      </w:r>
      <w:r w:rsidR="00AF185F">
        <w:t>and upon returning to Pella, I was informed that my wife Cleopatra had given birth to a son which I named Krateros II.</w:t>
      </w:r>
      <w:r w:rsidR="001A2058">
        <w:t xml:space="preserve"> Olympias then left Macedonia with him and went into hidi</w:t>
      </w:r>
      <w:r w:rsidR="008B657C">
        <w:t>ng in order to protect him until he came of age and was able to rule after me.</w:t>
      </w:r>
    </w:p>
    <w:p w14:paraId="5B029A2C" w14:textId="40983E6B" w:rsidR="00E82521" w:rsidRDefault="00E82521" w:rsidP="004B0115">
      <w:r>
        <w:tab/>
        <w:t>Nearchos then attempted to betray us and not allow us to leave Bithynia following the battle by blockading our army with his ships. We quickly assassinated</w:t>
      </w:r>
      <w:r w:rsidR="00323149">
        <w:rPr>
          <w:rStyle w:val="FootnoteReference"/>
        </w:rPr>
        <w:footnoteReference w:id="16"/>
      </w:r>
      <w:r>
        <w:t xml:space="preserve"> Nearchos and gained the favour of the navy’s generals wh</w:t>
      </w:r>
      <w:r w:rsidR="00EE0D7E">
        <w:t>o agreed to come under Macedonian</w:t>
      </w:r>
      <w:r w:rsidR="00A43280">
        <w:t xml:space="preserve"> control</w:t>
      </w:r>
      <w:r>
        <w:t xml:space="preserve">. </w:t>
      </w:r>
    </w:p>
    <w:p w14:paraId="6F8D13A1" w14:textId="77777777" w:rsidR="00A5669A" w:rsidRDefault="00A5669A" w:rsidP="004B0115"/>
    <w:p w14:paraId="12370632" w14:textId="110588AE" w:rsidR="00A5669A" w:rsidRDefault="00442822" w:rsidP="004B0115">
      <w:pPr>
        <w:rPr>
          <w:sz w:val="28"/>
          <w:szCs w:val="28"/>
        </w:rPr>
      </w:pPr>
      <w:r w:rsidRPr="00442822">
        <w:rPr>
          <w:sz w:val="28"/>
          <w:szCs w:val="28"/>
        </w:rPr>
        <w:t>Day four – 320 BC</w:t>
      </w:r>
    </w:p>
    <w:p w14:paraId="1C59294B" w14:textId="77777777" w:rsidR="00442822" w:rsidRDefault="00442822" w:rsidP="004B0115">
      <w:pPr>
        <w:rPr>
          <w:sz w:val="28"/>
          <w:szCs w:val="28"/>
        </w:rPr>
      </w:pPr>
    </w:p>
    <w:p w14:paraId="2391F0EC" w14:textId="4BD482BE" w:rsidR="00442822" w:rsidRDefault="00271073" w:rsidP="004B0115">
      <w:r>
        <w:tab/>
      </w:r>
      <w:r w:rsidR="00E82521">
        <w:t xml:space="preserve">In order to raise money and to begin a relationship with the Greek poleis in the west, </w:t>
      </w:r>
      <w:r w:rsidR="00974327">
        <w:t xml:space="preserve">we sold our newly acquired 3,000 ships to Syracuse. </w:t>
      </w:r>
      <w:r w:rsidR="00892457">
        <w:t xml:space="preserve">I left 350 ships in the Hellespont to deter the trade and crossing of enemy </w:t>
      </w:r>
      <w:r w:rsidR="001D7A0A">
        <w:t xml:space="preserve">armies. </w:t>
      </w:r>
      <w:r w:rsidR="00C8682A">
        <w:t>After</w:t>
      </w:r>
      <w:r w:rsidR="00C43DF4">
        <w:t xml:space="preserve"> receiving word that Ptolemy had</w:t>
      </w:r>
      <w:r w:rsidR="00C8682A">
        <w:t xml:space="preserve"> landed a force of </w:t>
      </w:r>
      <w:r w:rsidR="001A1A87">
        <w:t>10,000 men i</w:t>
      </w:r>
      <w:r w:rsidR="00C43DF4">
        <w:t>n Athens, the Macedonian army was</w:t>
      </w:r>
      <w:r w:rsidR="001A1A87">
        <w:t xml:space="preserve"> drawn</w:t>
      </w:r>
      <w:r w:rsidR="00C43DF4">
        <w:t xml:space="preserve"> out o</w:t>
      </w:r>
      <w:r w:rsidR="002A7B12">
        <w:t xml:space="preserve">f the Hellespont and began to go back home to Pella. Whilst this was happening, an envoy was sent to us to inform us that Antigonus had betrayed us and </w:t>
      </w:r>
      <w:r w:rsidR="00EF02ED">
        <w:t>was beginning to pick a fight with our army.</w:t>
      </w:r>
      <w:r w:rsidR="000C17A9">
        <w:t xml:space="preserve"> Additionally, Sestos had flipped against us and the Peloponnese </w:t>
      </w:r>
      <w:r w:rsidR="001263EA">
        <w:t xml:space="preserve">opted to show Ptolemy loyalty. </w:t>
      </w:r>
    </w:p>
    <w:p w14:paraId="6DB6DA27" w14:textId="657D5286" w:rsidR="00597B6A" w:rsidRDefault="00597B6A" w:rsidP="004B0115">
      <w:r>
        <w:tab/>
        <w:t>Eumenes and Antigonus began to work together with their armies against mine in battle, during which we</w:t>
      </w:r>
      <w:r w:rsidR="005C12F5">
        <w:t xml:space="preserve"> won but</w:t>
      </w:r>
      <w:r>
        <w:t xml:space="preserve"> lost 300 men. Antigonus was killed in battle and both Eumenes and Eurydice were mortally wounded. </w:t>
      </w:r>
      <w:r w:rsidR="00C07269">
        <w:t>We then gained 615 men from Antigonus’ fleeing army</w:t>
      </w:r>
      <w:r w:rsidR="005C12F5">
        <w:t xml:space="preserve">, and an additional 13,800 men from Eumenes’ army when he was not able to pay them and then later died from his wounds. Eurydice also succumbed to her wounds and died following the battle. </w:t>
      </w:r>
    </w:p>
    <w:p w14:paraId="74E00957" w14:textId="2F333306" w:rsidR="00EA4E06" w:rsidRDefault="00EA4E06" w:rsidP="004B0115">
      <w:r>
        <w:tab/>
      </w:r>
    </w:p>
    <w:p w14:paraId="51D338B4" w14:textId="6A1F7CF8" w:rsidR="00EA4E06" w:rsidRPr="00EA4E06" w:rsidRDefault="00EA4E06" w:rsidP="004B0115">
      <w:pPr>
        <w:rPr>
          <w:sz w:val="28"/>
          <w:szCs w:val="28"/>
        </w:rPr>
      </w:pPr>
      <w:r w:rsidRPr="00EA4E06">
        <w:rPr>
          <w:sz w:val="28"/>
          <w:szCs w:val="28"/>
        </w:rPr>
        <w:t>Day five – 319 BC</w:t>
      </w:r>
    </w:p>
    <w:p w14:paraId="7DB6D53D" w14:textId="77777777" w:rsidR="00EA4E06" w:rsidRDefault="00EA4E06" w:rsidP="004B0115"/>
    <w:p w14:paraId="550A2104" w14:textId="5A1A2D8C" w:rsidR="00EA4E06" w:rsidRDefault="00EA4E06" w:rsidP="004B0115">
      <w:r>
        <w:tab/>
      </w:r>
      <w:r w:rsidR="009A305B">
        <w:t xml:space="preserve">In order to secure control in my kingdom, I named </w:t>
      </w:r>
      <w:proofErr w:type="spellStart"/>
      <w:r w:rsidR="009A305B">
        <w:t>Argaeus</w:t>
      </w:r>
      <w:proofErr w:type="spellEnd"/>
      <w:r w:rsidR="009A305B">
        <w:t xml:space="preserve"> (Harry Constable’s fictionalized character) as interim successor </w:t>
      </w:r>
      <w:r w:rsidR="00AA6C68">
        <w:t xml:space="preserve">and rule with Krateros II </w:t>
      </w:r>
      <w:r w:rsidR="009A305B">
        <w:t>until which time that my son co</w:t>
      </w:r>
      <w:r w:rsidR="00AA6C68">
        <w:t>mes of age and is able to rule alone.</w:t>
      </w:r>
      <w:r w:rsidR="001B65EF">
        <w:rPr>
          <w:rStyle w:val="FootnoteReference"/>
        </w:rPr>
        <w:footnoteReference w:id="17"/>
      </w:r>
    </w:p>
    <w:p w14:paraId="03A9C118" w14:textId="63BAFBB8" w:rsidR="00524096" w:rsidRDefault="00524096" w:rsidP="004B0115">
      <w:r>
        <w:tab/>
      </w:r>
      <w:r w:rsidR="00321DA2">
        <w:t>A</w:t>
      </w:r>
      <w:r>
        <w:t xml:space="preserve"> trade deal was forme</w:t>
      </w:r>
      <w:r w:rsidR="006762EA">
        <w:t>d with Syracuse in which we sent</w:t>
      </w:r>
      <w:r>
        <w:t xml:space="preserve"> the</w:t>
      </w:r>
      <w:r w:rsidR="0022201F">
        <w:t>m timber in exchange for grain.</w:t>
      </w:r>
      <w:r w:rsidR="0022201F">
        <w:rPr>
          <w:rStyle w:val="FootnoteReference"/>
        </w:rPr>
        <w:footnoteReference w:id="18"/>
      </w:r>
      <w:r w:rsidR="00501F0C">
        <w:t xml:space="preserve"> </w:t>
      </w:r>
      <w:r w:rsidR="006762EA">
        <w:t xml:space="preserve">Following our victories against Antigonus and Eumenes, we began to </w:t>
      </w:r>
      <w:r w:rsidR="006626CC">
        <w:t xml:space="preserve">invade areas in Asia Minor and siege </w:t>
      </w:r>
      <w:r w:rsidR="00DE2B57">
        <w:t>Pergamum</w:t>
      </w:r>
      <w:r w:rsidR="006626CC">
        <w:t xml:space="preserve"> wher</w:t>
      </w:r>
      <w:r w:rsidR="00191325">
        <w:t xml:space="preserve">e Antigonus was hiding with what was left of his army. </w:t>
      </w:r>
      <w:r w:rsidR="00EA399F">
        <w:t>It was then that we received word that the Ptolemaic and Seleucid armies were advancing on us and we b</w:t>
      </w:r>
      <w:r w:rsidR="00730F96">
        <w:t xml:space="preserve">egan to retreat back to Pella. </w:t>
      </w:r>
      <w:r w:rsidR="00EA399F">
        <w:t>Ptolemy’</w:t>
      </w:r>
      <w:r w:rsidR="00E5022B">
        <w:t xml:space="preserve">s fleet did not allow us to flee, and negotiations with Seleucid began to avoid battle. </w:t>
      </w:r>
    </w:p>
    <w:p w14:paraId="4FC2F4AB" w14:textId="77777777" w:rsidR="00D00569" w:rsidRDefault="00D00569" w:rsidP="004B0115"/>
    <w:p w14:paraId="05313531" w14:textId="7840F421" w:rsidR="00D00569" w:rsidRDefault="00FB4898" w:rsidP="004B0115">
      <w:pPr>
        <w:rPr>
          <w:sz w:val="28"/>
          <w:szCs w:val="28"/>
        </w:rPr>
      </w:pPr>
      <w:r>
        <w:rPr>
          <w:sz w:val="28"/>
          <w:szCs w:val="28"/>
        </w:rPr>
        <w:t>Day six – 318 BC</w:t>
      </w:r>
    </w:p>
    <w:p w14:paraId="62126F33" w14:textId="77777777" w:rsidR="00FB4898" w:rsidRDefault="00FB4898" w:rsidP="004B0115">
      <w:pPr>
        <w:rPr>
          <w:sz w:val="28"/>
          <w:szCs w:val="28"/>
        </w:rPr>
      </w:pPr>
    </w:p>
    <w:p w14:paraId="6EE298D0" w14:textId="533E7C3F" w:rsidR="00FB4898" w:rsidRDefault="00FB4898" w:rsidP="004B0115">
      <w:r>
        <w:tab/>
      </w:r>
      <w:r w:rsidR="002B698A">
        <w:t>In order to avoid battl</w:t>
      </w:r>
      <w:r w:rsidR="00AF4FF6">
        <w:t xml:space="preserve">e with the Ptolemaic and Seleucid armies, I agreed </w:t>
      </w:r>
      <w:r w:rsidR="00075657">
        <w:t>to marry Ptolemy’</w:t>
      </w:r>
      <w:r w:rsidR="00B15705">
        <w:t>s daughter and went to Egypt to remain safe</w:t>
      </w:r>
      <w:r w:rsidR="00C308DF">
        <w:rPr>
          <w:rStyle w:val="FootnoteReference"/>
        </w:rPr>
        <w:footnoteReference w:id="19"/>
      </w:r>
      <w:r w:rsidR="00B15705">
        <w:t xml:space="preserve">. Ptolemy allowed me to remain regent of Macedon. </w:t>
      </w:r>
      <w:r w:rsidR="00E751EF">
        <w:t xml:space="preserve">While </w:t>
      </w:r>
      <w:proofErr w:type="spellStart"/>
      <w:r w:rsidR="00E751EF">
        <w:t>Argaeus</w:t>
      </w:r>
      <w:proofErr w:type="spellEnd"/>
      <w:r w:rsidR="00E751EF">
        <w:t xml:space="preserve"> was in Macedonia, my army was happy to show their loyalties to him until my return.</w:t>
      </w:r>
    </w:p>
    <w:p w14:paraId="0D21FA2C" w14:textId="77777777" w:rsidR="00CC0702" w:rsidRDefault="00CC0702" w:rsidP="004B0115"/>
    <w:p w14:paraId="6B871CA2" w14:textId="596833E7" w:rsidR="00CC0702" w:rsidRDefault="00CC0702" w:rsidP="004B0115">
      <w:pPr>
        <w:rPr>
          <w:sz w:val="28"/>
          <w:szCs w:val="28"/>
        </w:rPr>
      </w:pPr>
      <w:r w:rsidRPr="00CC0702">
        <w:rPr>
          <w:sz w:val="28"/>
          <w:szCs w:val="28"/>
        </w:rPr>
        <w:t>Day seven</w:t>
      </w:r>
      <w:r w:rsidR="00E751EF">
        <w:rPr>
          <w:sz w:val="28"/>
          <w:szCs w:val="28"/>
        </w:rPr>
        <w:t xml:space="preserve"> – 317 BC</w:t>
      </w:r>
    </w:p>
    <w:p w14:paraId="5DDDE6BD" w14:textId="77777777" w:rsidR="00335BA7" w:rsidRDefault="00335BA7" w:rsidP="004B0115">
      <w:pPr>
        <w:rPr>
          <w:sz w:val="28"/>
          <w:szCs w:val="28"/>
        </w:rPr>
      </w:pPr>
    </w:p>
    <w:p w14:paraId="24E9DAB8" w14:textId="5E58F2D7" w:rsidR="00335BA7" w:rsidRDefault="00335BA7" w:rsidP="004B0115">
      <w:r>
        <w:rPr>
          <w:sz w:val="28"/>
          <w:szCs w:val="28"/>
        </w:rPr>
        <w:tab/>
      </w:r>
      <w:r w:rsidR="009B1235">
        <w:t xml:space="preserve">Ptolemy allowed me to go back to Macedonia with two of his generals. Upon my return, the Macedonian army and people showed me the same loyalty that they previously had before the discord. </w:t>
      </w:r>
    </w:p>
    <w:p w14:paraId="4A454445" w14:textId="77777777" w:rsidR="009B1235" w:rsidRDefault="009B1235" w:rsidP="004B0115"/>
    <w:p w14:paraId="156911E7" w14:textId="15C49C21" w:rsidR="009B1235" w:rsidRDefault="009B1235" w:rsidP="004B0115">
      <w:pPr>
        <w:rPr>
          <w:sz w:val="28"/>
          <w:szCs w:val="28"/>
        </w:rPr>
      </w:pPr>
      <w:r w:rsidRPr="009B1235">
        <w:rPr>
          <w:sz w:val="28"/>
          <w:szCs w:val="28"/>
        </w:rPr>
        <w:t>Day eight – 316 BC</w:t>
      </w:r>
    </w:p>
    <w:p w14:paraId="32A6536A" w14:textId="77777777" w:rsidR="009B1235" w:rsidRDefault="009B1235" w:rsidP="004B0115">
      <w:pPr>
        <w:rPr>
          <w:sz w:val="28"/>
          <w:szCs w:val="28"/>
        </w:rPr>
      </w:pPr>
    </w:p>
    <w:p w14:paraId="31DAD08B" w14:textId="17A7088E" w:rsidR="009B1235" w:rsidRDefault="009B1235" w:rsidP="004B0115">
      <w:r>
        <w:rPr>
          <w:sz w:val="28"/>
          <w:szCs w:val="28"/>
        </w:rPr>
        <w:tab/>
      </w:r>
      <w:r>
        <w:t>Thrace decided to revolt</w:t>
      </w:r>
      <w:r w:rsidR="004821B3">
        <w:rPr>
          <w:rStyle w:val="FootnoteReference"/>
        </w:rPr>
        <w:footnoteReference w:id="20"/>
      </w:r>
      <w:r>
        <w:t xml:space="preserve"> against me as their ruler so I sent a mass of 6,000 troops in to settle any unhappiness. My army failed to end the revolt and as a result I lost 25% of my troops. </w:t>
      </w:r>
    </w:p>
    <w:p w14:paraId="51E6F032" w14:textId="2F80E13C" w:rsidR="009B1235" w:rsidRDefault="009B1235" w:rsidP="004B0115">
      <w:r>
        <w:tab/>
        <w:t>After demonstrating his growing po</w:t>
      </w:r>
      <w:r w:rsidR="00075231">
        <w:t>wer and influence in the east, Macedon sent</w:t>
      </w:r>
      <w:r>
        <w:t xml:space="preserve"> </w:t>
      </w:r>
      <w:r w:rsidR="00E72480">
        <w:t xml:space="preserve">a </w:t>
      </w:r>
      <w:r>
        <w:t>donkey eating figs and dr</w:t>
      </w:r>
      <w:r w:rsidR="00E72480">
        <w:t>inking wine</w:t>
      </w:r>
      <w:r>
        <w:t xml:space="preserve"> to </w:t>
      </w:r>
      <w:proofErr w:type="spellStart"/>
      <w:r>
        <w:t>Leonnatus</w:t>
      </w:r>
      <w:proofErr w:type="spellEnd"/>
      <w:r>
        <w:t xml:space="preserve"> </w:t>
      </w:r>
      <w:r w:rsidR="00E72480">
        <w:t>as an offering of</w:t>
      </w:r>
      <w:r w:rsidR="00037673">
        <w:t xml:space="preserve"> good will. </w:t>
      </w:r>
      <w:r w:rsidR="00C24808">
        <w:t xml:space="preserve">Upon seeing the donkey, </w:t>
      </w:r>
      <w:proofErr w:type="spellStart"/>
      <w:r w:rsidR="00C24808">
        <w:t>Leonnatus</w:t>
      </w:r>
      <w:proofErr w:type="spellEnd"/>
      <w:r w:rsidR="00C24808">
        <w:t xml:space="preserve"> proceeded to laugh himself to death</w:t>
      </w:r>
      <w:r w:rsidR="003C44C7">
        <w:t>.</w:t>
      </w:r>
      <w:r w:rsidR="002C077E">
        <w:rPr>
          <w:rStyle w:val="FootnoteReference"/>
        </w:rPr>
        <w:footnoteReference w:id="21"/>
      </w:r>
    </w:p>
    <w:p w14:paraId="4F57810F" w14:textId="69DFF219" w:rsidR="002A6B39" w:rsidRDefault="002A6B39" w:rsidP="004B0115">
      <w:r>
        <w:tab/>
        <w:t xml:space="preserve">I made another attempt to settle the unrest in Thrace and </w:t>
      </w:r>
      <w:r w:rsidR="00214B7B">
        <w:t>was successful, that time with them happily coming back under my control.</w:t>
      </w:r>
    </w:p>
    <w:p w14:paraId="0F13E872" w14:textId="77777777" w:rsidR="00062E90" w:rsidRDefault="00062E90" w:rsidP="004B0115"/>
    <w:p w14:paraId="09C91E28" w14:textId="06FBBD28" w:rsidR="00062E90" w:rsidRDefault="00062E90" w:rsidP="004B0115">
      <w:pPr>
        <w:rPr>
          <w:sz w:val="28"/>
          <w:szCs w:val="28"/>
        </w:rPr>
      </w:pPr>
      <w:r>
        <w:tab/>
      </w:r>
      <w:r w:rsidRPr="00062E90">
        <w:rPr>
          <w:sz w:val="28"/>
          <w:szCs w:val="28"/>
        </w:rPr>
        <w:t>Day nine – 315 BC</w:t>
      </w:r>
    </w:p>
    <w:p w14:paraId="02944A87" w14:textId="77777777" w:rsidR="00062E90" w:rsidRDefault="00062E90" w:rsidP="004B0115">
      <w:pPr>
        <w:rPr>
          <w:sz w:val="28"/>
          <w:szCs w:val="28"/>
        </w:rPr>
      </w:pPr>
    </w:p>
    <w:p w14:paraId="06B23231" w14:textId="58200916" w:rsidR="004A3459" w:rsidRDefault="00062E90" w:rsidP="004A3459">
      <w:r>
        <w:rPr>
          <w:sz w:val="28"/>
          <w:szCs w:val="28"/>
        </w:rPr>
        <w:tab/>
      </w:r>
      <w:r w:rsidR="00B91A44" w:rsidRPr="00B91A44">
        <w:t xml:space="preserve">In order to </w:t>
      </w:r>
      <w:r w:rsidR="00B91A44">
        <w:t xml:space="preserve">diminish his control, I began to think of an assassination attempt against Ptolemy. My plan was to </w:t>
      </w:r>
      <w:r w:rsidR="00D120B2">
        <w:t xml:space="preserve">send in an assassin to </w:t>
      </w:r>
      <w:r w:rsidR="00B91A44">
        <w:t xml:space="preserve">poison his wine and food with </w:t>
      </w:r>
      <w:proofErr w:type="spellStart"/>
      <w:r w:rsidR="004A3459">
        <w:t>Veratrum</w:t>
      </w:r>
      <w:proofErr w:type="spellEnd"/>
      <w:r w:rsidR="004A3459">
        <w:t xml:space="preserve"> album</w:t>
      </w:r>
      <w:r w:rsidR="00155C64">
        <w:t>,</w:t>
      </w:r>
      <w:r w:rsidR="00EF63A4">
        <w:rPr>
          <w:rStyle w:val="FootnoteReference"/>
        </w:rPr>
        <w:footnoteReference w:id="22"/>
      </w:r>
      <w:r w:rsidR="001E17BB">
        <w:t xml:space="preserve"> however my plan w</w:t>
      </w:r>
      <w:r w:rsidR="00D120B2">
        <w:t xml:space="preserve">as thwarted by his food testers. Suspecting that Ptolemy would discover that I was the one who attempted to assassinate him, </w:t>
      </w:r>
      <w:r w:rsidR="00AC2172">
        <w:t>I sent an envoy to Syracuse to ask for asylum.</w:t>
      </w:r>
      <w:r w:rsidR="00291A1C">
        <w:t xml:space="preserve"> After successful communications, I left Macedon to live in Syracuse. </w:t>
      </w:r>
    </w:p>
    <w:p w14:paraId="5FEB120B" w14:textId="256D9FAD" w:rsidR="00291A1C" w:rsidRDefault="00291A1C" w:rsidP="004A3459">
      <w:r>
        <w:tab/>
        <w:t xml:space="preserve">Following their purchase of my 3,000 ships in </w:t>
      </w:r>
      <w:r w:rsidR="004218C7">
        <w:t>320 BC, Syracuse went on claim control of the entire island of Sicily.</w:t>
      </w:r>
      <w:r w:rsidR="00873A40">
        <w:t xml:space="preserve"> After marrying the daughter</w:t>
      </w:r>
      <w:r w:rsidR="00D521BA">
        <w:rPr>
          <w:rStyle w:val="FootnoteReference"/>
        </w:rPr>
        <w:footnoteReference w:id="23"/>
      </w:r>
      <w:r w:rsidR="00873A40">
        <w:t xml:space="preserve"> of the current tyrant of Syracuse, Agathocles</w:t>
      </w:r>
      <w:r w:rsidR="00B46F96">
        <w:t>,</w:t>
      </w:r>
      <w:r w:rsidR="00873A40">
        <w:rPr>
          <w:rStyle w:val="FootnoteReference"/>
        </w:rPr>
        <w:footnoteReference w:id="24"/>
      </w:r>
      <w:r w:rsidR="00B46F96">
        <w:t xml:space="preserve"> I was fully accepted into the court. </w:t>
      </w:r>
      <w:r w:rsidR="00255659">
        <w:t xml:space="preserve">Agathocles then named me </w:t>
      </w:r>
      <w:proofErr w:type="spellStart"/>
      <w:r w:rsidR="00255659">
        <w:rPr>
          <w:i/>
        </w:rPr>
        <w:t>strategos</w:t>
      </w:r>
      <w:proofErr w:type="spellEnd"/>
      <w:r w:rsidR="00255659">
        <w:rPr>
          <w:i/>
        </w:rPr>
        <w:t xml:space="preserve"> </w:t>
      </w:r>
      <w:r w:rsidR="00255659">
        <w:t xml:space="preserve">of the Sicilian forces. </w:t>
      </w:r>
    </w:p>
    <w:p w14:paraId="070213E3" w14:textId="77777777" w:rsidR="003C181B" w:rsidRDefault="003C181B" w:rsidP="004A3459"/>
    <w:p w14:paraId="75C19E73" w14:textId="36308B54" w:rsidR="003C181B" w:rsidRDefault="003C181B" w:rsidP="004A3459">
      <w:pPr>
        <w:rPr>
          <w:sz w:val="28"/>
          <w:szCs w:val="28"/>
        </w:rPr>
      </w:pPr>
      <w:r>
        <w:rPr>
          <w:sz w:val="28"/>
          <w:szCs w:val="28"/>
        </w:rPr>
        <w:t>Day ten – 314 BC</w:t>
      </w:r>
    </w:p>
    <w:p w14:paraId="2507C580" w14:textId="77777777" w:rsidR="003C181B" w:rsidRDefault="003C181B" w:rsidP="004A3459">
      <w:pPr>
        <w:rPr>
          <w:sz w:val="28"/>
          <w:szCs w:val="28"/>
        </w:rPr>
      </w:pPr>
    </w:p>
    <w:p w14:paraId="7F5DE875" w14:textId="1451E4A9" w:rsidR="003C181B" w:rsidRPr="003C181B" w:rsidRDefault="003C181B" w:rsidP="004A3459">
      <w:r>
        <w:tab/>
        <w:t>Following my new position within the court of Syracuse, I took half of the Sicilian ar</w:t>
      </w:r>
      <w:r w:rsidR="00977E7B">
        <w:t>my and navy to Italy to invade and to convince the Greek poleis</w:t>
      </w:r>
      <w:r w:rsidR="0084169C">
        <w:rPr>
          <w:rStyle w:val="FootnoteReference"/>
        </w:rPr>
        <w:footnoteReference w:id="25"/>
      </w:r>
      <w:r w:rsidR="00977E7B">
        <w:t xml:space="preserve"> on the land to support Syracuse.</w:t>
      </w:r>
      <w:r w:rsidR="00D90636">
        <w:t xml:space="preserve"> </w:t>
      </w:r>
      <w:r w:rsidR="003317EA">
        <w:t>The ball of the foot in Italy quickly opted to come under the rule of</w:t>
      </w:r>
      <w:bookmarkStart w:id="0" w:name="_GoBack"/>
      <w:bookmarkEnd w:id="0"/>
      <w:r w:rsidR="003317EA">
        <w:t xml:space="preserve"> Syracuse. Upon coming to Heraclea a few months into the campaign, </w:t>
      </w:r>
      <w:r w:rsidR="00326E88">
        <w:t>they refused to concede control of the city. My arm</w:t>
      </w:r>
      <w:r w:rsidR="00EC7775">
        <w:t xml:space="preserve">y and I began to siege Heraclea, which ended up taking much longer than anticipated. In response to their refusal to </w:t>
      </w:r>
      <w:r w:rsidR="002527CF">
        <w:t xml:space="preserve">recognise Syracuse as their ruler, my army </w:t>
      </w:r>
      <w:r w:rsidR="00A5695E">
        <w:t xml:space="preserve">proceeded to </w:t>
      </w:r>
      <w:r w:rsidR="002C6E1F">
        <w:t>destroy the city and enslave its people.</w:t>
      </w:r>
      <w:r w:rsidR="002C6E1F">
        <w:rPr>
          <w:rStyle w:val="FootnoteReference"/>
        </w:rPr>
        <w:footnoteReference w:id="26"/>
      </w:r>
      <w:r w:rsidR="00D77A35">
        <w:t xml:space="preserve"> Following this siege, my army advanced into Italy and was able to conquer the remaining portions. </w:t>
      </w:r>
      <w:r w:rsidR="003E460B">
        <w:t xml:space="preserve">At the end of the year, I declared myself the king of Italy and left Agathocles to rule in Syracuse. </w:t>
      </w:r>
    </w:p>
    <w:p w14:paraId="077ED15E" w14:textId="77777777" w:rsidR="004A3459" w:rsidRPr="004A3459" w:rsidRDefault="004A3459" w:rsidP="004A3459"/>
    <w:p w14:paraId="6183538D" w14:textId="77777777" w:rsidR="004A3459" w:rsidRPr="004A3459" w:rsidRDefault="004A3459" w:rsidP="004A3459"/>
    <w:p w14:paraId="75FDAF99" w14:textId="77777777" w:rsidR="004A3459" w:rsidRPr="004A3459" w:rsidRDefault="004A3459" w:rsidP="004A3459"/>
    <w:p w14:paraId="4AE17B1D" w14:textId="77777777" w:rsidR="004A3459" w:rsidRPr="004A3459" w:rsidRDefault="004A3459" w:rsidP="004A3459"/>
    <w:p w14:paraId="04432133" w14:textId="77777777" w:rsidR="004A3459" w:rsidRPr="004A3459" w:rsidRDefault="004A3459" w:rsidP="004A3459"/>
    <w:p w14:paraId="7D7EB9F0" w14:textId="77777777" w:rsidR="004A3459" w:rsidRDefault="004A3459" w:rsidP="004A3459"/>
    <w:p w14:paraId="7E4091C0" w14:textId="77777777" w:rsidR="00CA4E59" w:rsidRDefault="00CA4E59" w:rsidP="004A3459"/>
    <w:p w14:paraId="0E246CD0" w14:textId="77777777" w:rsidR="00CA4E59" w:rsidRDefault="00CA4E59" w:rsidP="004A3459"/>
    <w:p w14:paraId="266F16FE" w14:textId="77777777" w:rsidR="00CA4E59" w:rsidRDefault="00CA4E59" w:rsidP="004A3459"/>
    <w:p w14:paraId="0ED1E74B" w14:textId="77777777" w:rsidR="00CA4E59" w:rsidRDefault="00CA4E59" w:rsidP="004A3459"/>
    <w:p w14:paraId="25A2D3A2" w14:textId="77777777" w:rsidR="00CA4E59" w:rsidRDefault="00CA4E59" w:rsidP="004A3459"/>
    <w:p w14:paraId="729DA7D8" w14:textId="77777777" w:rsidR="00CA4E59" w:rsidRDefault="00CA4E59" w:rsidP="004A3459"/>
    <w:p w14:paraId="253CF9F0" w14:textId="77777777" w:rsidR="00CA4E59" w:rsidRDefault="00CA4E59" w:rsidP="004A3459"/>
    <w:p w14:paraId="2F4D3864" w14:textId="77777777" w:rsidR="00CA4E59" w:rsidRDefault="00CA4E59" w:rsidP="004A3459"/>
    <w:p w14:paraId="6DA37FB1" w14:textId="77777777" w:rsidR="004578DC" w:rsidRPr="00280A96" w:rsidRDefault="004578DC" w:rsidP="004578DC">
      <w:pPr>
        <w:jc w:val="center"/>
        <w:rPr>
          <w:b/>
          <w:color w:val="000000" w:themeColor="text1"/>
          <w:sz w:val="32"/>
          <w:szCs w:val="32"/>
          <w:u w:val="single"/>
        </w:rPr>
      </w:pPr>
      <w:r w:rsidRPr="00280A96">
        <w:rPr>
          <w:b/>
          <w:color w:val="000000" w:themeColor="text1"/>
          <w:sz w:val="32"/>
          <w:szCs w:val="32"/>
          <w:u w:val="single"/>
        </w:rPr>
        <w:t>Bibliography</w:t>
      </w:r>
    </w:p>
    <w:p w14:paraId="34668AA2" w14:textId="77777777" w:rsidR="004578DC" w:rsidRPr="00280A96" w:rsidRDefault="004578DC" w:rsidP="004578DC">
      <w:pPr>
        <w:jc w:val="center"/>
        <w:rPr>
          <w:b/>
          <w:color w:val="000000" w:themeColor="text1"/>
          <w:sz w:val="32"/>
          <w:szCs w:val="32"/>
          <w:u w:val="single"/>
        </w:rPr>
      </w:pPr>
    </w:p>
    <w:p w14:paraId="5CE140E4" w14:textId="77777777" w:rsidR="004578DC" w:rsidRPr="00280A96" w:rsidRDefault="004578DC" w:rsidP="004578DC">
      <w:pPr>
        <w:jc w:val="center"/>
        <w:rPr>
          <w:b/>
          <w:color w:val="000000" w:themeColor="text1"/>
          <w:sz w:val="32"/>
          <w:szCs w:val="32"/>
          <w:u w:val="single"/>
        </w:rPr>
      </w:pPr>
    </w:p>
    <w:p w14:paraId="48835514" w14:textId="77777777" w:rsidR="004578DC" w:rsidRPr="00280A96" w:rsidRDefault="004578DC" w:rsidP="004578DC">
      <w:pPr>
        <w:rPr>
          <w:color w:val="000000" w:themeColor="text1"/>
        </w:rPr>
      </w:pPr>
      <w:r w:rsidRPr="00280A96">
        <w:rPr>
          <w:color w:val="000000" w:themeColor="text1"/>
        </w:rPr>
        <w:t>Ancient:</w:t>
      </w:r>
    </w:p>
    <w:p w14:paraId="7163A978" w14:textId="77777777" w:rsidR="004578DC" w:rsidRPr="00280A96" w:rsidRDefault="004578DC" w:rsidP="004578DC">
      <w:pPr>
        <w:rPr>
          <w:color w:val="000000" w:themeColor="text1"/>
        </w:rPr>
      </w:pPr>
    </w:p>
    <w:p w14:paraId="17694C32" w14:textId="77777777" w:rsidR="004578DC" w:rsidRPr="00280A96" w:rsidRDefault="004578DC" w:rsidP="004578DC">
      <w:pPr>
        <w:ind w:left="720" w:hanging="720"/>
        <w:rPr>
          <w:color w:val="000000" w:themeColor="text1"/>
        </w:rPr>
      </w:pPr>
      <w:proofErr w:type="spellStart"/>
      <w:r w:rsidRPr="00280A96">
        <w:rPr>
          <w:color w:val="000000" w:themeColor="text1"/>
        </w:rPr>
        <w:t>Arrian</w:t>
      </w:r>
      <w:proofErr w:type="spellEnd"/>
      <w:r w:rsidRPr="00280A96">
        <w:rPr>
          <w:color w:val="000000" w:themeColor="text1"/>
        </w:rPr>
        <w:t xml:space="preserve">. </w:t>
      </w:r>
      <w:r w:rsidRPr="00280A96">
        <w:rPr>
          <w:i/>
          <w:color w:val="000000" w:themeColor="text1"/>
        </w:rPr>
        <w:t xml:space="preserve">The Anabasis of Alexander. </w:t>
      </w:r>
      <w:r w:rsidRPr="00280A96">
        <w:rPr>
          <w:color w:val="000000" w:themeColor="text1"/>
        </w:rPr>
        <w:t xml:space="preserve">E.J. </w:t>
      </w:r>
      <w:proofErr w:type="spellStart"/>
      <w:r w:rsidRPr="00280A96">
        <w:rPr>
          <w:color w:val="000000" w:themeColor="text1"/>
        </w:rPr>
        <w:t>Chinnock</w:t>
      </w:r>
      <w:proofErr w:type="spellEnd"/>
      <w:r w:rsidRPr="00280A96">
        <w:rPr>
          <w:color w:val="000000" w:themeColor="text1"/>
        </w:rPr>
        <w:t xml:space="preserve"> (trans.). 1884. London: Hodder and Stoughton</w:t>
      </w:r>
    </w:p>
    <w:p w14:paraId="3D9CC759" w14:textId="77777777" w:rsidR="004578DC" w:rsidRPr="00280A96" w:rsidRDefault="004578DC" w:rsidP="004578DC">
      <w:pPr>
        <w:rPr>
          <w:color w:val="000000" w:themeColor="text1"/>
        </w:rPr>
      </w:pPr>
    </w:p>
    <w:p w14:paraId="4298691D" w14:textId="77777777" w:rsidR="004578DC" w:rsidRPr="00280A96" w:rsidRDefault="004578DC" w:rsidP="004578DC">
      <w:pPr>
        <w:rPr>
          <w:color w:val="000000" w:themeColor="text1"/>
        </w:rPr>
      </w:pPr>
      <w:proofErr w:type="spellStart"/>
      <w:r w:rsidRPr="00280A96">
        <w:rPr>
          <w:color w:val="000000" w:themeColor="text1"/>
        </w:rPr>
        <w:t>Diodorus</w:t>
      </w:r>
      <w:proofErr w:type="spellEnd"/>
      <w:r w:rsidRPr="00280A96">
        <w:rPr>
          <w:color w:val="000000" w:themeColor="text1"/>
        </w:rPr>
        <w:t xml:space="preserve"> </w:t>
      </w:r>
      <w:proofErr w:type="spellStart"/>
      <w:r w:rsidRPr="00280A96">
        <w:rPr>
          <w:color w:val="000000" w:themeColor="text1"/>
        </w:rPr>
        <w:t>Siculous</w:t>
      </w:r>
      <w:proofErr w:type="spellEnd"/>
      <w:r w:rsidRPr="00280A96">
        <w:rPr>
          <w:color w:val="000000" w:themeColor="text1"/>
        </w:rPr>
        <w:t xml:space="preserve">, </w:t>
      </w:r>
      <w:r w:rsidRPr="00280A96">
        <w:rPr>
          <w:i/>
          <w:color w:val="000000" w:themeColor="text1"/>
        </w:rPr>
        <w:t xml:space="preserve">Library. </w:t>
      </w:r>
      <w:r w:rsidRPr="00280A96">
        <w:rPr>
          <w:color w:val="000000" w:themeColor="text1"/>
        </w:rPr>
        <w:t xml:space="preserve">C.H. </w:t>
      </w:r>
      <w:proofErr w:type="spellStart"/>
      <w:r w:rsidRPr="00280A96">
        <w:rPr>
          <w:color w:val="000000" w:themeColor="text1"/>
        </w:rPr>
        <w:t>Oldfather</w:t>
      </w:r>
      <w:proofErr w:type="spellEnd"/>
      <w:r w:rsidRPr="00280A96">
        <w:rPr>
          <w:color w:val="000000" w:themeColor="text1"/>
        </w:rPr>
        <w:t xml:space="preserve"> (trans.). 1989. Cambridge, MA: Harvard University Press</w:t>
      </w:r>
    </w:p>
    <w:p w14:paraId="6C0557D2" w14:textId="77777777" w:rsidR="004578DC" w:rsidRPr="00280A96" w:rsidRDefault="004578DC" w:rsidP="004578DC">
      <w:pPr>
        <w:rPr>
          <w:color w:val="000000" w:themeColor="text1"/>
        </w:rPr>
      </w:pPr>
    </w:p>
    <w:p w14:paraId="24070EC6" w14:textId="77777777" w:rsidR="004578DC" w:rsidRPr="00280A96" w:rsidRDefault="004578DC" w:rsidP="004578DC">
      <w:pPr>
        <w:rPr>
          <w:color w:val="000000" w:themeColor="text1"/>
        </w:rPr>
      </w:pPr>
      <w:r w:rsidRPr="00280A96">
        <w:rPr>
          <w:color w:val="000000" w:themeColor="text1"/>
        </w:rPr>
        <w:t xml:space="preserve">Diogenes Laertius, </w:t>
      </w:r>
      <w:r w:rsidRPr="00280A96">
        <w:rPr>
          <w:i/>
          <w:color w:val="000000" w:themeColor="text1"/>
        </w:rPr>
        <w:t xml:space="preserve">Lives of Eminent Philosophers. </w:t>
      </w:r>
      <w:r w:rsidRPr="00280A96">
        <w:rPr>
          <w:color w:val="000000" w:themeColor="text1"/>
        </w:rPr>
        <w:t>R.D. Hicks (trans.). 1972. Cambridge, MA: Harvard University Press</w:t>
      </w:r>
    </w:p>
    <w:p w14:paraId="3DCE8298" w14:textId="77777777" w:rsidR="004578DC" w:rsidRPr="00280A96" w:rsidRDefault="004578DC" w:rsidP="004578DC">
      <w:pPr>
        <w:rPr>
          <w:color w:val="000000" w:themeColor="text1"/>
        </w:rPr>
      </w:pPr>
    </w:p>
    <w:p w14:paraId="3674D1B1" w14:textId="77777777" w:rsidR="004578DC" w:rsidRPr="00280A96" w:rsidRDefault="004578DC" w:rsidP="004578DC">
      <w:pPr>
        <w:rPr>
          <w:color w:val="000000" w:themeColor="text1"/>
        </w:rPr>
      </w:pPr>
      <w:r w:rsidRPr="00280A96">
        <w:rPr>
          <w:color w:val="000000" w:themeColor="text1"/>
        </w:rPr>
        <w:t xml:space="preserve">Plutarch, </w:t>
      </w:r>
      <w:r w:rsidRPr="00280A96">
        <w:rPr>
          <w:i/>
          <w:color w:val="000000" w:themeColor="text1"/>
        </w:rPr>
        <w:t xml:space="preserve">Plutarch’s Lives. </w:t>
      </w:r>
      <w:r w:rsidRPr="00280A96">
        <w:rPr>
          <w:color w:val="000000" w:themeColor="text1"/>
        </w:rPr>
        <w:t>B. Perrin (trans.). 1919. Cambridge, MA: Harvard University Press</w:t>
      </w:r>
    </w:p>
    <w:p w14:paraId="3A9D504A" w14:textId="77777777" w:rsidR="004578DC" w:rsidRPr="00280A96" w:rsidRDefault="004578DC" w:rsidP="004578DC">
      <w:pPr>
        <w:rPr>
          <w:color w:val="000000" w:themeColor="text1"/>
        </w:rPr>
      </w:pPr>
    </w:p>
    <w:p w14:paraId="401DEA52" w14:textId="77777777" w:rsidR="004578DC" w:rsidRPr="00280A96" w:rsidRDefault="004578DC" w:rsidP="004578DC">
      <w:pPr>
        <w:rPr>
          <w:color w:val="000000" w:themeColor="text1"/>
        </w:rPr>
      </w:pPr>
      <w:r w:rsidRPr="00280A96">
        <w:rPr>
          <w:color w:val="000000" w:themeColor="text1"/>
        </w:rPr>
        <w:t>Modern:</w:t>
      </w:r>
    </w:p>
    <w:p w14:paraId="56B3118C" w14:textId="77777777" w:rsidR="004578DC" w:rsidRPr="00280A96" w:rsidRDefault="004578DC" w:rsidP="004578DC">
      <w:pPr>
        <w:rPr>
          <w:color w:val="000000" w:themeColor="text1"/>
        </w:rPr>
      </w:pPr>
    </w:p>
    <w:p w14:paraId="2EB505D2" w14:textId="77777777" w:rsidR="004578DC" w:rsidRPr="00280A96" w:rsidRDefault="004578DC" w:rsidP="004578DC">
      <w:pPr>
        <w:rPr>
          <w:rFonts w:eastAsia="Times New Roman"/>
          <w:color w:val="000000" w:themeColor="text1"/>
          <w:shd w:val="clear" w:color="auto" w:fill="FFFFFF"/>
        </w:rPr>
      </w:pPr>
      <w:proofErr w:type="spellStart"/>
      <w:r w:rsidRPr="00280A96">
        <w:rPr>
          <w:rFonts w:eastAsia="Times New Roman"/>
          <w:color w:val="000000" w:themeColor="text1"/>
          <w:shd w:val="clear" w:color="auto" w:fill="FFFFFF"/>
        </w:rPr>
        <w:t>Badian</w:t>
      </w:r>
      <w:proofErr w:type="spellEnd"/>
      <w:r w:rsidRPr="00280A96">
        <w:rPr>
          <w:rFonts w:eastAsia="Times New Roman"/>
          <w:color w:val="000000" w:themeColor="text1"/>
          <w:shd w:val="clear" w:color="auto" w:fill="FFFFFF"/>
        </w:rPr>
        <w:t>, E. “A King's Notebooks.” </w:t>
      </w:r>
      <w:r w:rsidRPr="00280A96">
        <w:rPr>
          <w:rFonts w:eastAsia="Times New Roman"/>
          <w:i/>
          <w:iCs/>
          <w:color w:val="000000" w:themeColor="text1"/>
          <w:shd w:val="clear" w:color="auto" w:fill="FFFFFF"/>
        </w:rPr>
        <w:t>Harvard Studies in Classical Philology</w:t>
      </w:r>
      <w:r w:rsidRPr="00280A96">
        <w:rPr>
          <w:rFonts w:eastAsia="Times New Roman"/>
          <w:color w:val="000000" w:themeColor="text1"/>
          <w:shd w:val="clear" w:color="auto" w:fill="FFFFFF"/>
        </w:rPr>
        <w:t>, vol. 72, 1968, pp. 183–204</w:t>
      </w:r>
    </w:p>
    <w:p w14:paraId="71AD1A95" w14:textId="77777777" w:rsidR="004578DC" w:rsidRPr="00280A96" w:rsidRDefault="004578DC" w:rsidP="004578DC">
      <w:pPr>
        <w:rPr>
          <w:rFonts w:eastAsia="Times New Roman"/>
          <w:color w:val="000000" w:themeColor="text1"/>
          <w:shd w:val="clear" w:color="auto" w:fill="FFFFFF"/>
        </w:rPr>
      </w:pPr>
    </w:p>
    <w:p w14:paraId="18E1C968" w14:textId="77777777" w:rsidR="004578DC" w:rsidRPr="00280A96" w:rsidRDefault="004578DC" w:rsidP="004578DC">
      <w:pPr>
        <w:rPr>
          <w:rFonts w:eastAsia="Times New Roman"/>
          <w:color w:val="000000" w:themeColor="text1"/>
          <w:shd w:val="clear" w:color="auto" w:fill="FFFFFF"/>
        </w:rPr>
      </w:pPr>
      <w:proofErr w:type="spellStart"/>
      <w:r w:rsidRPr="00280A96">
        <w:rPr>
          <w:rFonts w:eastAsia="Times New Roman"/>
          <w:color w:val="000000" w:themeColor="text1"/>
          <w:shd w:val="clear" w:color="auto" w:fill="FFFFFF"/>
        </w:rPr>
        <w:t>Badian</w:t>
      </w:r>
      <w:proofErr w:type="spellEnd"/>
      <w:r w:rsidRPr="00280A96">
        <w:rPr>
          <w:rFonts w:eastAsia="Times New Roman"/>
          <w:color w:val="000000" w:themeColor="text1"/>
          <w:shd w:val="clear" w:color="auto" w:fill="FFFFFF"/>
        </w:rPr>
        <w:t xml:space="preserve">, E. 2006. </w:t>
      </w:r>
      <w:proofErr w:type="spellStart"/>
      <w:r w:rsidRPr="00280A96">
        <w:rPr>
          <w:rFonts w:eastAsia="Times New Roman"/>
          <w:color w:val="000000" w:themeColor="text1"/>
          <w:shd w:val="clear" w:color="auto" w:fill="FFFFFF"/>
        </w:rPr>
        <w:t>Craterus</w:t>
      </w:r>
      <w:proofErr w:type="spellEnd"/>
      <w:r w:rsidRPr="00280A96">
        <w:rPr>
          <w:rFonts w:eastAsia="Times New Roman"/>
          <w:color w:val="000000" w:themeColor="text1"/>
          <w:shd w:val="clear" w:color="auto" w:fill="FFFFFF"/>
        </w:rPr>
        <w:t xml:space="preserve">. </w:t>
      </w:r>
      <w:proofErr w:type="spellStart"/>
      <w:r w:rsidRPr="00280A96">
        <w:rPr>
          <w:rFonts w:eastAsia="Times New Roman"/>
          <w:color w:val="000000" w:themeColor="text1"/>
          <w:shd w:val="clear" w:color="auto" w:fill="FFFFFF"/>
        </w:rPr>
        <w:t>Brillonline</w:t>
      </w:r>
      <w:proofErr w:type="spellEnd"/>
      <w:r w:rsidRPr="00280A96">
        <w:rPr>
          <w:rFonts w:eastAsia="Times New Roman"/>
          <w:color w:val="000000" w:themeColor="text1"/>
          <w:shd w:val="clear" w:color="auto" w:fill="FFFFFF"/>
        </w:rPr>
        <w:t xml:space="preserve"> Reference Works. Available from: </w:t>
      </w:r>
      <w:hyperlink r:id="rId6" w:history="1">
        <w:r w:rsidRPr="00280A96">
          <w:rPr>
            <w:rStyle w:val="Hyperlink"/>
            <w:rFonts w:eastAsia="Times New Roman"/>
            <w:color w:val="000000" w:themeColor="text1"/>
            <w:shd w:val="clear" w:color="auto" w:fill="FFFFFF"/>
          </w:rPr>
          <w:t>https://referenceworks-brillonline-com.ezproxy.uwtsd.ac.uk/entries/brill-s-new-pauly/craterus-e622110?s.num=0&amp;s.f.s2_parent=s.f.book.brill-s-new-pauly&amp;s.q=craterus</w:t>
        </w:r>
      </w:hyperlink>
      <w:r w:rsidRPr="00280A96">
        <w:rPr>
          <w:rFonts w:eastAsia="Times New Roman"/>
          <w:color w:val="000000" w:themeColor="text1"/>
          <w:shd w:val="clear" w:color="auto" w:fill="FFFFFF"/>
        </w:rPr>
        <w:t>. [Accessed on 13/11/18]</w:t>
      </w:r>
    </w:p>
    <w:p w14:paraId="28F85740" w14:textId="77777777" w:rsidR="004578DC" w:rsidRPr="00280A96" w:rsidRDefault="004578DC" w:rsidP="004578DC">
      <w:pPr>
        <w:rPr>
          <w:rFonts w:eastAsia="Times New Roman"/>
          <w:color w:val="000000" w:themeColor="text1"/>
          <w:shd w:val="clear" w:color="auto" w:fill="FFFFFF"/>
        </w:rPr>
      </w:pPr>
    </w:p>
    <w:p w14:paraId="5A37FC21" w14:textId="77777777" w:rsidR="004578DC" w:rsidRPr="00280A96" w:rsidRDefault="004578DC" w:rsidP="004578DC">
      <w:pPr>
        <w:rPr>
          <w:rFonts w:eastAsia="Times New Roman"/>
          <w:color w:val="000000" w:themeColor="text1"/>
          <w:shd w:val="clear" w:color="auto" w:fill="FFFFFF"/>
        </w:rPr>
      </w:pPr>
      <w:r w:rsidRPr="00280A96">
        <w:rPr>
          <w:rFonts w:eastAsia="Times New Roman"/>
          <w:color w:val="000000" w:themeColor="text1"/>
          <w:shd w:val="clear" w:color="auto" w:fill="FFFFFF"/>
        </w:rPr>
        <w:t xml:space="preserve">Bosworth, A.B. 2012. Alexander IV. Oxford Reference. Available from: </w:t>
      </w:r>
      <w:hyperlink r:id="rId7" w:history="1">
        <w:r w:rsidRPr="00280A96">
          <w:rPr>
            <w:rStyle w:val="Hyperlink"/>
            <w:rFonts w:eastAsia="Times New Roman"/>
            <w:color w:val="000000" w:themeColor="text1"/>
            <w:shd w:val="clear" w:color="auto" w:fill="FFFFFF"/>
          </w:rPr>
          <w:t>http://www.oxfordreference.com.ezproxy.uwtsd.ac.uk/view/10.1093/acref/9780199545568.001.0001/acref-9780199545568-e-280?rskey=JV3RYJ&amp;result=3</w:t>
        </w:r>
      </w:hyperlink>
      <w:r w:rsidRPr="00280A96">
        <w:rPr>
          <w:rFonts w:eastAsia="Times New Roman"/>
          <w:color w:val="000000" w:themeColor="text1"/>
          <w:shd w:val="clear" w:color="auto" w:fill="FFFFFF"/>
        </w:rPr>
        <w:t>. [Accessed on 13/11/18]</w:t>
      </w:r>
    </w:p>
    <w:p w14:paraId="30D05B93" w14:textId="77777777" w:rsidR="004578DC" w:rsidRPr="00280A96" w:rsidRDefault="004578DC" w:rsidP="004578DC">
      <w:pPr>
        <w:rPr>
          <w:rFonts w:eastAsia="Times New Roman"/>
          <w:color w:val="000000" w:themeColor="text1"/>
          <w:shd w:val="clear" w:color="auto" w:fill="FFFFFF"/>
        </w:rPr>
      </w:pPr>
    </w:p>
    <w:p w14:paraId="4455EB39" w14:textId="77777777" w:rsidR="004578DC" w:rsidRPr="00280A96" w:rsidRDefault="004578DC" w:rsidP="004578DC">
      <w:pPr>
        <w:rPr>
          <w:rFonts w:eastAsia="Times New Roman"/>
          <w:color w:val="000000" w:themeColor="text1"/>
          <w:shd w:val="clear" w:color="auto" w:fill="FFFFFF"/>
        </w:rPr>
      </w:pPr>
      <w:r w:rsidRPr="00280A96">
        <w:rPr>
          <w:rFonts w:eastAsia="Times New Roman"/>
          <w:color w:val="000000" w:themeColor="text1"/>
          <w:shd w:val="clear" w:color="auto" w:fill="FFFFFF"/>
        </w:rPr>
        <w:t>Bosworth, A.B. 2012. Eurydice. Oxford Reference. Available from:</w:t>
      </w:r>
      <w:r w:rsidRPr="00280A96">
        <w:rPr>
          <w:color w:val="000000" w:themeColor="text1"/>
        </w:rPr>
        <w:t xml:space="preserve"> </w:t>
      </w:r>
      <w:hyperlink r:id="rId8" w:history="1">
        <w:r w:rsidRPr="00280A96">
          <w:rPr>
            <w:rStyle w:val="Hyperlink"/>
            <w:rFonts w:eastAsia="Times New Roman"/>
            <w:color w:val="000000" w:themeColor="text1"/>
            <w:shd w:val="clear" w:color="auto" w:fill="FFFFFF"/>
          </w:rPr>
          <w:t>http://www.oxfordreference.com.ezproxy.uwtsd.ac.uk/view/10.1093/acref/9780199545568.001.0001/acref-9780199545568-e-2573?rskey=BwB1a5&amp;result=3</w:t>
        </w:r>
      </w:hyperlink>
      <w:r w:rsidRPr="00280A96">
        <w:rPr>
          <w:rFonts w:eastAsia="Times New Roman"/>
          <w:color w:val="000000" w:themeColor="text1"/>
          <w:shd w:val="clear" w:color="auto" w:fill="FFFFFF"/>
        </w:rPr>
        <w:t>. [Accessed on 13/11/18]</w:t>
      </w:r>
    </w:p>
    <w:p w14:paraId="2F2DB4DD" w14:textId="77777777" w:rsidR="004578DC" w:rsidRPr="00280A96" w:rsidRDefault="004578DC" w:rsidP="004578DC">
      <w:pPr>
        <w:rPr>
          <w:rFonts w:eastAsia="Times New Roman"/>
          <w:color w:val="000000" w:themeColor="text1"/>
          <w:shd w:val="clear" w:color="auto" w:fill="FFFFFF"/>
        </w:rPr>
      </w:pPr>
    </w:p>
    <w:p w14:paraId="07803CE2" w14:textId="77777777" w:rsidR="004578DC" w:rsidRPr="00280A96" w:rsidRDefault="004578DC" w:rsidP="004578DC">
      <w:pPr>
        <w:rPr>
          <w:rFonts w:eastAsia="Times New Roman"/>
          <w:color w:val="000000" w:themeColor="text1"/>
          <w:shd w:val="clear" w:color="auto" w:fill="FFFFFF"/>
        </w:rPr>
      </w:pPr>
      <w:r w:rsidRPr="00280A96">
        <w:rPr>
          <w:rFonts w:eastAsia="Times New Roman"/>
          <w:color w:val="000000" w:themeColor="text1"/>
          <w:shd w:val="clear" w:color="auto" w:fill="FFFFFF"/>
        </w:rPr>
        <w:t xml:space="preserve">Bosworth, A.B. 2012. Philip </w:t>
      </w:r>
      <w:proofErr w:type="spellStart"/>
      <w:r w:rsidRPr="00280A96">
        <w:rPr>
          <w:rFonts w:eastAsia="Times New Roman"/>
          <w:color w:val="000000" w:themeColor="text1"/>
          <w:shd w:val="clear" w:color="auto" w:fill="FFFFFF"/>
        </w:rPr>
        <w:t>Arrhidaeus</w:t>
      </w:r>
      <w:proofErr w:type="spellEnd"/>
      <w:r w:rsidRPr="00280A96">
        <w:rPr>
          <w:rFonts w:eastAsia="Times New Roman"/>
          <w:color w:val="000000" w:themeColor="text1"/>
          <w:shd w:val="clear" w:color="auto" w:fill="FFFFFF"/>
        </w:rPr>
        <w:t xml:space="preserve">. Oxford Reference. Available from: </w:t>
      </w:r>
      <w:hyperlink r:id="rId9" w:history="1">
        <w:r w:rsidRPr="00280A96">
          <w:rPr>
            <w:rStyle w:val="Hyperlink"/>
            <w:rFonts w:eastAsia="Times New Roman"/>
            <w:color w:val="000000" w:themeColor="text1"/>
            <w:shd w:val="clear" w:color="auto" w:fill="FFFFFF"/>
          </w:rPr>
          <w:t>http://www.oxfordreference.com.ezproxy.uwtsd.ac.uk/view/10.1093/acref/9780199545568.001.0001/acref-9780199545568-e-4975?rskey=O8rRqy&amp;result=1</w:t>
        </w:r>
      </w:hyperlink>
      <w:r w:rsidRPr="00280A96">
        <w:rPr>
          <w:rFonts w:eastAsia="Times New Roman"/>
          <w:color w:val="000000" w:themeColor="text1"/>
          <w:shd w:val="clear" w:color="auto" w:fill="FFFFFF"/>
        </w:rPr>
        <w:t>. [Accessed on 13/11/18]</w:t>
      </w:r>
    </w:p>
    <w:p w14:paraId="5DAC5F39" w14:textId="77777777" w:rsidR="004578DC" w:rsidRPr="00280A96" w:rsidRDefault="004578DC" w:rsidP="004578DC">
      <w:pPr>
        <w:rPr>
          <w:rFonts w:eastAsia="Times New Roman"/>
          <w:color w:val="000000" w:themeColor="text1"/>
          <w:shd w:val="clear" w:color="auto" w:fill="FFFFFF"/>
        </w:rPr>
      </w:pPr>
    </w:p>
    <w:p w14:paraId="38CE0598" w14:textId="77777777" w:rsidR="004578DC" w:rsidRPr="00280A96" w:rsidRDefault="004578DC" w:rsidP="004578DC">
      <w:pPr>
        <w:rPr>
          <w:rFonts w:eastAsia="Times New Roman"/>
          <w:color w:val="000000" w:themeColor="text1"/>
          <w:shd w:val="clear" w:color="auto" w:fill="FFFFFF"/>
        </w:rPr>
      </w:pPr>
      <w:r w:rsidRPr="00280A96">
        <w:rPr>
          <w:rFonts w:eastAsia="Times New Roman"/>
          <w:color w:val="000000" w:themeColor="text1"/>
          <w:shd w:val="clear" w:color="auto" w:fill="FFFFFF"/>
        </w:rPr>
        <w:t xml:space="preserve">Bosworth, A.B. 2012. Olympias. Oxford Reference. Available from: </w:t>
      </w:r>
      <w:hyperlink r:id="rId10" w:history="1">
        <w:r w:rsidRPr="00280A96">
          <w:rPr>
            <w:rStyle w:val="Hyperlink"/>
            <w:rFonts w:eastAsia="Times New Roman"/>
            <w:color w:val="000000" w:themeColor="text1"/>
            <w:shd w:val="clear" w:color="auto" w:fill="FFFFFF"/>
          </w:rPr>
          <w:t>http://www.oxfordreference.com.ezproxy.uwtsd.ac.uk/view/10.1093/acref/9780199545568.001.0001/acref-9780199545568-e-4546?rskey=QBWYql&amp;result=3</w:t>
        </w:r>
      </w:hyperlink>
      <w:r w:rsidRPr="00280A96">
        <w:rPr>
          <w:rFonts w:eastAsia="Times New Roman"/>
          <w:color w:val="000000" w:themeColor="text1"/>
          <w:shd w:val="clear" w:color="auto" w:fill="FFFFFF"/>
        </w:rPr>
        <w:t>. [Accessed on 13/11/18]</w:t>
      </w:r>
    </w:p>
    <w:p w14:paraId="52B963AC" w14:textId="77777777" w:rsidR="004578DC" w:rsidRPr="00280A96" w:rsidRDefault="004578DC" w:rsidP="004578DC">
      <w:pPr>
        <w:rPr>
          <w:rFonts w:eastAsia="Times New Roman"/>
          <w:color w:val="000000" w:themeColor="text1"/>
          <w:shd w:val="clear" w:color="auto" w:fill="FFFFFF"/>
        </w:rPr>
      </w:pPr>
    </w:p>
    <w:p w14:paraId="2D3193F4" w14:textId="77777777" w:rsidR="004578DC" w:rsidRPr="00280A96" w:rsidRDefault="004578DC" w:rsidP="004578DC">
      <w:pPr>
        <w:rPr>
          <w:rFonts w:eastAsia="Times New Roman"/>
          <w:color w:val="000000" w:themeColor="text1"/>
          <w:lang w:val="en-US"/>
        </w:rPr>
      </w:pPr>
      <w:r w:rsidRPr="00280A96">
        <w:rPr>
          <w:rFonts w:eastAsia="Times New Roman"/>
          <w:color w:val="000000" w:themeColor="text1"/>
          <w:shd w:val="clear" w:color="auto" w:fill="FFFFFF"/>
        </w:rPr>
        <w:t xml:space="preserve">Bosworth, A.B. 2012. </w:t>
      </w:r>
      <w:proofErr w:type="spellStart"/>
      <w:r w:rsidRPr="00280A96">
        <w:rPr>
          <w:rFonts w:eastAsia="Times New Roman"/>
          <w:color w:val="000000" w:themeColor="text1"/>
          <w:shd w:val="clear" w:color="auto" w:fill="FFFFFF"/>
        </w:rPr>
        <w:t>Perdiccas</w:t>
      </w:r>
      <w:proofErr w:type="spellEnd"/>
      <w:r w:rsidRPr="00280A96">
        <w:rPr>
          <w:rFonts w:eastAsia="Times New Roman"/>
          <w:color w:val="000000" w:themeColor="text1"/>
          <w:shd w:val="clear" w:color="auto" w:fill="FFFFFF"/>
        </w:rPr>
        <w:t xml:space="preserve">. Oxford Reference. Available from: </w:t>
      </w:r>
      <w:hyperlink r:id="rId11" w:history="1">
        <w:r w:rsidRPr="00280A96">
          <w:rPr>
            <w:rStyle w:val="Hyperlink"/>
            <w:rFonts w:eastAsia="Times New Roman"/>
            <w:color w:val="000000" w:themeColor="text1"/>
            <w:shd w:val="clear" w:color="auto" w:fill="FFFFFF"/>
          </w:rPr>
          <w:t>http://www.oxfordreference.com.ezproxy.uwtsd.ac.uk/view/10.1093/acref/9780199545568.001.0001/acref-9780199545568-e-4857?rskey=qDNddN&amp;result=1</w:t>
        </w:r>
      </w:hyperlink>
      <w:r w:rsidRPr="00280A96">
        <w:rPr>
          <w:rFonts w:eastAsia="Times New Roman"/>
          <w:color w:val="000000" w:themeColor="text1"/>
          <w:shd w:val="clear" w:color="auto" w:fill="FFFFFF"/>
        </w:rPr>
        <w:t>. [Accessed on 13/11/18]</w:t>
      </w:r>
    </w:p>
    <w:p w14:paraId="6205C2A4" w14:textId="77777777" w:rsidR="004578DC" w:rsidRPr="00280A96" w:rsidRDefault="004578DC" w:rsidP="004578DC">
      <w:pPr>
        <w:rPr>
          <w:color w:val="000000" w:themeColor="text1"/>
        </w:rPr>
      </w:pPr>
    </w:p>
    <w:p w14:paraId="120906F7" w14:textId="77777777" w:rsidR="004578DC" w:rsidRPr="006D4CB7" w:rsidRDefault="004578DC" w:rsidP="004578DC">
      <w:pPr>
        <w:rPr>
          <w:color w:val="000000" w:themeColor="text1"/>
        </w:rPr>
      </w:pPr>
      <w:proofErr w:type="spellStart"/>
      <w:r w:rsidRPr="006D4CB7">
        <w:rPr>
          <w:color w:val="000000" w:themeColor="text1"/>
        </w:rPr>
        <w:t>Bredow</w:t>
      </w:r>
      <w:proofErr w:type="spellEnd"/>
      <w:r w:rsidRPr="006D4CB7">
        <w:rPr>
          <w:color w:val="000000" w:themeColor="text1"/>
        </w:rPr>
        <w:t xml:space="preserve">, I. 2006. </w:t>
      </w:r>
      <w:proofErr w:type="spellStart"/>
      <w:r w:rsidRPr="006D4CB7">
        <w:rPr>
          <w:color w:val="000000" w:themeColor="text1"/>
        </w:rPr>
        <w:t>Leucon</w:t>
      </w:r>
      <w:proofErr w:type="spellEnd"/>
      <w:r w:rsidRPr="006D4CB7">
        <w:rPr>
          <w:color w:val="000000" w:themeColor="text1"/>
        </w:rPr>
        <w:t xml:space="preserve">. </w:t>
      </w:r>
      <w:proofErr w:type="spellStart"/>
      <w:r w:rsidRPr="006D4CB7">
        <w:rPr>
          <w:color w:val="000000" w:themeColor="text1"/>
        </w:rPr>
        <w:t>Brillonline</w:t>
      </w:r>
      <w:proofErr w:type="spellEnd"/>
      <w:r w:rsidRPr="006D4CB7">
        <w:rPr>
          <w:color w:val="000000" w:themeColor="text1"/>
        </w:rPr>
        <w:t xml:space="preserve"> Reference Works. Available from: </w:t>
      </w:r>
      <w:hyperlink r:id="rId12" w:history="1">
        <w:r w:rsidRPr="006D4CB7">
          <w:rPr>
            <w:rStyle w:val="Hyperlink"/>
            <w:color w:val="000000" w:themeColor="text1"/>
          </w:rPr>
          <w:t>https://referenceworks-brillonline-com.ezproxy.uwtsd.ac.uk/entries/brill-s-new-pauly/leucon-e702790?s.num=0&amp;s.f.s2_parent=s.f.book.brill-s-new-pauly&amp;s.q=leucon</w:t>
        </w:r>
      </w:hyperlink>
      <w:r w:rsidRPr="006D4CB7">
        <w:rPr>
          <w:color w:val="000000" w:themeColor="text1"/>
        </w:rPr>
        <w:t>. [Accessed on 13/11/18]</w:t>
      </w:r>
    </w:p>
    <w:p w14:paraId="7F5CEF18" w14:textId="77777777" w:rsidR="004578DC" w:rsidRPr="006D4CB7" w:rsidRDefault="004578DC" w:rsidP="004578DC">
      <w:pPr>
        <w:rPr>
          <w:color w:val="000000" w:themeColor="text1"/>
        </w:rPr>
      </w:pPr>
    </w:p>
    <w:p w14:paraId="2B4D62DB" w14:textId="77777777" w:rsidR="004578DC" w:rsidRPr="006D4CB7" w:rsidRDefault="004578DC" w:rsidP="004578DC">
      <w:pPr>
        <w:rPr>
          <w:color w:val="000000" w:themeColor="text1"/>
        </w:rPr>
      </w:pPr>
      <w:proofErr w:type="spellStart"/>
      <w:r w:rsidRPr="006D4CB7">
        <w:rPr>
          <w:color w:val="000000" w:themeColor="text1"/>
        </w:rPr>
        <w:t>Heckel</w:t>
      </w:r>
      <w:proofErr w:type="spellEnd"/>
      <w:r w:rsidRPr="006D4CB7">
        <w:rPr>
          <w:color w:val="000000" w:themeColor="text1"/>
        </w:rPr>
        <w:t xml:space="preserve">, W. 1992. </w:t>
      </w:r>
      <w:r w:rsidRPr="006D4CB7">
        <w:rPr>
          <w:i/>
          <w:color w:val="000000" w:themeColor="text1"/>
        </w:rPr>
        <w:t xml:space="preserve">The Marshals of Alexander’s Empire. </w:t>
      </w:r>
      <w:r w:rsidRPr="006D4CB7">
        <w:rPr>
          <w:color w:val="000000" w:themeColor="text1"/>
        </w:rPr>
        <w:t>Routledge: London</w:t>
      </w:r>
    </w:p>
    <w:p w14:paraId="52D63E34" w14:textId="77777777" w:rsidR="004578DC" w:rsidRPr="006D4CB7" w:rsidRDefault="004578DC" w:rsidP="004578DC">
      <w:pPr>
        <w:rPr>
          <w:color w:val="000000" w:themeColor="text1"/>
        </w:rPr>
      </w:pPr>
    </w:p>
    <w:p w14:paraId="001D3825" w14:textId="77777777" w:rsidR="004578DC" w:rsidRPr="006D4CB7" w:rsidRDefault="004578DC" w:rsidP="004578DC">
      <w:pPr>
        <w:rPr>
          <w:rFonts w:eastAsia="Times New Roman"/>
          <w:color w:val="000000" w:themeColor="text1"/>
        </w:rPr>
      </w:pPr>
      <w:r w:rsidRPr="006D4CB7">
        <w:rPr>
          <w:rFonts w:eastAsia="Times New Roman"/>
          <w:color w:val="000000" w:themeColor="text1"/>
          <w:shd w:val="clear" w:color="auto" w:fill="FFFFFF"/>
        </w:rPr>
        <w:t>Hershey, A.S. “The History of International Relations During Antiquity and the Middle Ages.” </w:t>
      </w:r>
      <w:r w:rsidRPr="006D4CB7">
        <w:rPr>
          <w:rFonts w:eastAsia="Times New Roman"/>
          <w:i/>
          <w:iCs/>
          <w:color w:val="000000" w:themeColor="text1"/>
          <w:shd w:val="clear" w:color="auto" w:fill="FFFFFF"/>
        </w:rPr>
        <w:t>The American Journal of International Law</w:t>
      </w:r>
      <w:r w:rsidRPr="006D4CB7">
        <w:rPr>
          <w:rFonts w:eastAsia="Times New Roman"/>
          <w:color w:val="000000" w:themeColor="text1"/>
          <w:shd w:val="clear" w:color="auto" w:fill="FFFFFF"/>
        </w:rPr>
        <w:t>, vol. 5, no. 4, 1911, pp. 901–933</w:t>
      </w:r>
    </w:p>
    <w:p w14:paraId="7BFFA274" w14:textId="77777777" w:rsidR="004578DC" w:rsidRPr="006D4CB7" w:rsidRDefault="004578DC" w:rsidP="004578DC">
      <w:pPr>
        <w:rPr>
          <w:color w:val="000000" w:themeColor="text1"/>
        </w:rPr>
      </w:pPr>
    </w:p>
    <w:p w14:paraId="19083322" w14:textId="77777777" w:rsidR="004578DC" w:rsidRPr="006D4CB7" w:rsidRDefault="004578DC" w:rsidP="004578DC">
      <w:pPr>
        <w:rPr>
          <w:color w:val="000000" w:themeColor="text1"/>
        </w:rPr>
      </w:pPr>
    </w:p>
    <w:p w14:paraId="6A9E4BEE" w14:textId="77777777" w:rsidR="004578DC" w:rsidRPr="006D4CB7" w:rsidRDefault="004578DC" w:rsidP="004578DC">
      <w:pPr>
        <w:rPr>
          <w:rFonts w:eastAsia="Times New Roman"/>
          <w:color w:val="000000" w:themeColor="text1"/>
          <w:shd w:val="clear" w:color="auto" w:fill="FFFFFF"/>
        </w:rPr>
      </w:pPr>
      <w:proofErr w:type="spellStart"/>
      <w:r w:rsidRPr="006D4CB7">
        <w:rPr>
          <w:rFonts w:eastAsia="Times New Roman"/>
          <w:color w:val="000000" w:themeColor="text1"/>
          <w:shd w:val="clear" w:color="auto" w:fill="FFFFFF"/>
        </w:rPr>
        <w:t>Higbie</w:t>
      </w:r>
      <w:proofErr w:type="spellEnd"/>
      <w:r w:rsidRPr="006D4CB7">
        <w:rPr>
          <w:rFonts w:eastAsia="Times New Roman"/>
          <w:color w:val="000000" w:themeColor="text1"/>
          <w:shd w:val="clear" w:color="auto" w:fill="FFFFFF"/>
        </w:rPr>
        <w:t>, C. “</w:t>
      </w:r>
      <w:proofErr w:type="spellStart"/>
      <w:r w:rsidRPr="006D4CB7">
        <w:rPr>
          <w:rFonts w:eastAsia="Times New Roman"/>
          <w:color w:val="000000" w:themeColor="text1"/>
          <w:shd w:val="clear" w:color="auto" w:fill="FFFFFF"/>
        </w:rPr>
        <w:t>Craterus</w:t>
      </w:r>
      <w:proofErr w:type="spellEnd"/>
      <w:r w:rsidRPr="006D4CB7">
        <w:rPr>
          <w:rFonts w:eastAsia="Times New Roman"/>
          <w:color w:val="000000" w:themeColor="text1"/>
          <w:shd w:val="clear" w:color="auto" w:fill="FFFFFF"/>
        </w:rPr>
        <w:t xml:space="preserve"> and the Use of Inscriptions in Ancient Scholarship.” </w:t>
      </w:r>
      <w:r w:rsidRPr="006D4CB7">
        <w:rPr>
          <w:rFonts w:eastAsia="Times New Roman"/>
          <w:i/>
          <w:iCs/>
          <w:color w:val="000000" w:themeColor="text1"/>
          <w:shd w:val="clear" w:color="auto" w:fill="FFFFFF"/>
        </w:rPr>
        <w:t>Transactions of the American Philological Association (1974-)</w:t>
      </w:r>
      <w:r w:rsidRPr="006D4CB7">
        <w:rPr>
          <w:rFonts w:eastAsia="Times New Roman"/>
          <w:color w:val="000000" w:themeColor="text1"/>
          <w:shd w:val="clear" w:color="auto" w:fill="FFFFFF"/>
        </w:rPr>
        <w:t>, vol. 129, 1999, pp. 43–83</w:t>
      </w:r>
    </w:p>
    <w:p w14:paraId="55D3EC96" w14:textId="77777777" w:rsidR="004578DC" w:rsidRPr="001627ED" w:rsidRDefault="004578DC" w:rsidP="004578DC">
      <w:pPr>
        <w:rPr>
          <w:rFonts w:eastAsia="Times New Roman"/>
          <w:color w:val="000000" w:themeColor="text1"/>
          <w:shd w:val="clear" w:color="auto" w:fill="FFFFFF"/>
        </w:rPr>
      </w:pPr>
    </w:p>
    <w:p w14:paraId="3E280B63" w14:textId="77777777" w:rsidR="004578DC" w:rsidRPr="001627ED" w:rsidRDefault="004578DC" w:rsidP="004578DC">
      <w:pPr>
        <w:rPr>
          <w:rFonts w:eastAsia="Times New Roman"/>
          <w:color w:val="000000" w:themeColor="text1"/>
          <w:shd w:val="clear" w:color="auto" w:fill="FFFFFF"/>
        </w:rPr>
      </w:pPr>
      <w:proofErr w:type="spellStart"/>
      <w:r w:rsidRPr="001627ED">
        <w:rPr>
          <w:rFonts w:eastAsia="Times New Roman"/>
          <w:color w:val="000000" w:themeColor="text1"/>
          <w:shd w:val="clear" w:color="auto" w:fill="FFFFFF"/>
        </w:rPr>
        <w:t>Isayev</w:t>
      </w:r>
      <w:proofErr w:type="spellEnd"/>
      <w:r w:rsidRPr="001627ED">
        <w:rPr>
          <w:rFonts w:eastAsia="Times New Roman"/>
          <w:color w:val="000000" w:themeColor="text1"/>
          <w:shd w:val="clear" w:color="auto" w:fill="FFFFFF"/>
        </w:rPr>
        <w:t>, E. “Between Hospitality and Asylum: A Historical Perspective on Displaced Agency.” </w:t>
      </w:r>
      <w:r w:rsidRPr="001627ED">
        <w:rPr>
          <w:rFonts w:eastAsia="Times New Roman"/>
          <w:i/>
          <w:iCs/>
          <w:color w:val="000000" w:themeColor="text1"/>
          <w:bdr w:val="none" w:sz="0" w:space="0" w:color="auto" w:frame="1"/>
          <w:shd w:val="clear" w:color="auto" w:fill="FFFFFF"/>
        </w:rPr>
        <w:t>International Review of the Red Cross</w:t>
      </w:r>
      <w:r w:rsidRPr="001627ED">
        <w:rPr>
          <w:rFonts w:eastAsia="Times New Roman"/>
          <w:color w:val="000000" w:themeColor="text1"/>
          <w:shd w:val="clear" w:color="auto" w:fill="FFFFFF"/>
        </w:rPr>
        <w:t>, vol. 99, no. 904, 2017, pp. 75–98</w:t>
      </w:r>
    </w:p>
    <w:p w14:paraId="2149A717" w14:textId="77777777" w:rsidR="004578DC" w:rsidRPr="001627ED" w:rsidRDefault="004578DC" w:rsidP="004578DC">
      <w:pPr>
        <w:rPr>
          <w:rFonts w:eastAsia="Times New Roman"/>
          <w:color w:val="000000" w:themeColor="text1"/>
          <w:shd w:val="clear" w:color="auto" w:fill="FFFFFF"/>
        </w:rPr>
      </w:pPr>
    </w:p>
    <w:p w14:paraId="219BD3D5" w14:textId="77777777" w:rsidR="004578DC" w:rsidRPr="001627ED" w:rsidRDefault="004578DC" w:rsidP="004578DC">
      <w:pPr>
        <w:rPr>
          <w:rFonts w:eastAsia="Times New Roman"/>
          <w:color w:val="000000" w:themeColor="text1"/>
          <w:shd w:val="clear" w:color="auto" w:fill="FFFFFF"/>
        </w:rPr>
      </w:pPr>
      <w:proofErr w:type="spellStart"/>
      <w:r w:rsidRPr="001627ED">
        <w:rPr>
          <w:rFonts w:eastAsia="Times New Roman"/>
          <w:color w:val="000000" w:themeColor="text1"/>
          <w:shd w:val="clear" w:color="auto" w:fill="FFFFFF"/>
        </w:rPr>
        <w:t>Kazhdan</w:t>
      </w:r>
      <w:proofErr w:type="spellEnd"/>
      <w:r w:rsidRPr="001627ED">
        <w:rPr>
          <w:rFonts w:eastAsia="Times New Roman"/>
          <w:color w:val="000000" w:themeColor="text1"/>
          <w:shd w:val="clear" w:color="auto" w:fill="FFFFFF"/>
        </w:rPr>
        <w:t xml:space="preserve">, A. 2005. </w:t>
      </w:r>
      <w:proofErr w:type="spellStart"/>
      <w:r w:rsidRPr="001627ED">
        <w:rPr>
          <w:rFonts w:eastAsia="Times New Roman"/>
          <w:color w:val="000000" w:themeColor="text1"/>
          <w:shd w:val="clear" w:color="auto" w:fill="FFFFFF"/>
        </w:rPr>
        <w:t>Strategos</w:t>
      </w:r>
      <w:proofErr w:type="spellEnd"/>
      <w:r w:rsidRPr="001627ED">
        <w:rPr>
          <w:rFonts w:eastAsia="Times New Roman"/>
          <w:color w:val="000000" w:themeColor="text1"/>
          <w:shd w:val="clear" w:color="auto" w:fill="FFFFFF"/>
        </w:rPr>
        <w:t xml:space="preserve">. Oxford Reference. Available from: </w:t>
      </w:r>
      <w:hyperlink r:id="rId13" w:history="1">
        <w:r w:rsidRPr="001627ED">
          <w:rPr>
            <w:rStyle w:val="Hyperlink"/>
            <w:rFonts w:eastAsia="Times New Roman"/>
            <w:color w:val="000000" w:themeColor="text1"/>
            <w:shd w:val="clear" w:color="auto" w:fill="FFFFFF"/>
          </w:rPr>
          <w:t>http://www.oxfordreference.com.ezproxy.uwtsd.ac.uk/view/10.1093/acref/9780195046526.001.0001/acref-9780195046526-e-5162?rskey=G9CPNZ&amp;result=2</w:t>
        </w:r>
      </w:hyperlink>
      <w:r w:rsidRPr="001627ED">
        <w:rPr>
          <w:rFonts w:eastAsia="Times New Roman"/>
          <w:color w:val="000000" w:themeColor="text1"/>
          <w:shd w:val="clear" w:color="auto" w:fill="FFFFFF"/>
        </w:rPr>
        <w:t>. [Accessed on 13/11/18]</w:t>
      </w:r>
    </w:p>
    <w:p w14:paraId="721A47E0" w14:textId="77777777" w:rsidR="004578DC" w:rsidRPr="001627ED" w:rsidRDefault="004578DC" w:rsidP="004578DC">
      <w:pPr>
        <w:rPr>
          <w:rFonts w:eastAsia="Times New Roman"/>
          <w:color w:val="000000" w:themeColor="text1"/>
          <w:shd w:val="clear" w:color="auto" w:fill="FFFFFF"/>
        </w:rPr>
      </w:pPr>
    </w:p>
    <w:p w14:paraId="754450BC" w14:textId="77777777" w:rsidR="004578DC" w:rsidRPr="001627ED" w:rsidRDefault="004578DC" w:rsidP="004578DC">
      <w:pPr>
        <w:rPr>
          <w:rFonts w:eastAsia="Times New Roman"/>
          <w:color w:val="000000" w:themeColor="text1"/>
        </w:rPr>
      </w:pPr>
      <w:r w:rsidRPr="001627ED">
        <w:rPr>
          <w:rFonts w:eastAsia="Times New Roman"/>
          <w:color w:val="000000" w:themeColor="text1"/>
          <w:shd w:val="clear" w:color="auto" w:fill="FFFFFF"/>
        </w:rPr>
        <w:t xml:space="preserve">Meister, K. 2006. Agathocles. </w:t>
      </w:r>
      <w:proofErr w:type="spellStart"/>
      <w:r w:rsidRPr="001627ED">
        <w:rPr>
          <w:rFonts w:eastAsia="Times New Roman"/>
          <w:color w:val="000000" w:themeColor="text1"/>
          <w:shd w:val="clear" w:color="auto" w:fill="FFFFFF"/>
        </w:rPr>
        <w:t>Brillonline</w:t>
      </w:r>
      <w:proofErr w:type="spellEnd"/>
      <w:r w:rsidRPr="001627ED">
        <w:rPr>
          <w:rFonts w:eastAsia="Times New Roman"/>
          <w:color w:val="000000" w:themeColor="text1"/>
          <w:shd w:val="clear" w:color="auto" w:fill="FFFFFF"/>
        </w:rPr>
        <w:t xml:space="preserve"> Reference Works. Available from: </w:t>
      </w:r>
      <w:hyperlink r:id="rId14" w:history="1">
        <w:r w:rsidRPr="001627ED">
          <w:rPr>
            <w:rStyle w:val="Hyperlink"/>
            <w:rFonts w:eastAsia="Times New Roman"/>
            <w:color w:val="000000" w:themeColor="text1"/>
            <w:shd w:val="clear" w:color="auto" w:fill="FFFFFF"/>
          </w:rPr>
          <w:t>https://referenceworks-brillonline-com.ezproxy.uwtsd.ac.uk/entries/brill-s-new-pauly/agathocles-e107240?s.num=0&amp;s.f.s2_parent=s.f.book.brill-s-new-pauly&amp;s.q=agathocles</w:t>
        </w:r>
      </w:hyperlink>
      <w:r w:rsidRPr="001627ED">
        <w:rPr>
          <w:rFonts w:eastAsia="Times New Roman"/>
          <w:color w:val="000000" w:themeColor="text1"/>
          <w:shd w:val="clear" w:color="auto" w:fill="FFFFFF"/>
        </w:rPr>
        <w:t>. [Accessed on 13/11/18]</w:t>
      </w:r>
    </w:p>
    <w:p w14:paraId="58DA3FF2" w14:textId="77777777" w:rsidR="004578DC" w:rsidRPr="006D4CB7" w:rsidRDefault="004578DC" w:rsidP="004578DC">
      <w:pPr>
        <w:rPr>
          <w:color w:val="000000" w:themeColor="text1"/>
        </w:rPr>
      </w:pPr>
    </w:p>
    <w:p w14:paraId="47D4064C" w14:textId="77777777" w:rsidR="004578DC" w:rsidRPr="006D4CB7" w:rsidRDefault="004578DC" w:rsidP="004578DC">
      <w:pPr>
        <w:rPr>
          <w:color w:val="000000" w:themeColor="text1"/>
        </w:rPr>
      </w:pPr>
      <w:r w:rsidRPr="006D4CB7">
        <w:rPr>
          <w:color w:val="000000" w:themeColor="text1"/>
        </w:rPr>
        <w:t xml:space="preserve">Philip’s. 2004. Delphi. Oxford Reference. Available from: </w:t>
      </w:r>
      <w:hyperlink r:id="rId15" w:history="1">
        <w:r w:rsidRPr="006D4CB7">
          <w:rPr>
            <w:rStyle w:val="Hyperlink"/>
            <w:color w:val="000000" w:themeColor="text1"/>
          </w:rPr>
          <w:t>http://www.oxfordreference.com.ezproxy.uwtsd.ac.uk/view/10.1093/acref/9780199546091.001.0001/acref-9780199546091-e-3210?rskey=7MoCr7&amp;result=2</w:t>
        </w:r>
      </w:hyperlink>
      <w:r w:rsidRPr="006D4CB7">
        <w:rPr>
          <w:color w:val="000000" w:themeColor="text1"/>
        </w:rPr>
        <w:t>. [Accessed on 13/11/18]</w:t>
      </w:r>
    </w:p>
    <w:p w14:paraId="2C027437" w14:textId="77777777" w:rsidR="004578DC" w:rsidRPr="006D4CB7" w:rsidRDefault="004578DC" w:rsidP="004578DC">
      <w:pPr>
        <w:rPr>
          <w:color w:val="000000" w:themeColor="text1"/>
        </w:rPr>
      </w:pPr>
    </w:p>
    <w:p w14:paraId="75313D51" w14:textId="77777777" w:rsidR="004578DC" w:rsidRPr="006D4CB7" w:rsidRDefault="004578DC" w:rsidP="004578DC">
      <w:pPr>
        <w:rPr>
          <w:color w:val="000000" w:themeColor="text1"/>
        </w:rPr>
      </w:pPr>
      <w:r w:rsidRPr="006D4CB7">
        <w:rPr>
          <w:color w:val="000000" w:themeColor="text1"/>
        </w:rPr>
        <w:t xml:space="preserve">Salmon, J. 2005. Corinth, League of. Oxford Reference. Available from: </w:t>
      </w:r>
      <w:hyperlink r:id="rId16" w:history="1">
        <w:r w:rsidRPr="006D4CB7">
          <w:rPr>
            <w:rStyle w:val="Hyperlink"/>
            <w:color w:val="000000" w:themeColor="text1"/>
          </w:rPr>
          <w:t>http://www.oxfordreference.com.ezproxy.uwtsd.ac.uk/view/10.1093/acref/9780198606413.001.0001/acref-9780198606413-e-1821#</w:t>
        </w:r>
      </w:hyperlink>
      <w:r w:rsidRPr="006D4CB7">
        <w:rPr>
          <w:color w:val="000000" w:themeColor="text1"/>
        </w:rPr>
        <w:t>. [Accessed on 13/11/18]</w:t>
      </w:r>
    </w:p>
    <w:p w14:paraId="7D0A365F" w14:textId="77777777" w:rsidR="004578DC" w:rsidRPr="006D4CB7" w:rsidRDefault="004578DC" w:rsidP="004578DC">
      <w:pPr>
        <w:rPr>
          <w:color w:val="000000" w:themeColor="text1"/>
        </w:rPr>
      </w:pPr>
    </w:p>
    <w:p w14:paraId="0BD4D4B9" w14:textId="77777777" w:rsidR="004578DC" w:rsidRPr="006D4CB7" w:rsidRDefault="004578DC" w:rsidP="004578DC">
      <w:pPr>
        <w:rPr>
          <w:rFonts w:eastAsia="Times New Roman"/>
          <w:color w:val="000000" w:themeColor="text1"/>
          <w:lang w:val="en-US"/>
        </w:rPr>
      </w:pPr>
      <w:proofErr w:type="spellStart"/>
      <w:r w:rsidRPr="006D4CB7">
        <w:rPr>
          <w:rFonts w:eastAsia="Times New Roman"/>
          <w:color w:val="000000" w:themeColor="text1"/>
          <w:shd w:val="clear" w:color="auto" w:fill="FFFFFF"/>
        </w:rPr>
        <w:t>Semple</w:t>
      </w:r>
      <w:proofErr w:type="spellEnd"/>
      <w:r w:rsidRPr="006D4CB7">
        <w:rPr>
          <w:rFonts w:eastAsia="Times New Roman"/>
          <w:color w:val="000000" w:themeColor="text1"/>
          <w:shd w:val="clear" w:color="auto" w:fill="FFFFFF"/>
        </w:rPr>
        <w:t>, E. “Geographic Factors in the Ancient Mediterranean Grain Trade.” </w:t>
      </w:r>
      <w:r w:rsidRPr="006D4CB7">
        <w:rPr>
          <w:rFonts w:eastAsia="Times New Roman"/>
          <w:i/>
          <w:iCs/>
          <w:color w:val="000000" w:themeColor="text1"/>
          <w:shd w:val="clear" w:color="auto" w:fill="FFFFFF"/>
        </w:rPr>
        <w:t>Annals of the Association of American Geographers</w:t>
      </w:r>
      <w:r w:rsidRPr="006D4CB7">
        <w:rPr>
          <w:rFonts w:eastAsia="Times New Roman"/>
          <w:color w:val="000000" w:themeColor="text1"/>
          <w:shd w:val="clear" w:color="auto" w:fill="FFFFFF"/>
        </w:rPr>
        <w:t>, vol. 11, 1921, pp. 47–74</w:t>
      </w:r>
    </w:p>
    <w:p w14:paraId="7EF17A92" w14:textId="77777777" w:rsidR="004578DC" w:rsidRPr="006D4CB7" w:rsidRDefault="004578DC" w:rsidP="004578DC">
      <w:pPr>
        <w:rPr>
          <w:color w:val="000000" w:themeColor="text1"/>
        </w:rPr>
      </w:pPr>
    </w:p>
    <w:p w14:paraId="10F82A2E" w14:textId="77777777" w:rsidR="004578DC" w:rsidRPr="006D4CB7" w:rsidRDefault="004578DC" w:rsidP="004578DC">
      <w:pPr>
        <w:rPr>
          <w:color w:val="000000" w:themeColor="text1"/>
        </w:rPr>
      </w:pPr>
      <w:proofErr w:type="spellStart"/>
      <w:r w:rsidRPr="006D4CB7">
        <w:rPr>
          <w:color w:val="000000" w:themeColor="text1"/>
        </w:rPr>
        <w:t>Schep</w:t>
      </w:r>
      <w:proofErr w:type="spellEnd"/>
      <w:r w:rsidRPr="006D4CB7">
        <w:rPr>
          <w:color w:val="000000" w:themeColor="text1"/>
        </w:rPr>
        <w:t xml:space="preserve">, L., Slaughter, R., Vale J., Wheatley, P. 2014. Was the Death of Alexander the Great due to Poisoning? Was it </w:t>
      </w:r>
      <w:proofErr w:type="spellStart"/>
      <w:r w:rsidRPr="006D4CB7">
        <w:rPr>
          <w:color w:val="000000" w:themeColor="text1"/>
        </w:rPr>
        <w:t>Veratrum</w:t>
      </w:r>
      <w:proofErr w:type="spellEnd"/>
      <w:r w:rsidRPr="006D4CB7">
        <w:rPr>
          <w:color w:val="000000" w:themeColor="text1"/>
        </w:rPr>
        <w:t xml:space="preserve"> Album? PubMed. Available from: </w:t>
      </w:r>
      <w:hyperlink r:id="rId17" w:history="1">
        <w:r w:rsidRPr="006D4CB7">
          <w:rPr>
            <w:rStyle w:val="Hyperlink"/>
            <w:color w:val="000000" w:themeColor="text1"/>
          </w:rPr>
          <w:t>https://www.ncbi.nlm.nih.gov/pubmed/24369045</w:t>
        </w:r>
      </w:hyperlink>
      <w:r w:rsidRPr="006D4CB7">
        <w:rPr>
          <w:color w:val="000000" w:themeColor="text1"/>
        </w:rPr>
        <w:t>. [Accessed on 13/11/18]</w:t>
      </w:r>
    </w:p>
    <w:p w14:paraId="1B76D2FF" w14:textId="77777777" w:rsidR="004578DC" w:rsidRPr="006D4CB7" w:rsidRDefault="004578DC" w:rsidP="004578DC">
      <w:pPr>
        <w:rPr>
          <w:color w:val="000000" w:themeColor="text1"/>
        </w:rPr>
      </w:pPr>
    </w:p>
    <w:p w14:paraId="38894187" w14:textId="77777777" w:rsidR="004578DC" w:rsidRDefault="004578DC" w:rsidP="004578DC">
      <w:pPr>
        <w:rPr>
          <w:rFonts w:eastAsia="Times New Roman"/>
          <w:color w:val="000000" w:themeColor="text1"/>
          <w:shd w:val="clear" w:color="auto" w:fill="FFFFFF"/>
        </w:rPr>
      </w:pPr>
      <w:r w:rsidRPr="006D4CB7">
        <w:rPr>
          <w:rFonts w:eastAsia="Times New Roman"/>
          <w:color w:val="000000" w:themeColor="text1"/>
          <w:shd w:val="clear" w:color="auto" w:fill="FFFFFF"/>
        </w:rPr>
        <w:t>Scott, J. “The Assassination of Philip of Macedon and the Assassination of Abraham Lincoln.” </w:t>
      </w:r>
      <w:r w:rsidRPr="006D4CB7">
        <w:rPr>
          <w:rFonts w:eastAsia="Times New Roman"/>
          <w:i/>
          <w:iCs/>
          <w:color w:val="000000" w:themeColor="text1"/>
          <w:shd w:val="clear" w:color="auto" w:fill="FFFFFF"/>
        </w:rPr>
        <w:t>The Classical Weekly</w:t>
      </w:r>
      <w:r w:rsidRPr="006D4CB7">
        <w:rPr>
          <w:rFonts w:eastAsia="Times New Roman"/>
          <w:color w:val="000000" w:themeColor="text1"/>
          <w:shd w:val="clear" w:color="auto" w:fill="FFFFFF"/>
        </w:rPr>
        <w:t>, vol. 20, no. 16, 1927, pp. 129</w:t>
      </w:r>
    </w:p>
    <w:p w14:paraId="04A39710" w14:textId="77777777" w:rsidR="004578DC" w:rsidRPr="00797C99" w:rsidRDefault="004578DC" w:rsidP="004578DC">
      <w:pPr>
        <w:rPr>
          <w:rFonts w:eastAsia="Times New Roman"/>
          <w:color w:val="000000" w:themeColor="text1"/>
          <w:shd w:val="clear" w:color="auto" w:fill="FFFFFF"/>
        </w:rPr>
      </w:pPr>
    </w:p>
    <w:p w14:paraId="12E6EB13" w14:textId="77777777" w:rsidR="004578DC" w:rsidRPr="00797C99" w:rsidRDefault="004578DC" w:rsidP="004578DC">
      <w:pPr>
        <w:rPr>
          <w:rFonts w:eastAsia="Times New Roman"/>
          <w:color w:val="000000" w:themeColor="text1"/>
          <w:lang w:val="en-US"/>
        </w:rPr>
      </w:pPr>
      <w:r w:rsidRPr="00797C99">
        <w:rPr>
          <w:rFonts w:eastAsia="Times New Roman"/>
          <w:color w:val="000000" w:themeColor="text1"/>
          <w:shd w:val="clear" w:color="auto" w:fill="FFFFFF"/>
        </w:rPr>
        <w:t xml:space="preserve">Shepherd, G. 2010. Magna Graecia. Oxford Reference. Available from: </w:t>
      </w:r>
      <w:hyperlink r:id="rId18" w:history="1">
        <w:r w:rsidRPr="00797C99">
          <w:rPr>
            <w:rStyle w:val="Hyperlink"/>
            <w:rFonts w:eastAsia="Times New Roman"/>
            <w:color w:val="000000" w:themeColor="text1"/>
            <w:shd w:val="clear" w:color="auto" w:fill="FFFFFF"/>
          </w:rPr>
          <w:t>http://www.oxfordreference.com.ezproxy.uwtsd.ac.uk/view/10.1093/acref/9780195170726.001.0001/acref-9780195170726-e-751?rskey=2PY8WA&amp;result=1</w:t>
        </w:r>
      </w:hyperlink>
      <w:r w:rsidRPr="00797C99">
        <w:rPr>
          <w:rFonts w:eastAsia="Times New Roman"/>
          <w:color w:val="000000" w:themeColor="text1"/>
          <w:shd w:val="clear" w:color="auto" w:fill="FFFFFF"/>
        </w:rPr>
        <w:t>. [Accessed on 13/11/18]</w:t>
      </w:r>
    </w:p>
    <w:p w14:paraId="3FD4FC76" w14:textId="77777777" w:rsidR="004578DC" w:rsidRPr="00797C99" w:rsidRDefault="004578DC" w:rsidP="004578DC">
      <w:pPr>
        <w:rPr>
          <w:color w:val="000000" w:themeColor="text1"/>
        </w:rPr>
      </w:pPr>
    </w:p>
    <w:p w14:paraId="68E61C6C" w14:textId="77777777" w:rsidR="004578DC" w:rsidRPr="00797C99" w:rsidRDefault="004578DC" w:rsidP="004578DC">
      <w:pPr>
        <w:rPr>
          <w:rFonts w:eastAsia="Times New Roman"/>
          <w:color w:val="000000" w:themeColor="text1"/>
        </w:rPr>
      </w:pPr>
      <w:proofErr w:type="spellStart"/>
      <w:r w:rsidRPr="00797C99">
        <w:rPr>
          <w:rFonts w:eastAsia="Times New Roman"/>
          <w:color w:val="000000" w:themeColor="text1"/>
          <w:shd w:val="clear" w:color="auto" w:fill="FFFFFF"/>
        </w:rPr>
        <w:t>Wallinga</w:t>
      </w:r>
      <w:proofErr w:type="spellEnd"/>
      <w:r w:rsidRPr="00797C99">
        <w:rPr>
          <w:rFonts w:eastAsia="Times New Roman"/>
          <w:color w:val="000000" w:themeColor="text1"/>
          <w:shd w:val="clear" w:color="auto" w:fill="FFFFFF"/>
        </w:rPr>
        <w:t>, H. T. “The Ionian Revolt.” </w:t>
      </w:r>
      <w:r w:rsidRPr="00797C99">
        <w:rPr>
          <w:rFonts w:eastAsia="Times New Roman"/>
          <w:i/>
          <w:iCs/>
          <w:color w:val="000000" w:themeColor="text1"/>
          <w:shd w:val="clear" w:color="auto" w:fill="FFFFFF"/>
        </w:rPr>
        <w:t>Mnemosyne</w:t>
      </w:r>
      <w:r w:rsidRPr="00797C99">
        <w:rPr>
          <w:rFonts w:eastAsia="Times New Roman"/>
          <w:color w:val="000000" w:themeColor="text1"/>
          <w:shd w:val="clear" w:color="auto" w:fill="FFFFFF"/>
        </w:rPr>
        <w:t>, vol. 37, no. 3/4, 1984, pp. 401–437</w:t>
      </w:r>
    </w:p>
    <w:p w14:paraId="5EDD481B" w14:textId="77777777" w:rsidR="004578DC" w:rsidRPr="00797C99" w:rsidRDefault="004578DC" w:rsidP="004578DC">
      <w:pPr>
        <w:rPr>
          <w:color w:val="000000" w:themeColor="text1"/>
        </w:rPr>
      </w:pPr>
    </w:p>
    <w:p w14:paraId="6A240AB9" w14:textId="77777777" w:rsidR="004578DC" w:rsidRPr="00797C99" w:rsidRDefault="004578DC" w:rsidP="004578DC">
      <w:pPr>
        <w:rPr>
          <w:rFonts w:eastAsia="Times New Roman"/>
          <w:color w:val="000000" w:themeColor="text1"/>
          <w:lang w:val="en-US"/>
        </w:rPr>
      </w:pPr>
      <w:r w:rsidRPr="00797C99">
        <w:rPr>
          <w:rFonts w:eastAsia="Times New Roman"/>
          <w:color w:val="000000" w:themeColor="text1"/>
          <w:shd w:val="clear" w:color="auto" w:fill="FFFFFF"/>
        </w:rPr>
        <w:t>Whitehead, D. “Two Notes on Greek Suicide.” </w:t>
      </w:r>
      <w:r w:rsidRPr="00797C99">
        <w:rPr>
          <w:rFonts w:eastAsia="Times New Roman"/>
          <w:i/>
          <w:iCs/>
          <w:color w:val="000000" w:themeColor="text1"/>
          <w:shd w:val="clear" w:color="auto" w:fill="FFFFFF"/>
        </w:rPr>
        <w:t>The Classical Quarterly</w:t>
      </w:r>
      <w:r w:rsidRPr="00797C99">
        <w:rPr>
          <w:rFonts w:eastAsia="Times New Roman"/>
          <w:color w:val="000000" w:themeColor="text1"/>
          <w:shd w:val="clear" w:color="auto" w:fill="FFFFFF"/>
        </w:rPr>
        <w:t>, vol. 43, no. 2, 1993, pp. 501–502</w:t>
      </w:r>
    </w:p>
    <w:p w14:paraId="407923C1" w14:textId="77777777" w:rsidR="00CA4E59" w:rsidRPr="004A3459" w:rsidRDefault="00CA4E59" w:rsidP="004A3459"/>
    <w:p w14:paraId="0D16F8AF" w14:textId="1E5D547B" w:rsidR="002A6B39" w:rsidRDefault="002A6B39" w:rsidP="004A3459">
      <w:pPr>
        <w:jc w:val="center"/>
      </w:pPr>
    </w:p>
    <w:p w14:paraId="01B0226E" w14:textId="77777777" w:rsidR="004A3459" w:rsidRPr="004A3459" w:rsidRDefault="004A3459" w:rsidP="004A3459">
      <w:pPr>
        <w:jc w:val="center"/>
      </w:pPr>
    </w:p>
    <w:sectPr w:rsidR="004A3459" w:rsidRPr="004A3459" w:rsidSect="00705F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AA907C" w14:textId="77777777" w:rsidR="00027383" w:rsidRDefault="00027383" w:rsidP="00D25850">
      <w:r>
        <w:separator/>
      </w:r>
    </w:p>
  </w:endnote>
  <w:endnote w:type="continuationSeparator" w:id="0">
    <w:p w14:paraId="1D775233" w14:textId="77777777" w:rsidR="00027383" w:rsidRDefault="00027383" w:rsidP="00D25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B82E06" w14:textId="77777777" w:rsidR="00027383" w:rsidRDefault="00027383" w:rsidP="00D25850">
      <w:r>
        <w:separator/>
      </w:r>
    </w:p>
  </w:footnote>
  <w:footnote w:type="continuationSeparator" w:id="0">
    <w:p w14:paraId="3E0D3044" w14:textId="77777777" w:rsidR="00027383" w:rsidRDefault="00027383" w:rsidP="00D25850">
      <w:r>
        <w:continuationSeparator/>
      </w:r>
    </w:p>
  </w:footnote>
  <w:footnote w:id="1">
    <w:p w14:paraId="43606FB1" w14:textId="3BB46C3F" w:rsidR="003E27E9" w:rsidRPr="003E27E9" w:rsidRDefault="003E27E9">
      <w:pPr>
        <w:pStyle w:val="FootnoteText"/>
        <w:rPr>
          <w:lang w:val="en-US"/>
        </w:rPr>
      </w:pPr>
      <w:r>
        <w:rPr>
          <w:rStyle w:val="FootnoteReference"/>
        </w:rPr>
        <w:footnoteRef/>
      </w:r>
      <w:r>
        <w:t xml:space="preserve"> </w:t>
      </w:r>
      <w:proofErr w:type="spellStart"/>
      <w:r>
        <w:rPr>
          <w:lang w:val="en-US"/>
        </w:rPr>
        <w:t>Heckel</w:t>
      </w:r>
      <w:proofErr w:type="spellEnd"/>
      <w:r>
        <w:rPr>
          <w:lang w:val="en-US"/>
        </w:rPr>
        <w:t xml:space="preserve"> 1992: 126</w:t>
      </w:r>
    </w:p>
  </w:footnote>
  <w:footnote w:id="2">
    <w:p w14:paraId="54DD4839" w14:textId="2CD38CCE" w:rsidR="00D245C2" w:rsidRPr="00D245C2" w:rsidRDefault="00D245C2">
      <w:pPr>
        <w:pStyle w:val="FootnoteText"/>
        <w:rPr>
          <w:lang w:val="en-US"/>
        </w:rPr>
      </w:pPr>
      <w:r>
        <w:rPr>
          <w:rStyle w:val="FootnoteReference"/>
        </w:rPr>
        <w:footnoteRef/>
      </w:r>
      <w:r>
        <w:t xml:space="preserve"> </w:t>
      </w:r>
      <w:r w:rsidR="00CA564C">
        <w:rPr>
          <w:lang w:val="en-US"/>
        </w:rPr>
        <w:t>Arr. 7.12.4.</w:t>
      </w:r>
    </w:p>
  </w:footnote>
  <w:footnote w:id="3">
    <w:p w14:paraId="5BFF5E28" w14:textId="2833C6C7" w:rsidR="00B3245D" w:rsidRPr="00B3245D" w:rsidRDefault="00B3245D">
      <w:pPr>
        <w:pStyle w:val="FootnoteText"/>
        <w:rPr>
          <w:lang w:val="en-US"/>
        </w:rPr>
      </w:pPr>
      <w:r>
        <w:rPr>
          <w:rStyle w:val="FootnoteReference"/>
        </w:rPr>
        <w:footnoteRef/>
      </w:r>
      <w:r>
        <w:t xml:space="preserve"> </w:t>
      </w:r>
      <w:proofErr w:type="spellStart"/>
      <w:r>
        <w:rPr>
          <w:lang w:val="en-US"/>
        </w:rPr>
        <w:t>Badian</w:t>
      </w:r>
      <w:proofErr w:type="spellEnd"/>
      <w:r>
        <w:rPr>
          <w:lang w:val="en-US"/>
        </w:rPr>
        <w:t xml:space="preserve"> 2006</w:t>
      </w:r>
    </w:p>
  </w:footnote>
  <w:footnote w:id="4">
    <w:p w14:paraId="0BFCEDAB" w14:textId="166972B5" w:rsidR="00577927" w:rsidRPr="00577927" w:rsidRDefault="00577927">
      <w:pPr>
        <w:pStyle w:val="FootnoteText"/>
        <w:rPr>
          <w:lang w:val="en-US"/>
        </w:rPr>
      </w:pPr>
      <w:r>
        <w:rPr>
          <w:rStyle w:val="FootnoteReference"/>
        </w:rPr>
        <w:footnoteRef/>
      </w:r>
      <w:r>
        <w:t xml:space="preserve"> </w:t>
      </w:r>
      <w:r>
        <w:rPr>
          <w:lang w:val="en-US"/>
        </w:rPr>
        <w:t xml:space="preserve">Arr. </w:t>
      </w:r>
      <w:r w:rsidR="00AA5683">
        <w:rPr>
          <w:lang w:val="en-US"/>
        </w:rPr>
        <w:t>6.2.5.</w:t>
      </w:r>
    </w:p>
  </w:footnote>
  <w:footnote w:id="5">
    <w:p w14:paraId="5F8D5CE3" w14:textId="6412DC38" w:rsidR="00425424" w:rsidRPr="00425424" w:rsidRDefault="00425424">
      <w:pPr>
        <w:pStyle w:val="FootnoteText"/>
        <w:rPr>
          <w:lang w:val="en-US"/>
        </w:rPr>
      </w:pPr>
      <w:r>
        <w:rPr>
          <w:rStyle w:val="FootnoteReference"/>
        </w:rPr>
        <w:footnoteRef/>
      </w:r>
      <w:r>
        <w:t xml:space="preserve"> </w:t>
      </w:r>
      <w:proofErr w:type="spellStart"/>
      <w:r>
        <w:t>Heckel</w:t>
      </w:r>
      <w:proofErr w:type="spellEnd"/>
      <w:r>
        <w:t xml:space="preserve"> 1992: 125</w:t>
      </w:r>
    </w:p>
  </w:footnote>
  <w:footnote w:id="6">
    <w:p w14:paraId="2CDB1E51" w14:textId="19409FEA" w:rsidR="00F90206" w:rsidRPr="00F90206" w:rsidRDefault="00F90206">
      <w:pPr>
        <w:pStyle w:val="FootnoteText"/>
        <w:rPr>
          <w:lang w:val="en-US"/>
        </w:rPr>
      </w:pPr>
      <w:r>
        <w:rPr>
          <w:rStyle w:val="FootnoteReference"/>
        </w:rPr>
        <w:footnoteRef/>
      </w:r>
      <w:r>
        <w:t xml:space="preserve"> </w:t>
      </w:r>
      <w:proofErr w:type="spellStart"/>
      <w:r>
        <w:rPr>
          <w:lang w:val="en-US"/>
        </w:rPr>
        <w:t>Heckel</w:t>
      </w:r>
      <w:proofErr w:type="spellEnd"/>
      <w:r>
        <w:rPr>
          <w:lang w:val="en-US"/>
        </w:rPr>
        <w:t xml:space="preserve"> 1992: 126</w:t>
      </w:r>
    </w:p>
  </w:footnote>
  <w:footnote w:id="7">
    <w:p w14:paraId="61C88913" w14:textId="270D3E9B" w:rsidR="006071E2" w:rsidRPr="006071E2" w:rsidRDefault="006071E2">
      <w:pPr>
        <w:pStyle w:val="FootnoteText"/>
        <w:rPr>
          <w:lang w:val="en-US"/>
        </w:rPr>
      </w:pPr>
      <w:r>
        <w:rPr>
          <w:rStyle w:val="FootnoteReference"/>
        </w:rPr>
        <w:footnoteRef/>
      </w:r>
      <w:r>
        <w:t xml:space="preserve"> </w:t>
      </w:r>
      <w:proofErr w:type="spellStart"/>
      <w:r>
        <w:rPr>
          <w:lang w:val="en-US"/>
        </w:rPr>
        <w:t>Kazhdan</w:t>
      </w:r>
      <w:proofErr w:type="spellEnd"/>
      <w:r>
        <w:rPr>
          <w:lang w:val="en-US"/>
        </w:rPr>
        <w:t xml:space="preserve"> 2005</w:t>
      </w:r>
    </w:p>
  </w:footnote>
  <w:footnote w:id="8">
    <w:p w14:paraId="70D0F7E1" w14:textId="6054A741" w:rsidR="00EF5020" w:rsidRPr="00EF5020" w:rsidRDefault="00EF5020">
      <w:pPr>
        <w:pStyle w:val="FootnoteText"/>
        <w:rPr>
          <w:lang w:val="en-US"/>
        </w:rPr>
      </w:pPr>
      <w:r>
        <w:rPr>
          <w:rStyle w:val="FootnoteReference"/>
        </w:rPr>
        <w:footnoteRef/>
      </w:r>
      <w:r>
        <w:t xml:space="preserve"> </w:t>
      </w:r>
      <w:r>
        <w:rPr>
          <w:lang w:val="en-US"/>
        </w:rPr>
        <w:t>Bosworth 2012</w:t>
      </w:r>
    </w:p>
  </w:footnote>
  <w:footnote w:id="9">
    <w:p w14:paraId="7B222BCE" w14:textId="186DDA4D" w:rsidR="00D0540D" w:rsidRPr="00D0540D" w:rsidRDefault="00D0540D">
      <w:pPr>
        <w:pStyle w:val="FootnoteText"/>
        <w:rPr>
          <w:lang w:val="en-US"/>
        </w:rPr>
      </w:pPr>
      <w:r>
        <w:rPr>
          <w:rStyle w:val="FootnoteReference"/>
        </w:rPr>
        <w:footnoteRef/>
      </w:r>
      <w:r>
        <w:t xml:space="preserve"> </w:t>
      </w:r>
      <w:r>
        <w:rPr>
          <w:lang w:val="en-US"/>
        </w:rPr>
        <w:t>Bosworth 2012</w:t>
      </w:r>
    </w:p>
  </w:footnote>
  <w:footnote w:id="10">
    <w:p w14:paraId="1FAB3C9F" w14:textId="5A3480F8" w:rsidR="00D62CDE" w:rsidRPr="00D62CDE" w:rsidRDefault="00D62CDE">
      <w:pPr>
        <w:pStyle w:val="FootnoteText"/>
        <w:rPr>
          <w:lang w:val="en-US"/>
        </w:rPr>
      </w:pPr>
      <w:r>
        <w:rPr>
          <w:rStyle w:val="FootnoteReference"/>
        </w:rPr>
        <w:footnoteRef/>
      </w:r>
      <w:r>
        <w:t xml:space="preserve"> </w:t>
      </w:r>
      <w:r>
        <w:rPr>
          <w:lang w:val="en-US"/>
        </w:rPr>
        <w:t>Bosworth 2012</w:t>
      </w:r>
    </w:p>
  </w:footnote>
  <w:footnote w:id="11">
    <w:p w14:paraId="2AE48784" w14:textId="37E9BED9" w:rsidR="00AC40FD" w:rsidRPr="00AC40FD" w:rsidRDefault="00AC40FD">
      <w:pPr>
        <w:pStyle w:val="FootnoteText"/>
        <w:rPr>
          <w:lang w:val="en-US"/>
        </w:rPr>
      </w:pPr>
      <w:r>
        <w:rPr>
          <w:rStyle w:val="FootnoteReference"/>
        </w:rPr>
        <w:footnoteRef/>
      </w:r>
      <w:r>
        <w:t xml:space="preserve"> </w:t>
      </w:r>
      <w:r>
        <w:rPr>
          <w:lang w:val="en-US"/>
        </w:rPr>
        <w:t>Salmon 2005</w:t>
      </w:r>
    </w:p>
  </w:footnote>
  <w:footnote w:id="12">
    <w:p w14:paraId="364FB9B0" w14:textId="487AF460" w:rsidR="00295D92" w:rsidRPr="00295D92" w:rsidRDefault="00295D92">
      <w:pPr>
        <w:pStyle w:val="FootnoteText"/>
        <w:rPr>
          <w:lang w:val="en-US"/>
        </w:rPr>
      </w:pPr>
      <w:r>
        <w:rPr>
          <w:rStyle w:val="FootnoteReference"/>
        </w:rPr>
        <w:footnoteRef/>
      </w:r>
      <w:r>
        <w:t xml:space="preserve"> </w:t>
      </w:r>
      <w:proofErr w:type="spellStart"/>
      <w:r>
        <w:rPr>
          <w:lang w:val="en-US"/>
        </w:rPr>
        <w:t>Bredow</w:t>
      </w:r>
      <w:proofErr w:type="spellEnd"/>
      <w:r>
        <w:rPr>
          <w:lang w:val="en-US"/>
        </w:rPr>
        <w:t xml:space="preserve"> 2006</w:t>
      </w:r>
      <w:r w:rsidR="009D79D6">
        <w:rPr>
          <w:lang w:val="en-US"/>
        </w:rPr>
        <w:t xml:space="preserve"> </w:t>
      </w:r>
    </w:p>
  </w:footnote>
  <w:footnote w:id="13">
    <w:p w14:paraId="21994689" w14:textId="718BB48E" w:rsidR="00131B25" w:rsidRPr="00131B25" w:rsidRDefault="00131B25">
      <w:pPr>
        <w:pStyle w:val="FootnoteText"/>
        <w:rPr>
          <w:lang w:val="en-US"/>
        </w:rPr>
      </w:pPr>
      <w:r>
        <w:rPr>
          <w:rStyle w:val="FootnoteReference"/>
        </w:rPr>
        <w:footnoteRef/>
      </w:r>
      <w:r>
        <w:t xml:space="preserve"> </w:t>
      </w:r>
      <w:r>
        <w:rPr>
          <w:lang w:val="en-US"/>
        </w:rPr>
        <w:t>Bosworth 2012</w:t>
      </w:r>
    </w:p>
  </w:footnote>
  <w:footnote w:id="14">
    <w:p w14:paraId="3717CBD2" w14:textId="780D5878" w:rsidR="007A4806" w:rsidRPr="007A4806" w:rsidRDefault="007A4806">
      <w:pPr>
        <w:pStyle w:val="FootnoteText"/>
        <w:rPr>
          <w:lang w:val="en-US"/>
        </w:rPr>
      </w:pPr>
      <w:r>
        <w:rPr>
          <w:rStyle w:val="FootnoteReference"/>
        </w:rPr>
        <w:footnoteRef/>
      </w:r>
      <w:r>
        <w:t xml:space="preserve"> </w:t>
      </w:r>
      <w:r>
        <w:rPr>
          <w:lang w:val="en-US"/>
        </w:rPr>
        <w:t>Philip’s 2004</w:t>
      </w:r>
    </w:p>
  </w:footnote>
  <w:footnote w:id="15">
    <w:p w14:paraId="62948CF8" w14:textId="3A87BCAC" w:rsidR="0065576F" w:rsidRPr="0065576F" w:rsidRDefault="0065576F">
      <w:pPr>
        <w:pStyle w:val="FootnoteText"/>
        <w:rPr>
          <w:lang w:val="en-US"/>
        </w:rPr>
      </w:pPr>
      <w:r>
        <w:rPr>
          <w:rStyle w:val="FootnoteReference"/>
        </w:rPr>
        <w:footnoteRef/>
      </w:r>
      <w:r>
        <w:t xml:space="preserve"> </w:t>
      </w:r>
      <w:r>
        <w:rPr>
          <w:lang w:val="en-US"/>
        </w:rPr>
        <w:t>Whitehead 1993: 501</w:t>
      </w:r>
    </w:p>
  </w:footnote>
  <w:footnote w:id="16">
    <w:p w14:paraId="4C9CFA27" w14:textId="66685D75" w:rsidR="00323149" w:rsidRPr="00323149" w:rsidRDefault="00323149">
      <w:pPr>
        <w:pStyle w:val="FootnoteText"/>
        <w:rPr>
          <w:lang w:val="en-US"/>
        </w:rPr>
      </w:pPr>
      <w:r>
        <w:rPr>
          <w:rStyle w:val="FootnoteReference"/>
        </w:rPr>
        <w:footnoteRef/>
      </w:r>
      <w:r>
        <w:t xml:space="preserve"> </w:t>
      </w:r>
      <w:r>
        <w:rPr>
          <w:lang w:val="en-US"/>
        </w:rPr>
        <w:t>Scott 1927: 129</w:t>
      </w:r>
    </w:p>
  </w:footnote>
  <w:footnote w:id="17">
    <w:p w14:paraId="39522E26" w14:textId="4ACED950" w:rsidR="001B65EF" w:rsidRPr="001B65EF" w:rsidRDefault="001B65EF">
      <w:pPr>
        <w:pStyle w:val="FootnoteText"/>
        <w:rPr>
          <w:lang w:val="en-US"/>
        </w:rPr>
      </w:pPr>
      <w:r>
        <w:rPr>
          <w:rStyle w:val="FootnoteReference"/>
        </w:rPr>
        <w:footnoteRef/>
      </w:r>
      <w:r>
        <w:t xml:space="preserve"> </w:t>
      </w:r>
      <w:r>
        <w:rPr>
          <w:lang w:val="en-US"/>
        </w:rPr>
        <w:t>Bosworth 2012</w:t>
      </w:r>
    </w:p>
  </w:footnote>
  <w:footnote w:id="18">
    <w:p w14:paraId="5CDD4334" w14:textId="548E4D6C" w:rsidR="0022201F" w:rsidRPr="0022201F" w:rsidRDefault="0022201F">
      <w:pPr>
        <w:pStyle w:val="FootnoteText"/>
        <w:rPr>
          <w:lang w:val="en-US"/>
        </w:rPr>
      </w:pPr>
      <w:r>
        <w:rPr>
          <w:rStyle w:val="FootnoteReference"/>
        </w:rPr>
        <w:footnoteRef/>
      </w:r>
      <w:r>
        <w:t xml:space="preserve"> </w:t>
      </w:r>
      <w:proofErr w:type="spellStart"/>
      <w:r>
        <w:rPr>
          <w:lang w:val="en-US"/>
        </w:rPr>
        <w:t>Semple</w:t>
      </w:r>
      <w:proofErr w:type="spellEnd"/>
      <w:r>
        <w:rPr>
          <w:lang w:val="en-US"/>
        </w:rPr>
        <w:t xml:space="preserve"> 1921: 49</w:t>
      </w:r>
    </w:p>
  </w:footnote>
  <w:footnote w:id="19">
    <w:p w14:paraId="2B017726" w14:textId="7274F672" w:rsidR="00C308DF" w:rsidRPr="00C308DF" w:rsidRDefault="00C308DF">
      <w:pPr>
        <w:pStyle w:val="FootnoteText"/>
        <w:rPr>
          <w:lang w:val="en-US"/>
        </w:rPr>
      </w:pPr>
      <w:r>
        <w:rPr>
          <w:rStyle w:val="FootnoteReference"/>
        </w:rPr>
        <w:footnoteRef/>
      </w:r>
      <w:r>
        <w:t xml:space="preserve"> </w:t>
      </w:r>
      <w:proofErr w:type="spellStart"/>
      <w:r w:rsidRPr="0057251F">
        <w:rPr>
          <w:rFonts w:eastAsia="Times New Roman"/>
          <w:color w:val="181817"/>
          <w:shd w:val="clear" w:color="auto" w:fill="FFFFFF"/>
        </w:rPr>
        <w:t>Isayev</w:t>
      </w:r>
      <w:proofErr w:type="spellEnd"/>
      <w:r>
        <w:rPr>
          <w:rFonts w:eastAsia="Times New Roman"/>
          <w:color w:val="181817"/>
          <w:shd w:val="clear" w:color="auto" w:fill="FFFFFF"/>
        </w:rPr>
        <w:t xml:space="preserve"> 2017</w:t>
      </w:r>
      <w:r w:rsidR="009322F9">
        <w:rPr>
          <w:rFonts w:eastAsia="Times New Roman"/>
          <w:color w:val="181817"/>
          <w:shd w:val="clear" w:color="auto" w:fill="FFFFFF"/>
        </w:rPr>
        <w:t>: 75-98</w:t>
      </w:r>
    </w:p>
  </w:footnote>
  <w:footnote w:id="20">
    <w:p w14:paraId="7DFFF903" w14:textId="621BD631" w:rsidR="004821B3" w:rsidRPr="004821B3" w:rsidRDefault="004821B3">
      <w:pPr>
        <w:pStyle w:val="FootnoteText"/>
        <w:rPr>
          <w:lang w:val="en-US"/>
        </w:rPr>
      </w:pPr>
      <w:r>
        <w:rPr>
          <w:rStyle w:val="FootnoteReference"/>
        </w:rPr>
        <w:footnoteRef/>
      </w:r>
      <w:r>
        <w:t xml:space="preserve"> </w:t>
      </w:r>
      <w:proofErr w:type="spellStart"/>
      <w:r>
        <w:rPr>
          <w:lang w:val="en-US"/>
        </w:rPr>
        <w:t>Wallinga</w:t>
      </w:r>
      <w:proofErr w:type="spellEnd"/>
      <w:r>
        <w:rPr>
          <w:lang w:val="en-US"/>
        </w:rPr>
        <w:t xml:space="preserve"> 1984: 401-437</w:t>
      </w:r>
    </w:p>
  </w:footnote>
  <w:footnote w:id="21">
    <w:p w14:paraId="7E4D88F2" w14:textId="0DAE5AF9" w:rsidR="002C077E" w:rsidRPr="002C077E" w:rsidRDefault="002C077E">
      <w:pPr>
        <w:pStyle w:val="FootnoteText"/>
        <w:rPr>
          <w:lang w:val="en-US"/>
        </w:rPr>
      </w:pPr>
      <w:r>
        <w:rPr>
          <w:rStyle w:val="FootnoteReference"/>
        </w:rPr>
        <w:footnoteRef/>
      </w:r>
      <w:r>
        <w:t xml:space="preserve"> </w:t>
      </w:r>
      <w:r>
        <w:rPr>
          <w:lang w:val="en-US"/>
        </w:rPr>
        <w:t>D. L. 7.7.185.</w:t>
      </w:r>
    </w:p>
  </w:footnote>
  <w:footnote w:id="22">
    <w:p w14:paraId="277811B6" w14:textId="0670DEED" w:rsidR="00EF63A4" w:rsidRPr="00EF63A4" w:rsidRDefault="00EF63A4">
      <w:pPr>
        <w:pStyle w:val="FootnoteText"/>
        <w:rPr>
          <w:lang w:val="en-US"/>
        </w:rPr>
      </w:pPr>
      <w:r>
        <w:rPr>
          <w:rStyle w:val="FootnoteReference"/>
        </w:rPr>
        <w:footnoteRef/>
      </w:r>
      <w:r>
        <w:t xml:space="preserve"> </w:t>
      </w:r>
      <w:proofErr w:type="spellStart"/>
      <w:r>
        <w:rPr>
          <w:lang w:val="en-US"/>
        </w:rPr>
        <w:t>Schep</w:t>
      </w:r>
      <w:proofErr w:type="spellEnd"/>
      <w:r>
        <w:rPr>
          <w:lang w:val="en-US"/>
        </w:rPr>
        <w:t xml:space="preserve">, Slaughter, Vale, </w:t>
      </w:r>
      <w:proofErr w:type="spellStart"/>
      <w:r>
        <w:rPr>
          <w:lang w:val="en-US"/>
        </w:rPr>
        <w:t>Wheatly</w:t>
      </w:r>
      <w:proofErr w:type="spellEnd"/>
      <w:r>
        <w:rPr>
          <w:lang w:val="en-US"/>
        </w:rPr>
        <w:t xml:space="preserve"> 2014: 72</w:t>
      </w:r>
    </w:p>
  </w:footnote>
  <w:footnote w:id="23">
    <w:p w14:paraId="799383EA" w14:textId="37BF2C4C" w:rsidR="00D521BA" w:rsidRPr="00D521BA" w:rsidRDefault="00D521BA">
      <w:pPr>
        <w:pStyle w:val="FootnoteText"/>
        <w:rPr>
          <w:lang w:val="en-US"/>
        </w:rPr>
      </w:pPr>
      <w:r>
        <w:rPr>
          <w:rStyle w:val="FootnoteReference"/>
        </w:rPr>
        <w:footnoteRef/>
      </w:r>
      <w:r>
        <w:t xml:space="preserve"> </w:t>
      </w:r>
      <w:r>
        <w:rPr>
          <w:lang w:val="en-US"/>
        </w:rPr>
        <w:t>Hershey 1911: 906-907</w:t>
      </w:r>
    </w:p>
  </w:footnote>
  <w:footnote w:id="24">
    <w:p w14:paraId="47C99CF9" w14:textId="64A750FA" w:rsidR="00873A40" w:rsidRPr="00873A40" w:rsidRDefault="00873A40">
      <w:pPr>
        <w:pStyle w:val="FootnoteText"/>
        <w:rPr>
          <w:lang w:val="en-US"/>
        </w:rPr>
      </w:pPr>
      <w:r>
        <w:rPr>
          <w:rStyle w:val="FootnoteReference"/>
        </w:rPr>
        <w:footnoteRef/>
      </w:r>
      <w:r>
        <w:t xml:space="preserve"> </w:t>
      </w:r>
      <w:r>
        <w:rPr>
          <w:lang w:val="en-US"/>
        </w:rPr>
        <w:t>Meister 2006</w:t>
      </w:r>
    </w:p>
  </w:footnote>
  <w:footnote w:id="25">
    <w:p w14:paraId="2DA3E9AB" w14:textId="66880DCA" w:rsidR="0084169C" w:rsidRPr="0084169C" w:rsidRDefault="0084169C">
      <w:pPr>
        <w:pStyle w:val="FootnoteText"/>
        <w:rPr>
          <w:lang w:val="en-US"/>
        </w:rPr>
      </w:pPr>
      <w:r>
        <w:rPr>
          <w:rStyle w:val="FootnoteReference"/>
        </w:rPr>
        <w:footnoteRef/>
      </w:r>
      <w:r>
        <w:t xml:space="preserve"> </w:t>
      </w:r>
      <w:r>
        <w:rPr>
          <w:lang w:val="en-US"/>
        </w:rPr>
        <w:t>Shepherd 2010</w:t>
      </w:r>
    </w:p>
  </w:footnote>
  <w:footnote w:id="26">
    <w:p w14:paraId="57F943A9" w14:textId="4F568530" w:rsidR="002C6E1F" w:rsidRPr="002C6E1F" w:rsidRDefault="002C6E1F">
      <w:pPr>
        <w:pStyle w:val="FootnoteText"/>
        <w:rPr>
          <w:lang w:val="en-US"/>
        </w:rPr>
      </w:pPr>
      <w:r>
        <w:rPr>
          <w:rStyle w:val="FootnoteReference"/>
        </w:rPr>
        <w:footnoteRef/>
      </w:r>
      <w:r>
        <w:t xml:space="preserve"> </w:t>
      </w:r>
      <w:r>
        <w:rPr>
          <w:lang w:val="en-US"/>
        </w:rPr>
        <w:t>Arr. 2.24.133-134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1B8"/>
    <w:rsid w:val="00027383"/>
    <w:rsid w:val="00037673"/>
    <w:rsid w:val="00062E90"/>
    <w:rsid w:val="00075231"/>
    <w:rsid w:val="00075657"/>
    <w:rsid w:val="000C0116"/>
    <w:rsid w:val="000C17A9"/>
    <w:rsid w:val="001263EA"/>
    <w:rsid w:val="00131B25"/>
    <w:rsid w:val="00155C64"/>
    <w:rsid w:val="00172520"/>
    <w:rsid w:val="001865C8"/>
    <w:rsid w:val="00191325"/>
    <w:rsid w:val="001A1A87"/>
    <w:rsid w:val="001A2058"/>
    <w:rsid w:val="001A24D1"/>
    <w:rsid w:val="001B3F40"/>
    <w:rsid w:val="001B65EF"/>
    <w:rsid w:val="001D7A0A"/>
    <w:rsid w:val="001E17BB"/>
    <w:rsid w:val="00214B7B"/>
    <w:rsid w:val="0022201F"/>
    <w:rsid w:val="00227139"/>
    <w:rsid w:val="002451B7"/>
    <w:rsid w:val="002527CF"/>
    <w:rsid w:val="00255659"/>
    <w:rsid w:val="00271073"/>
    <w:rsid w:val="00282FC4"/>
    <w:rsid w:val="00287BDD"/>
    <w:rsid w:val="00291A1C"/>
    <w:rsid w:val="00295BFC"/>
    <w:rsid w:val="00295D92"/>
    <w:rsid w:val="002A6B39"/>
    <w:rsid w:val="002A7B12"/>
    <w:rsid w:val="002B0CF5"/>
    <w:rsid w:val="002B1F8D"/>
    <w:rsid w:val="002B698A"/>
    <w:rsid w:val="002B6E78"/>
    <w:rsid w:val="002C077E"/>
    <w:rsid w:val="002C6E1F"/>
    <w:rsid w:val="00313A60"/>
    <w:rsid w:val="00321DA2"/>
    <w:rsid w:val="00323149"/>
    <w:rsid w:val="00326E88"/>
    <w:rsid w:val="003317EA"/>
    <w:rsid w:val="00335BA7"/>
    <w:rsid w:val="00344B76"/>
    <w:rsid w:val="003516B9"/>
    <w:rsid w:val="00357FE9"/>
    <w:rsid w:val="00370DB0"/>
    <w:rsid w:val="003C181B"/>
    <w:rsid w:val="003C44C7"/>
    <w:rsid w:val="003E27E9"/>
    <w:rsid w:val="003E460B"/>
    <w:rsid w:val="00405E70"/>
    <w:rsid w:val="004073C3"/>
    <w:rsid w:val="004218C7"/>
    <w:rsid w:val="00425424"/>
    <w:rsid w:val="00427AAE"/>
    <w:rsid w:val="00442822"/>
    <w:rsid w:val="004528DF"/>
    <w:rsid w:val="00452C51"/>
    <w:rsid w:val="004578DC"/>
    <w:rsid w:val="004821B3"/>
    <w:rsid w:val="004A3459"/>
    <w:rsid w:val="004A7FB0"/>
    <w:rsid w:val="004B0115"/>
    <w:rsid w:val="004D40A2"/>
    <w:rsid w:val="00501F0C"/>
    <w:rsid w:val="00524096"/>
    <w:rsid w:val="00524411"/>
    <w:rsid w:val="00527FAB"/>
    <w:rsid w:val="00543366"/>
    <w:rsid w:val="00577927"/>
    <w:rsid w:val="00587773"/>
    <w:rsid w:val="00597B6A"/>
    <w:rsid w:val="005C12F5"/>
    <w:rsid w:val="005C7D30"/>
    <w:rsid w:val="005F2273"/>
    <w:rsid w:val="006071E2"/>
    <w:rsid w:val="006142AF"/>
    <w:rsid w:val="0064146C"/>
    <w:rsid w:val="00642081"/>
    <w:rsid w:val="0065522F"/>
    <w:rsid w:val="0065576F"/>
    <w:rsid w:val="0065620E"/>
    <w:rsid w:val="006626CC"/>
    <w:rsid w:val="006762EA"/>
    <w:rsid w:val="006A3E80"/>
    <w:rsid w:val="006B7132"/>
    <w:rsid w:val="006D33FB"/>
    <w:rsid w:val="00705BF5"/>
    <w:rsid w:val="00705F83"/>
    <w:rsid w:val="00730F96"/>
    <w:rsid w:val="0074084B"/>
    <w:rsid w:val="00757F3B"/>
    <w:rsid w:val="007672E9"/>
    <w:rsid w:val="00772F11"/>
    <w:rsid w:val="007A4806"/>
    <w:rsid w:val="008035E1"/>
    <w:rsid w:val="0084169C"/>
    <w:rsid w:val="00864E16"/>
    <w:rsid w:val="008670EB"/>
    <w:rsid w:val="00873A40"/>
    <w:rsid w:val="00892457"/>
    <w:rsid w:val="008B065F"/>
    <w:rsid w:val="008B657C"/>
    <w:rsid w:val="008D474E"/>
    <w:rsid w:val="0092136E"/>
    <w:rsid w:val="00925B43"/>
    <w:rsid w:val="009322F9"/>
    <w:rsid w:val="00974327"/>
    <w:rsid w:val="00977E7B"/>
    <w:rsid w:val="009A305B"/>
    <w:rsid w:val="009A72C3"/>
    <w:rsid w:val="009B1235"/>
    <w:rsid w:val="009C1CFC"/>
    <w:rsid w:val="009D4044"/>
    <w:rsid w:val="009D79D6"/>
    <w:rsid w:val="009E2075"/>
    <w:rsid w:val="00A01209"/>
    <w:rsid w:val="00A401F1"/>
    <w:rsid w:val="00A43280"/>
    <w:rsid w:val="00A5669A"/>
    <w:rsid w:val="00A5695E"/>
    <w:rsid w:val="00AA0042"/>
    <w:rsid w:val="00AA5683"/>
    <w:rsid w:val="00AA6C68"/>
    <w:rsid w:val="00AB0F69"/>
    <w:rsid w:val="00AB1921"/>
    <w:rsid w:val="00AC2172"/>
    <w:rsid w:val="00AC40FD"/>
    <w:rsid w:val="00AC46FC"/>
    <w:rsid w:val="00AF185F"/>
    <w:rsid w:val="00AF4FF6"/>
    <w:rsid w:val="00AF72E3"/>
    <w:rsid w:val="00B15705"/>
    <w:rsid w:val="00B3245D"/>
    <w:rsid w:val="00B3640C"/>
    <w:rsid w:val="00B46F96"/>
    <w:rsid w:val="00B501B8"/>
    <w:rsid w:val="00B73CEC"/>
    <w:rsid w:val="00B82F74"/>
    <w:rsid w:val="00B91A44"/>
    <w:rsid w:val="00B97456"/>
    <w:rsid w:val="00C07269"/>
    <w:rsid w:val="00C24808"/>
    <w:rsid w:val="00C308DF"/>
    <w:rsid w:val="00C43DF4"/>
    <w:rsid w:val="00C60707"/>
    <w:rsid w:val="00C8682A"/>
    <w:rsid w:val="00CA4E59"/>
    <w:rsid w:val="00CA564C"/>
    <w:rsid w:val="00CC0702"/>
    <w:rsid w:val="00CC6332"/>
    <w:rsid w:val="00CD0411"/>
    <w:rsid w:val="00CD62CA"/>
    <w:rsid w:val="00CF1385"/>
    <w:rsid w:val="00CF46FB"/>
    <w:rsid w:val="00D00569"/>
    <w:rsid w:val="00D0540D"/>
    <w:rsid w:val="00D120B2"/>
    <w:rsid w:val="00D245C2"/>
    <w:rsid w:val="00D25850"/>
    <w:rsid w:val="00D521BA"/>
    <w:rsid w:val="00D62CDE"/>
    <w:rsid w:val="00D62DBF"/>
    <w:rsid w:val="00D71F79"/>
    <w:rsid w:val="00D77A35"/>
    <w:rsid w:val="00D90636"/>
    <w:rsid w:val="00DA1CC5"/>
    <w:rsid w:val="00DC58C5"/>
    <w:rsid w:val="00DE2B57"/>
    <w:rsid w:val="00E5022B"/>
    <w:rsid w:val="00E56ABA"/>
    <w:rsid w:val="00E72480"/>
    <w:rsid w:val="00E73937"/>
    <w:rsid w:val="00E751EF"/>
    <w:rsid w:val="00E82521"/>
    <w:rsid w:val="00EA32DD"/>
    <w:rsid w:val="00EA399F"/>
    <w:rsid w:val="00EA4E06"/>
    <w:rsid w:val="00EC2F9C"/>
    <w:rsid w:val="00EC7775"/>
    <w:rsid w:val="00EE0D7E"/>
    <w:rsid w:val="00EF02ED"/>
    <w:rsid w:val="00EF5020"/>
    <w:rsid w:val="00EF63A4"/>
    <w:rsid w:val="00F12788"/>
    <w:rsid w:val="00F3157B"/>
    <w:rsid w:val="00F51B40"/>
    <w:rsid w:val="00F61DD0"/>
    <w:rsid w:val="00F76927"/>
    <w:rsid w:val="00F87909"/>
    <w:rsid w:val="00F90206"/>
    <w:rsid w:val="00F93FD3"/>
    <w:rsid w:val="00F961BC"/>
    <w:rsid w:val="00FB008B"/>
    <w:rsid w:val="00FB4898"/>
    <w:rsid w:val="00FF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FD346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25850"/>
  </w:style>
  <w:style w:type="character" w:customStyle="1" w:styleId="FootnoteTextChar">
    <w:name w:val="Footnote Text Char"/>
    <w:basedOn w:val="DefaultParagraphFont"/>
    <w:link w:val="FootnoteText"/>
    <w:uiPriority w:val="99"/>
    <w:rsid w:val="00D25850"/>
    <w:rPr>
      <w:lang w:val="en-GB"/>
    </w:rPr>
  </w:style>
  <w:style w:type="character" w:styleId="FootnoteReference">
    <w:name w:val="footnote reference"/>
    <w:basedOn w:val="DefaultParagraphFont"/>
    <w:uiPriority w:val="99"/>
    <w:unhideWhenUsed/>
    <w:rsid w:val="00D25850"/>
    <w:rPr>
      <w:vertAlign w:val="superscript"/>
    </w:rPr>
  </w:style>
  <w:style w:type="character" w:styleId="Hyperlink">
    <w:name w:val="Hyperlink"/>
    <w:basedOn w:val="DefaultParagraphFont"/>
    <w:uiPriority w:val="99"/>
    <w:unhideWhenUsed/>
    <w:rsid w:val="004578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1453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oxfordreference.com.ezproxy.uwtsd.ac.uk/view/10.1093/acref/9780199545568.001.0001/acref-9780199545568-e-4975?rskey=O8rRqy&amp;result=1" TargetMode="External"/><Relationship Id="rId20" Type="http://schemas.openxmlformats.org/officeDocument/2006/relationships/theme" Target="theme/theme1.xml"/><Relationship Id="rId10" Type="http://schemas.openxmlformats.org/officeDocument/2006/relationships/hyperlink" Target="http://www.oxfordreference.com.ezproxy.uwtsd.ac.uk/view/10.1093/acref/9780199545568.001.0001/acref-9780199545568-e-4546?rskey=QBWYql&amp;result=3" TargetMode="External"/><Relationship Id="rId11" Type="http://schemas.openxmlformats.org/officeDocument/2006/relationships/hyperlink" Target="http://www.oxfordreference.com.ezproxy.uwtsd.ac.uk/view/10.1093/acref/9780199545568.001.0001/acref-9780199545568-e-4857?rskey=qDNddN&amp;result=1" TargetMode="External"/><Relationship Id="rId12" Type="http://schemas.openxmlformats.org/officeDocument/2006/relationships/hyperlink" Target="https://referenceworks-brillonline-com.ezproxy.uwtsd.ac.uk/entries/brill-s-new-pauly/leucon-e702790?s.num=0&amp;s.f.s2_parent=s.f.book.brill-s-new-pauly&amp;s.q=leucon" TargetMode="External"/><Relationship Id="rId13" Type="http://schemas.openxmlformats.org/officeDocument/2006/relationships/hyperlink" Target="http://www.oxfordreference.com.ezproxy.uwtsd.ac.uk/view/10.1093/acref/9780195046526.001.0001/acref-9780195046526-e-5162?rskey=G9CPNZ&amp;result=2" TargetMode="External"/><Relationship Id="rId14" Type="http://schemas.openxmlformats.org/officeDocument/2006/relationships/hyperlink" Target="https://referenceworks-brillonline-com.ezproxy.uwtsd.ac.uk/entries/brill-s-new-pauly/agathocles-e107240?s.num=0&amp;s.f.s2_parent=s.f.book.brill-s-new-pauly&amp;s.q=agathocles" TargetMode="External"/><Relationship Id="rId15" Type="http://schemas.openxmlformats.org/officeDocument/2006/relationships/hyperlink" Target="http://www.oxfordreference.com.ezproxy.uwtsd.ac.uk/view/10.1093/acref/9780199546091.001.0001/acref-9780199546091-e-3210?rskey=7MoCr7&amp;result=2" TargetMode="External"/><Relationship Id="rId16" Type="http://schemas.openxmlformats.org/officeDocument/2006/relationships/hyperlink" Target="http://www.oxfordreference.com.ezproxy.uwtsd.ac.uk/view/10.1093/acref/9780198606413.001.0001/acref-9780198606413-e-1821#" TargetMode="External"/><Relationship Id="rId17" Type="http://schemas.openxmlformats.org/officeDocument/2006/relationships/hyperlink" Target="https://www.ncbi.nlm.nih.gov/pubmed/24369045" TargetMode="External"/><Relationship Id="rId18" Type="http://schemas.openxmlformats.org/officeDocument/2006/relationships/hyperlink" Target="http://www.oxfordreference.com.ezproxy.uwtsd.ac.uk/view/10.1093/acref/9780195170726.001.0001/acref-9780195170726-e-751?rskey=2PY8WA&amp;result=1" TargetMode="External"/><Relationship Id="rId19"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referenceworks-brillonline-com.ezproxy.uwtsd.ac.uk/entries/brill-s-new-pauly/craterus-e622110?s.num=0&amp;s.f.s2_parent=s.f.book.brill-s-new-pauly&amp;s.q=craterus" TargetMode="External"/><Relationship Id="rId7" Type="http://schemas.openxmlformats.org/officeDocument/2006/relationships/hyperlink" Target="http://www.oxfordreference.com.ezproxy.uwtsd.ac.uk/view/10.1093/acref/9780199545568.001.0001/acref-9780199545568-e-280?rskey=JV3RYJ&amp;result=3" TargetMode="External"/><Relationship Id="rId8" Type="http://schemas.openxmlformats.org/officeDocument/2006/relationships/hyperlink" Target="http://www.oxfordreference.com.ezproxy.uwtsd.ac.uk/view/10.1093/acref/9780199545568.001.0001/acref-9780199545568-e-2573?rskey=BwB1a5&amp;result=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7</Pages>
  <Words>2755</Words>
  <Characters>12649</Characters>
  <Application>Microsoft Macintosh Word</Application>
  <DocSecurity>0</DocSecurity>
  <Lines>258</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Kinnicutt</dc:creator>
  <cp:keywords/>
  <dc:description/>
  <cp:lastModifiedBy>Jordan Kinnicutt</cp:lastModifiedBy>
  <cp:revision>500</cp:revision>
  <dcterms:created xsi:type="dcterms:W3CDTF">2018-11-13T16:08:00Z</dcterms:created>
  <dcterms:modified xsi:type="dcterms:W3CDTF">2018-11-13T23:05:00Z</dcterms:modified>
</cp:coreProperties>
</file>