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300739E" w:rsidR="008B4CD7" w:rsidRPr="00AA4F65" w:rsidRDefault="00315BE5" w:rsidP="00315BE5">
      <w:pPr>
        <w:spacing w:afterLines="160" w:after="384" w:line="480" w:lineRule="auto"/>
        <w:rPr>
          <w:rFonts w:ascii="Times New Roman" w:hAnsi="Times New Roman" w:cs="Times New Roman"/>
          <w:sz w:val="24"/>
          <w:szCs w:val="24"/>
        </w:rPr>
      </w:pPr>
      <w:r>
        <w:rPr>
          <w:rFonts w:ascii="DM Sans" w:eastAsia="DM Sans" w:hAnsi="DM Sans" w:cs="DM Sans"/>
          <w:noProof/>
        </w:rPr>
        <w:drawing>
          <wp:inline distT="0" distB="0" distL="0" distR="0" wp14:anchorId="63602CD1" wp14:editId="7BA44582">
            <wp:extent cx="2967990" cy="1061584"/>
            <wp:effectExtent l="0" t="0" r="3810" b="5715"/>
            <wp:docPr id="2"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text on a white backgroun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976356" cy="1064576"/>
                    </a:xfrm>
                    <a:prstGeom prst="rect">
                      <a:avLst/>
                    </a:prstGeom>
                  </pic:spPr>
                </pic:pic>
              </a:graphicData>
            </a:graphic>
          </wp:inline>
        </w:drawing>
      </w:r>
    </w:p>
    <w:p w14:paraId="00000005" w14:textId="77777777" w:rsidR="008B4CD7" w:rsidRPr="00AA4F65" w:rsidRDefault="008B4CD7" w:rsidP="00AA4F65">
      <w:pPr>
        <w:spacing w:afterLines="160" w:after="384" w:line="480" w:lineRule="auto"/>
        <w:jc w:val="center"/>
        <w:rPr>
          <w:rFonts w:ascii="Times New Roman" w:hAnsi="Times New Roman" w:cs="Times New Roman"/>
          <w:b/>
          <w:bCs/>
          <w:sz w:val="24"/>
          <w:szCs w:val="24"/>
          <w:lang w:val="bg-BG"/>
        </w:rPr>
      </w:pPr>
    </w:p>
    <w:p w14:paraId="5B48A243" w14:textId="77777777" w:rsidR="00AA4F65" w:rsidRPr="00AA4F65" w:rsidRDefault="00AA4F65" w:rsidP="00AA4F65">
      <w:pPr>
        <w:spacing w:afterLines="160" w:after="384" w:line="480" w:lineRule="auto"/>
        <w:jc w:val="center"/>
        <w:rPr>
          <w:rFonts w:ascii="Times New Roman" w:hAnsi="Times New Roman" w:cs="Times New Roman"/>
          <w:sz w:val="24"/>
          <w:szCs w:val="24"/>
          <w:lang w:val="bg-BG"/>
        </w:rPr>
      </w:pPr>
    </w:p>
    <w:p w14:paraId="00000006" w14:textId="77777777" w:rsidR="008B4CD7" w:rsidRPr="00AA4F65" w:rsidRDefault="00000000" w:rsidP="00AA4F65">
      <w:pPr>
        <w:spacing w:afterLines="160" w:after="384" w:line="480" w:lineRule="auto"/>
        <w:jc w:val="center"/>
        <w:rPr>
          <w:rFonts w:ascii="Times New Roman" w:hAnsi="Times New Roman" w:cs="Times New Roman"/>
          <w:sz w:val="24"/>
          <w:szCs w:val="24"/>
        </w:rPr>
      </w:pPr>
      <w:r w:rsidRPr="00AA4F65">
        <w:rPr>
          <w:rFonts w:ascii="Times New Roman" w:hAnsi="Times New Roman" w:cs="Times New Roman"/>
          <w:b/>
          <w:bCs/>
          <w:sz w:val="24"/>
          <w:szCs w:val="24"/>
        </w:rPr>
        <w:t xml:space="preserve">Module Code &amp; Title: </w:t>
      </w:r>
      <w:r w:rsidRPr="00AA4F65">
        <w:rPr>
          <w:rFonts w:ascii="Times New Roman" w:hAnsi="Times New Roman" w:cs="Times New Roman"/>
          <w:sz w:val="24"/>
          <w:szCs w:val="24"/>
        </w:rPr>
        <w:t>LCLM5002, Developing and Managing Individuals and Teams</w:t>
      </w:r>
    </w:p>
    <w:p w14:paraId="05AC308C" w14:textId="77777777" w:rsidR="00AA4F65" w:rsidRPr="00AA4F65" w:rsidRDefault="00AA4F65" w:rsidP="00AA4F65">
      <w:pPr>
        <w:spacing w:afterLines="160" w:after="384" w:line="480" w:lineRule="auto"/>
        <w:rPr>
          <w:rFonts w:ascii="Times New Roman" w:hAnsi="Times New Roman" w:cs="Times New Roman"/>
          <w:sz w:val="24"/>
          <w:szCs w:val="24"/>
          <w:lang w:val="en-GB"/>
        </w:rPr>
      </w:pPr>
    </w:p>
    <w:p w14:paraId="1F40D03C" w14:textId="59D37EA7" w:rsidR="00AA4F65" w:rsidRPr="00AA4F65" w:rsidRDefault="00000000" w:rsidP="00AA4F65">
      <w:pPr>
        <w:spacing w:afterLines="160" w:after="384" w:line="480" w:lineRule="auto"/>
        <w:jc w:val="center"/>
        <w:rPr>
          <w:rFonts w:ascii="Times New Roman" w:hAnsi="Times New Roman" w:cs="Times New Roman"/>
          <w:sz w:val="24"/>
          <w:szCs w:val="24"/>
        </w:rPr>
      </w:pPr>
      <w:r w:rsidRPr="00AA4F65">
        <w:rPr>
          <w:rFonts w:ascii="Times New Roman" w:hAnsi="Times New Roman" w:cs="Times New Roman"/>
          <w:b/>
          <w:bCs/>
          <w:sz w:val="24"/>
          <w:szCs w:val="24"/>
        </w:rPr>
        <w:t xml:space="preserve">Assignment Title: </w:t>
      </w:r>
      <w:r w:rsidRPr="00AA4F65">
        <w:rPr>
          <w:rFonts w:ascii="Times New Roman" w:hAnsi="Times New Roman" w:cs="Times New Roman"/>
          <w:sz w:val="24"/>
          <w:szCs w:val="24"/>
        </w:rPr>
        <w:t>Component 2- Individual Report</w:t>
      </w:r>
    </w:p>
    <w:p w14:paraId="3757D073" w14:textId="77777777" w:rsidR="00315BE5" w:rsidRPr="00315BE5" w:rsidRDefault="00315BE5" w:rsidP="00315BE5">
      <w:pPr>
        <w:jc w:val="center"/>
        <w:rPr>
          <w:rFonts w:ascii="Times New Roman" w:eastAsia="DM Sans" w:hAnsi="Times New Roman" w:cs="Times New Roman"/>
          <w:b/>
          <w:bCs/>
          <w:sz w:val="24"/>
          <w:szCs w:val="24"/>
        </w:rPr>
      </w:pPr>
      <w:r w:rsidRPr="00315BE5">
        <w:rPr>
          <w:rFonts w:ascii="Times New Roman" w:eastAsia="DM Sans" w:hAnsi="Times New Roman" w:cs="Times New Roman"/>
          <w:b/>
          <w:bCs/>
          <w:sz w:val="24"/>
          <w:szCs w:val="24"/>
        </w:rPr>
        <w:t xml:space="preserve">Student name: </w:t>
      </w:r>
      <w:proofErr w:type="spellStart"/>
      <w:r w:rsidRPr="00315BE5">
        <w:rPr>
          <w:rFonts w:ascii="Times New Roman" w:eastAsia="DM Sans" w:hAnsi="Times New Roman" w:cs="Times New Roman"/>
          <w:b/>
          <w:bCs/>
          <w:sz w:val="24"/>
          <w:szCs w:val="24"/>
        </w:rPr>
        <w:t>Desislava</w:t>
      </w:r>
      <w:proofErr w:type="spellEnd"/>
      <w:r w:rsidRPr="00315BE5">
        <w:rPr>
          <w:rFonts w:ascii="Times New Roman" w:eastAsia="DM Sans" w:hAnsi="Times New Roman" w:cs="Times New Roman"/>
          <w:b/>
          <w:bCs/>
          <w:sz w:val="24"/>
          <w:szCs w:val="24"/>
        </w:rPr>
        <w:t xml:space="preserve"> </w:t>
      </w:r>
      <w:proofErr w:type="spellStart"/>
      <w:r w:rsidRPr="00315BE5">
        <w:rPr>
          <w:rFonts w:ascii="Times New Roman" w:eastAsia="DM Sans" w:hAnsi="Times New Roman" w:cs="Times New Roman"/>
          <w:b/>
          <w:bCs/>
          <w:sz w:val="24"/>
          <w:szCs w:val="24"/>
        </w:rPr>
        <w:t>Yovcheva</w:t>
      </w:r>
      <w:proofErr w:type="spellEnd"/>
      <w:r w:rsidRPr="00315BE5">
        <w:rPr>
          <w:rFonts w:ascii="Times New Roman" w:eastAsia="DM Sans" w:hAnsi="Times New Roman" w:cs="Times New Roman"/>
          <w:b/>
          <w:bCs/>
          <w:sz w:val="24"/>
          <w:szCs w:val="24"/>
        </w:rPr>
        <w:t xml:space="preserve"> </w:t>
      </w:r>
    </w:p>
    <w:p w14:paraId="3EE4ABB0" w14:textId="77777777" w:rsidR="00315BE5" w:rsidRPr="00315BE5" w:rsidRDefault="00315BE5" w:rsidP="00315BE5">
      <w:pPr>
        <w:jc w:val="center"/>
        <w:rPr>
          <w:rFonts w:ascii="Times New Roman" w:eastAsia="DM Sans" w:hAnsi="Times New Roman" w:cs="Times New Roman"/>
          <w:b/>
          <w:bCs/>
          <w:sz w:val="24"/>
          <w:szCs w:val="24"/>
        </w:rPr>
      </w:pPr>
    </w:p>
    <w:p w14:paraId="659B4598" w14:textId="77777777" w:rsidR="00315BE5" w:rsidRPr="00315BE5" w:rsidRDefault="00315BE5" w:rsidP="00315BE5">
      <w:pPr>
        <w:jc w:val="center"/>
        <w:rPr>
          <w:rFonts w:ascii="Times New Roman" w:eastAsia="DM Sans" w:hAnsi="Times New Roman" w:cs="Times New Roman"/>
          <w:b/>
          <w:bCs/>
          <w:sz w:val="24"/>
          <w:szCs w:val="24"/>
        </w:rPr>
      </w:pPr>
      <w:r w:rsidRPr="00315BE5">
        <w:rPr>
          <w:rFonts w:ascii="Times New Roman" w:eastAsia="DM Sans" w:hAnsi="Times New Roman" w:cs="Times New Roman"/>
          <w:b/>
          <w:bCs/>
          <w:sz w:val="24"/>
          <w:szCs w:val="24"/>
        </w:rPr>
        <w:t>Student Id: 2321718</w:t>
      </w:r>
    </w:p>
    <w:p w14:paraId="01C86F1A" w14:textId="77777777" w:rsidR="00AA4F65" w:rsidRPr="00AA4F65" w:rsidRDefault="00AA4F65" w:rsidP="00AA4F65">
      <w:pPr>
        <w:spacing w:afterLines="160" w:after="384" w:line="480" w:lineRule="auto"/>
        <w:jc w:val="center"/>
        <w:rPr>
          <w:rFonts w:ascii="Times New Roman" w:hAnsi="Times New Roman" w:cs="Times New Roman"/>
          <w:sz w:val="24"/>
          <w:szCs w:val="24"/>
          <w:lang w:val="bg-BG"/>
        </w:rPr>
      </w:pPr>
    </w:p>
    <w:p w14:paraId="015AF61E" w14:textId="77777777" w:rsidR="00AA4F65" w:rsidRPr="00AA4F65" w:rsidRDefault="00AA4F65" w:rsidP="00AA4F65">
      <w:pPr>
        <w:spacing w:afterLines="160" w:after="384" w:line="480" w:lineRule="auto"/>
        <w:jc w:val="center"/>
        <w:rPr>
          <w:rFonts w:ascii="Times New Roman" w:hAnsi="Times New Roman" w:cs="Times New Roman"/>
          <w:b/>
          <w:bCs/>
          <w:sz w:val="24"/>
          <w:szCs w:val="24"/>
        </w:rPr>
      </w:pPr>
      <w:r w:rsidRPr="00AA4F65">
        <w:rPr>
          <w:rFonts w:ascii="Times New Roman" w:hAnsi="Times New Roman" w:cs="Times New Roman"/>
          <w:b/>
          <w:bCs/>
          <w:sz w:val="24"/>
          <w:szCs w:val="24"/>
        </w:rPr>
        <w:t>HR at Unilever</w:t>
      </w:r>
    </w:p>
    <w:p w14:paraId="3F064380" w14:textId="77777777" w:rsidR="00AA4F65" w:rsidRDefault="00AA4F65" w:rsidP="00AA4F65">
      <w:pPr>
        <w:spacing w:afterLines="160" w:after="384" w:line="480" w:lineRule="auto"/>
        <w:jc w:val="center"/>
        <w:rPr>
          <w:rFonts w:ascii="Times New Roman" w:hAnsi="Times New Roman" w:cs="Times New Roman"/>
          <w:sz w:val="24"/>
          <w:szCs w:val="24"/>
        </w:rPr>
      </w:pPr>
    </w:p>
    <w:p w14:paraId="51B1D554" w14:textId="77777777" w:rsidR="00AA4F65" w:rsidRDefault="00AA4F65" w:rsidP="00AA4F65">
      <w:pPr>
        <w:spacing w:afterLines="160" w:after="384" w:line="480" w:lineRule="auto"/>
        <w:jc w:val="center"/>
        <w:rPr>
          <w:rFonts w:ascii="Times New Roman" w:hAnsi="Times New Roman" w:cs="Times New Roman"/>
          <w:sz w:val="24"/>
          <w:szCs w:val="24"/>
        </w:rPr>
      </w:pPr>
    </w:p>
    <w:p w14:paraId="30EBA957" w14:textId="77777777" w:rsidR="00AA4F65" w:rsidRPr="00AA4F65" w:rsidRDefault="00AA4F65" w:rsidP="00315BE5">
      <w:pPr>
        <w:spacing w:afterLines="160" w:after="384" w:line="480" w:lineRule="auto"/>
        <w:rPr>
          <w:rFonts w:ascii="Times New Roman" w:hAnsi="Times New Roman" w:cs="Times New Roman"/>
          <w:sz w:val="24"/>
          <w:szCs w:val="24"/>
        </w:rPr>
      </w:pPr>
    </w:p>
    <w:p w14:paraId="64CD9C21" w14:textId="77777777" w:rsidR="00AA4F65" w:rsidRPr="00AA4F65" w:rsidRDefault="00AA4F65" w:rsidP="00AA4F65">
      <w:pPr>
        <w:spacing w:afterLines="160" w:after="384" w:line="480" w:lineRule="auto"/>
        <w:jc w:val="center"/>
        <w:rPr>
          <w:rFonts w:ascii="Times New Roman" w:hAnsi="Times New Roman" w:cs="Times New Roman"/>
          <w:sz w:val="24"/>
          <w:szCs w:val="24"/>
        </w:rPr>
      </w:pPr>
    </w:p>
    <w:sdt>
      <w:sdtPr>
        <w:rPr>
          <w:rFonts w:ascii="Times New Roman" w:eastAsia="Arial" w:hAnsi="Times New Roman" w:cs="Times New Roman"/>
          <w:color w:val="auto"/>
          <w:sz w:val="22"/>
          <w:szCs w:val="22"/>
          <w:lang w:val="en" w:eastAsia="en-GB"/>
        </w:rPr>
        <w:id w:val="-1531020288"/>
        <w:docPartObj>
          <w:docPartGallery w:val="Table of Contents"/>
          <w:docPartUnique/>
        </w:docPartObj>
      </w:sdtPr>
      <w:sdtEndPr>
        <w:rPr>
          <w:b/>
          <w:bCs/>
          <w:noProof/>
        </w:rPr>
      </w:sdtEndPr>
      <w:sdtContent>
        <w:p w14:paraId="11DD983F" w14:textId="74DCB6DA" w:rsidR="00AA4F65" w:rsidRPr="00AA4F65" w:rsidRDefault="00AA4F65">
          <w:pPr>
            <w:pStyle w:val="TOCHeading"/>
            <w:rPr>
              <w:rFonts w:ascii="Times New Roman" w:hAnsi="Times New Roman" w:cs="Times New Roman"/>
            </w:rPr>
          </w:pPr>
          <w:r w:rsidRPr="00AA4F65">
            <w:rPr>
              <w:rFonts w:ascii="Times New Roman" w:hAnsi="Times New Roman" w:cs="Times New Roman"/>
            </w:rPr>
            <w:t>Contents</w:t>
          </w:r>
        </w:p>
        <w:p w14:paraId="27600B09" w14:textId="1D28B819" w:rsidR="00AA4F65" w:rsidRPr="00AA4F65" w:rsidRDefault="00AA4F65">
          <w:pPr>
            <w:pStyle w:val="TOC1"/>
            <w:tabs>
              <w:tab w:val="right" w:leader="dot" w:pos="9350"/>
            </w:tabs>
            <w:rPr>
              <w:rFonts w:ascii="Times New Roman" w:hAnsi="Times New Roman" w:cs="Times New Roman"/>
              <w:noProof/>
            </w:rPr>
          </w:pPr>
          <w:r w:rsidRPr="00AA4F65">
            <w:rPr>
              <w:rFonts w:ascii="Times New Roman" w:hAnsi="Times New Roman" w:cs="Times New Roman"/>
            </w:rPr>
            <w:fldChar w:fldCharType="begin"/>
          </w:r>
          <w:r w:rsidRPr="00AA4F65">
            <w:rPr>
              <w:rFonts w:ascii="Times New Roman" w:hAnsi="Times New Roman" w:cs="Times New Roman"/>
            </w:rPr>
            <w:instrText xml:space="preserve"> TOC \o "1-3" \h \z \u </w:instrText>
          </w:r>
          <w:r w:rsidRPr="00AA4F65">
            <w:rPr>
              <w:rFonts w:ascii="Times New Roman" w:hAnsi="Times New Roman" w:cs="Times New Roman"/>
            </w:rPr>
            <w:fldChar w:fldCharType="separate"/>
          </w:r>
          <w:hyperlink w:anchor="_Toc226551866" w:history="1">
            <w:r w:rsidRPr="00AA4F65">
              <w:rPr>
                <w:rStyle w:val="Hyperlink"/>
                <w:rFonts w:ascii="Times New Roman" w:hAnsi="Times New Roman" w:cs="Times New Roman"/>
                <w:noProof/>
                <w:lang w:val="en-GB"/>
              </w:rPr>
              <w:t>Introduction</w:t>
            </w:r>
            <w:r w:rsidRPr="00AA4F65">
              <w:rPr>
                <w:rFonts w:ascii="Times New Roman" w:hAnsi="Times New Roman" w:cs="Times New Roman"/>
                <w:noProof/>
                <w:webHidden/>
              </w:rPr>
              <w:tab/>
            </w:r>
            <w:r w:rsidRPr="00AA4F65">
              <w:rPr>
                <w:rFonts w:ascii="Times New Roman" w:hAnsi="Times New Roman" w:cs="Times New Roman"/>
                <w:noProof/>
                <w:webHidden/>
              </w:rPr>
              <w:fldChar w:fldCharType="begin"/>
            </w:r>
            <w:r w:rsidRPr="00AA4F65">
              <w:rPr>
                <w:rFonts w:ascii="Times New Roman" w:hAnsi="Times New Roman" w:cs="Times New Roman"/>
                <w:noProof/>
                <w:webHidden/>
              </w:rPr>
              <w:instrText xml:space="preserve"> PAGEREF _Toc226551866 \h </w:instrText>
            </w:r>
            <w:r w:rsidRPr="00AA4F65">
              <w:rPr>
                <w:rFonts w:ascii="Times New Roman" w:hAnsi="Times New Roman" w:cs="Times New Roman"/>
                <w:noProof/>
                <w:webHidden/>
              </w:rPr>
            </w:r>
            <w:r w:rsidRPr="00AA4F65">
              <w:rPr>
                <w:rFonts w:ascii="Times New Roman" w:hAnsi="Times New Roman" w:cs="Times New Roman"/>
                <w:noProof/>
                <w:webHidden/>
              </w:rPr>
              <w:fldChar w:fldCharType="separate"/>
            </w:r>
            <w:r w:rsidRPr="00AA4F65">
              <w:rPr>
                <w:rFonts w:ascii="Times New Roman" w:hAnsi="Times New Roman" w:cs="Times New Roman"/>
                <w:noProof/>
                <w:webHidden/>
              </w:rPr>
              <w:t>3</w:t>
            </w:r>
            <w:r w:rsidRPr="00AA4F65">
              <w:rPr>
                <w:rFonts w:ascii="Times New Roman" w:hAnsi="Times New Roman" w:cs="Times New Roman"/>
                <w:noProof/>
                <w:webHidden/>
              </w:rPr>
              <w:fldChar w:fldCharType="end"/>
            </w:r>
          </w:hyperlink>
        </w:p>
        <w:p w14:paraId="2A941C4E" w14:textId="265A427F" w:rsidR="00AA4F65" w:rsidRPr="00AA4F65" w:rsidRDefault="00000000">
          <w:pPr>
            <w:pStyle w:val="TOC1"/>
            <w:tabs>
              <w:tab w:val="right" w:leader="dot" w:pos="9350"/>
            </w:tabs>
            <w:rPr>
              <w:rFonts w:ascii="Times New Roman" w:hAnsi="Times New Roman" w:cs="Times New Roman"/>
              <w:noProof/>
            </w:rPr>
          </w:pPr>
          <w:hyperlink w:anchor="_Toc226551867" w:history="1">
            <w:r w:rsidR="00AA4F65" w:rsidRPr="00AA4F65">
              <w:rPr>
                <w:rStyle w:val="Hyperlink"/>
                <w:rFonts w:ascii="Times New Roman" w:hAnsi="Times New Roman" w:cs="Times New Roman"/>
                <w:noProof/>
              </w:rPr>
              <w:t>Explaining Factors Relating to Technological Advancement, Talent Acquisition &amp; DEI at Unilever</w:t>
            </w:r>
            <w:r w:rsidR="00AA4F65" w:rsidRPr="00AA4F65">
              <w:rPr>
                <w:rFonts w:ascii="Times New Roman" w:hAnsi="Times New Roman" w:cs="Times New Roman"/>
                <w:noProof/>
                <w:webHidden/>
              </w:rPr>
              <w:tab/>
            </w:r>
            <w:r w:rsidR="00AA4F65" w:rsidRPr="00AA4F65">
              <w:rPr>
                <w:rFonts w:ascii="Times New Roman" w:hAnsi="Times New Roman" w:cs="Times New Roman"/>
                <w:noProof/>
                <w:webHidden/>
              </w:rPr>
              <w:fldChar w:fldCharType="begin"/>
            </w:r>
            <w:r w:rsidR="00AA4F65" w:rsidRPr="00AA4F65">
              <w:rPr>
                <w:rFonts w:ascii="Times New Roman" w:hAnsi="Times New Roman" w:cs="Times New Roman"/>
                <w:noProof/>
                <w:webHidden/>
              </w:rPr>
              <w:instrText xml:space="preserve"> PAGEREF _Toc226551867 \h </w:instrText>
            </w:r>
            <w:r w:rsidR="00AA4F65" w:rsidRPr="00AA4F65">
              <w:rPr>
                <w:rFonts w:ascii="Times New Roman" w:hAnsi="Times New Roman" w:cs="Times New Roman"/>
                <w:noProof/>
                <w:webHidden/>
              </w:rPr>
            </w:r>
            <w:r w:rsidR="00AA4F65" w:rsidRPr="00AA4F65">
              <w:rPr>
                <w:rFonts w:ascii="Times New Roman" w:hAnsi="Times New Roman" w:cs="Times New Roman"/>
                <w:noProof/>
                <w:webHidden/>
              </w:rPr>
              <w:fldChar w:fldCharType="separate"/>
            </w:r>
            <w:r w:rsidR="00AA4F65" w:rsidRPr="00AA4F65">
              <w:rPr>
                <w:rFonts w:ascii="Times New Roman" w:hAnsi="Times New Roman" w:cs="Times New Roman"/>
                <w:noProof/>
                <w:webHidden/>
              </w:rPr>
              <w:t>4</w:t>
            </w:r>
            <w:r w:rsidR="00AA4F65" w:rsidRPr="00AA4F65">
              <w:rPr>
                <w:rFonts w:ascii="Times New Roman" w:hAnsi="Times New Roman" w:cs="Times New Roman"/>
                <w:noProof/>
                <w:webHidden/>
              </w:rPr>
              <w:fldChar w:fldCharType="end"/>
            </w:r>
          </w:hyperlink>
        </w:p>
        <w:p w14:paraId="0F0EB37B" w14:textId="729492BE" w:rsidR="00AA4F65" w:rsidRPr="00AA4F65" w:rsidRDefault="00000000">
          <w:pPr>
            <w:pStyle w:val="TOC1"/>
            <w:tabs>
              <w:tab w:val="right" w:leader="dot" w:pos="9350"/>
            </w:tabs>
            <w:rPr>
              <w:rFonts w:ascii="Times New Roman" w:hAnsi="Times New Roman" w:cs="Times New Roman"/>
              <w:noProof/>
            </w:rPr>
          </w:pPr>
          <w:hyperlink w:anchor="_Toc226551868" w:history="1">
            <w:r w:rsidR="00AA4F65" w:rsidRPr="00AA4F65">
              <w:rPr>
                <w:rStyle w:val="Hyperlink"/>
                <w:rFonts w:ascii="Times New Roman" w:hAnsi="Times New Roman" w:cs="Times New Roman"/>
                <w:noProof/>
              </w:rPr>
              <w:t>Contemporary Human Resource Practices</w:t>
            </w:r>
            <w:r w:rsidR="00AA4F65" w:rsidRPr="00AA4F65">
              <w:rPr>
                <w:rFonts w:ascii="Times New Roman" w:hAnsi="Times New Roman" w:cs="Times New Roman"/>
                <w:noProof/>
                <w:webHidden/>
              </w:rPr>
              <w:tab/>
            </w:r>
            <w:r w:rsidR="00AA4F65" w:rsidRPr="00AA4F65">
              <w:rPr>
                <w:rFonts w:ascii="Times New Roman" w:hAnsi="Times New Roman" w:cs="Times New Roman"/>
                <w:noProof/>
                <w:webHidden/>
              </w:rPr>
              <w:fldChar w:fldCharType="begin"/>
            </w:r>
            <w:r w:rsidR="00AA4F65" w:rsidRPr="00AA4F65">
              <w:rPr>
                <w:rFonts w:ascii="Times New Roman" w:hAnsi="Times New Roman" w:cs="Times New Roman"/>
                <w:noProof/>
                <w:webHidden/>
              </w:rPr>
              <w:instrText xml:space="preserve"> PAGEREF _Toc226551868 \h </w:instrText>
            </w:r>
            <w:r w:rsidR="00AA4F65" w:rsidRPr="00AA4F65">
              <w:rPr>
                <w:rFonts w:ascii="Times New Roman" w:hAnsi="Times New Roman" w:cs="Times New Roman"/>
                <w:noProof/>
                <w:webHidden/>
              </w:rPr>
            </w:r>
            <w:r w:rsidR="00AA4F65" w:rsidRPr="00AA4F65">
              <w:rPr>
                <w:rFonts w:ascii="Times New Roman" w:hAnsi="Times New Roman" w:cs="Times New Roman"/>
                <w:noProof/>
                <w:webHidden/>
              </w:rPr>
              <w:fldChar w:fldCharType="separate"/>
            </w:r>
            <w:r w:rsidR="00AA4F65" w:rsidRPr="00AA4F65">
              <w:rPr>
                <w:rFonts w:ascii="Times New Roman" w:hAnsi="Times New Roman" w:cs="Times New Roman"/>
                <w:noProof/>
                <w:webHidden/>
              </w:rPr>
              <w:t>6</w:t>
            </w:r>
            <w:r w:rsidR="00AA4F65" w:rsidRPr="00AA4F65">
              <w:rPr>
                <w:rFonts w:ascii="Times New Roman" w:hAnsi="Times New Roman" w:cs="Times New Roman"/>
                <w:noProof/>
                <w:webHidden/>
              </w:rPr>
              <w:fldChar w:fldCharType="end"/>
            </w:r>
          </w:hyperlink>
        </w:p>
        <w:p w14:paraId="420832AD" w14:textId="0D2C1113" w:rsidR="00AA4F65" w:rsidRPr="00AA4F65" w:rsidRDefault="00000000">
          <w:pPr>
            <w:pStyle w:val="TOC1"/>
            <w:tabs>
              <w:tab w:val="right" w:leader="dot" w:pos="9350"/>
            </w:tabs>
            <w:rPr>
              <w:rFonts w:ascii="Times New Roman" w:hAnsi="Times New Roman" w:cs="Times New Roman"/>
              <w:noProof/>
            </w:rPr>
          </w:pPr>
          <w:hyperlink w:anchor="_Toc226551869" w:history="1">
            <w:r w:rsidR="00AA4F65" w:rsidRPr="00AA4F65">
              <w:rPr>
                <w:rStyle w:val="Hyperlink"/>
                <w:rFonts w:ascii="Times New Roman" w:hAnsi="Times New Roman" w:cs="Times New Roman"/>
                <w:noProof/>
              </w:rPr>
              <w:t>Critical Evaluation</w:t>
            </w:r>
            <w:r w:rsidR="00AA4F65" w:rsidRPr="00AA4F65">
              <w:rPr>
                <w:rFonts w:ascii="Times New Roman" w:hAnsi="Times New Roman" w:cs="Times New Roman"/>
                <w:noProof/>
                <w:webHidden/>
              </w:rPr>
              <w:tab/>
            </w:r>
            <w:r w:rsidR="00AA4F65" w:rsidRPr="00AA4F65">
              <w:rPr>
                <w:rFonts w:ascii="Times New Roman" w:hAnsi="Times New Roman" w:cs="Times New Roman"/>
                <w:noProof/>
                <w:webHidden/>
              </w:rPr>
              <w:fldChar w:fldCharType="begin"/>
            </w:r>
            <w:r w:rsidR="00AA4F65" w:rsidRPr="00AA4F65">
              <w:rPr>
                <w:rFonts w:ascii="Times New Roman" w:hAnsi="Times New Roman" w:cs="Times New Roman"/>
                <w:noProof/>
                <w:webHidden/>
              </w:rPr>
              <w:instrText xml:space="preserve"> PAGEREF _Toc226551869 \h </w:instrText>
            </w:r>
            <w:r w:rsidR="00AA4F65" w:rsidRPr="00AA4F65">
              <w:rPr>
                <w:rFonts w:ascii="Times New Roman" w:hAnsi="Times New Roman" w:cs="Times New Roman"/>
                <w:noProof/>
                <w:webHidden/>
              </w:rPr>
            </w:r>
            <w:r w:rsidR="00AA4F65" w:rsidRPr="00AA4F65">
              <w:rPr>
                <w:rFonts w:ascii="Times New Roman" w:hAnsi="Times New Roman" w:cs="Times New Roman"/>
                <w:noProof/>
                <w:webHidden/>
              </w:rPr>
              <w:fldChar w:fldCharType="separate"/>
            </w:r>
            <w:r w:rsidR="00AA4F65" w:rsidRPr="00AA4F65">
              <w:rPr>
                <w:rFonts w:ascii="Times New Roman" w:hAnsi="Times New Roman" w:cs="Times New Roman"/>
                <w:noProof/>
                <w:webHidden/>
              </w:rPr>
              <w:t>8</w:t>
            </w:r>
            <w:r w:rsidR="00AA4F65" w:rsidRPr="00AA4F65">
              <w:rPr>
                <w:rFonts w:ascii="Times New Roman" w:hAnsi="Times New Roman" w:cs="Times New Roman"/>
                <w:noProof/>
                <w:webHidden/>
              </w:rPr>
              <w:fldChar w:fldCharType="end"/>
            </w:r>
          </w:hyperlink>
        </w:p>
        <w:p w14:paraId="4F8CEB24" w14:textId="120D3BA4" w:rsidR="00AA4F65" w:rsidRPr="00AA4F65" w:rsidRDefault="00000000">
          <w:pPr>
            <w:pStyle w:val="TOC1"/>
            <w:tabs>
              <w:tab w:val="right" w:leader="dot" w:pos="9350"/>
            </w:tabs>
            <w:rPr>
              <w:rFonts w:ascii="Times New Roman" w:hAnsi="Times New Roman" w:cs="Times New Roman"/>
              <w:noProof/>
            </w:rPr>
          </w:pPr>
          <w:hyperlink w:anchor="_Toc226551870" w:history="1">
            <w:r w:rsidR="00AA4F65" w:rsidRPr="00AA4F65">
              <w:rPr>
                <w:rStyle w:val="Hyperlink"/>
                <w:rFonts w:ascii="Times New Roman" w:hAnsi="Times New Roman" w:cs="Times New Roman"/>
                <w:noProof/>
              </w:rPr>
              <w:t>Conclusion</w:t>
            </w:r>
            <w:r w:rsidR="00AA4F65" w:rsidRPr="00AA4F65">
              <w:rPr>
                <w:rFonts w:ascii="Times New Roman" w:hAnsi="Times New Roman" w:cs="Times New Roman"/>
                <w:noProof/>
                <w:webHidden/>
              </w:rPr>
              <w:tab/>
            </w:r>
            <w:r w:rsidR="00AA4F65" w:rsidRPr="00AA4F65">
              <w:rPr>
                <w:rFonts w:ascii="Times New Roman" w:hAnsi="Times New Roman" w:cs="Times New Roman"/>
                <w:noProof/>
                <w:webHidden/>
              </w:rPr>
              <w:fldChar w:fldCharType="begin"/>
            </w:r>
            <w:r w:rsidR="00AA4F65" w:rsidRPr="00AA4F65">
              <w:rPr>
                <w:rFonts w:ascii="Times New Roman" w:hAnsi="Times New Roman" w:cs="Times New Roman"/>
                <w:noProof/>
                <w:webHidden/>
              </w:rPr>
              <w:instrText xml:space="preserve"> PAGEREF _Toc226551870 \h </w:instrText>
            </w:r>
            <w:r w:rsidR="00AA4F65" w:rsidRPr="00AA4F65">
              <w:rPr>
                <w:rFonts w:ascii="Times New Roman" w:hAnsi="Times New Roman" w:cs="Times New Roman"/>
                <w:noProof/>
                <w:webHidden/>
              </w:rPr>
            </w:r>
            <w:r w:rsidR="00AA4F65" w:rsidRPr="00AA4F65">
              <w:rPr>
                <w:rFonts w:ascii="Times New Roman" w:hAnsi="Times New Roman" w:cs="Times New Roman"/>
                <w:noProof/>
                <w:webHidden/>
              </w:rPr>
              <w:fldChar w:fldCharType="separate"/>
            </w:r>
            <w:r w:rsidR="00AA4F65" w:rsidRPr="00AA4F65">
              <w:rPr>
                <w:rFonts w:ascii="Times New Roman" w:hAnsi="Times New Roman" w:cs="Times New Roman"/>
                <w:noProof/>
                <w:webHidden/>
              </w:rPr>
              <w:t>10</w:t>
            </w:r>
            <w:r w:rsidR="00AA4F65" w:rsidRPr="00AA4F65">
              <w:rPr>
                <w:rFonts w:ascii="Times New Roman" w:hAnsi="Times New Roman" w:cs="Times New Roman"/>
                <w:noProof/>
                <w:webHidden/>
              </w:rPr>
              <w:fldChar w:fldCharType="end"/>
            </w:r>
          </w:hyperlink>
        </w:p>
        <w:p w14:paraId="7D266760" w14:textId="20B5ADE4" w:rsidR="00AA4F65" w:rsidRPr="00AA4F65" w:rsidRDefault="00AA4F65">
          <w:pPr>
            <w:rPr>
              <w:rFonts w:ascii="Times New Roman" w:hAnsi="Times New Roman" w:cs="Times New Roman"/>
            </w:rPr>
          </w:pPr>
          <w:r w:rsidRPr="00AA4F65">
            <w:rPr>
              <w:rFonts w:ascii="Times New Roman" w:hAnsi="Times New Roman" w:cs="Times New Roman"/>
              <w:b/>
              <w:bCs/>
              <w:noProof/>
            </w:rPr>
            <w:fldChar w:fldCharType="end"/>
          </w:r>
        </w:p>
      </w:sdtContent>
    </w:sdt>
    <w:p w14:paraId="0000000B" w14:textId="3EEB9B0B"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br w:type="page"/>
      </w:r>
    </w:p>
    <w:p w14:paraId="0000000D" w14:textId="37FB9756" w:rsidR="008B4CD7" w:rsidRPr="00AA4F65" w:rsidRDefault="00AA4F65" w:rsidP="00AA4F65">
      <w:pPr>
        <w:pStyle w:val="Heading1"/>
        <w:spacing w:afterLines="160" w:after="384" w:line="480" w:lineRule="auto"/>
        <w:rPr>
          <w:rFonts w:ascii="Times New Roman" w:hAnsi="Times New Roman" w:cs="Times New Roman"/>
          <w:u w:val="single"/>
          <w:lang w:val="en-GB"/>
        </w:rPr>
      </w:pPr>
      <w:bookmarkStart w:id="0" w:name="_iud64ex55mow" w:colFirst="0" w:colLast="0"/>
      <w:bookmarkStart w:id="1" w:name="_Toc226551866"/>
      <w:bookmarkEnd w:id="0"/>
      <w:r w:rsidRPr="00AA4F65">
        <w:rPr>
          <w:rFonts w:ascii="Times New Roman" w:hAnsi="Times New Roman" w:cs="Times New Roman"/>
          <w:u w:val="single"/>
          <w:lang w:val="en-GB"/>
        </w:rPr>
        <w:lastRenderedPageBreak/>
        <w:t>Introduction</w:t>
      </w:r>
      <w:bookmarkEnd w:id="1"/>
    </w:p>
    <w:p w14:paraId="0000000F" w14:textId="778A4FDC"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Modern HR challenges are an issue that all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face, no matter their size. As a global FMCG company, Unilever is a part of the largest and most dynamic consumer-driven industries, where “high-frequency purchases, rapid inventory turnover, and strong dependence on retail distribution networks” (Industry Research, 2026) often set the tone. To ensure that they adapt and remain competitive, Unilever places importance on a strong reputation in sustainability and progressive HR practices, which are competencies needed by an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if it is to survive internal and external challenges such as rapid digital transformations, the war for talent and increasing DEI expectations.</w:t>
      </w:r>
    </w:p>
    <w:p w14:paraId="00000010"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Even though Unilever has proven to have outstanding HR capabilities, which are supported by practices such as splitting their ‘HR’ into an entity which focuses on three separate practices - people experience, expertise, and HR business partnering (Unilever, 2026), - this report will deep-dive into Unilever’s HR standards in order to build a better understanding of key HR challenges and practices, and assess the managerial role when it comes to implementation. To do this, the report will begin by explaining factors related to technological advancement, talent acquisition, and DEI, followed by an evaluation of contemporary HR practices and a critical evaluation of how departmental managers ensure their implementation.</w:t>
      </w:r>
    </w:p>
    <w:p w14:paraId="00000011"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13" w14:textId="1026A163" w:rsidR="008B4CD7" w:rsidRPr="00AA4F65" w:rsidRDefault="00000000" w:rsidP="00AA4F65">
      <w:pPr>
        <w:pStyle w:val="Heading1"/>
        <w:spacing w:afterLines="160" w:after="384" w:line="480" w:lineRule="auto"/>
        <w:rPr>
          <w:rFonts w:ascii="Times New Roman" w:hAnsi="Times New Roman" w:cs="Times New Roman"/>
          <w:u w:val="single"/>
        </w:rPr>
      </w:pPr>
      <w:bookmarkStart w:id="2" w:name="_ruisku7ncc0m" w:colFirst="0" w:colLast="0"/>
      <w:bookmarkStart w:id="3" w:name="_Toc226551867"/>
      <w:bookmarkEnd w:id="2"/>
      <w:r w:rsidRPr="00AA4F65">
        <w:rPr>
          <w:rFonts w:ascii="Times New Roman" w:hAnsi="Times New Roman" w:cs="Times New Roman"/>
          <w:u w:val="single"/>
        </w:rPr>
        <w:lastRenderedPageBreak/>
        <w:t>Explaining Factors Relating to Technological Advancement, Talent Acquisition &amp; DEI at Unilever</w:t>
      </w:r>
      <w:bookmarkEnd w:id="3"/>
    </w:p>
    <w:p w14:paraId="00000014" w14:textId="77777777" w:rsidR="008B4CD7" w:rsidRPr="00AA4F65" w:rsidRDefault="00000000" w:rsidP="00AA4F65">
      <w:pPr>
        <w:numPr>
          <w:ilvl w:val="0"/>
          <w:numId w:val="1"/>
        </w:num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Technological Advancements</w:t>
      </w:r>
    </w:p>
    <w:p w14:paraId="00000015"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For many decades, Human Resources functions were largely administrative and focused on maintaining employee records, ensuring compliance with labor laws, and managing payroll” (Kanade et al, 2025). As such, all of the tasks related to HR were manual and slow, and often relied on face-to-face interactions and large quantities of paperwork (Kanade et al, 2025). Because of its faceted nature, the digital transformation in HR has greatly aided decision-making and teaching practices, thereby enabling a stronger competitive edge (Shiferaw and </w:t>
      </w:r>
      <w:proofErr w:type="spellStart"/>
      <w:r w:rsidRPr="00AA4F65">
        <w:rPr>
          <w:rFonts w:ascii="Times New Roman" w:hAnsi="Times New Roman" w:cs="Times New Roman"/>
          <w:sz w:val="24"/>
          <w:szCs w:val="24"/>
        </w:rPr>
        <w:t>Birbirsa</w:t>
      </w:r>
      <w:proofErr w:type="spellEnd"/>
      <w:r w:rsidRPr="00AA4F65">
        <w:rPr>
          <w:rFonts w:ascii="Times New Roman" w:hAnsi="Times New Roman" w:cs="Times New Roman"/>
          <w:sz w:val="24"/>
          <w:szCs w:val="24"/>
        </w:rPr>
        <w:t>, 2025). Technological advancement in HR can be seen through many practices, one of which is the use of Artificial Intelligence in the recruitment process through the use of AI-driven hiring tools, which help Unilever transform repetitive and routine tasks (</w:t>
      </w:r>
      <w:proofErr w:type="spellStart"/>
      <w:r w:rsidRPr="00AA4F65">
        <w:rPr>
          <w:rFonts w:ascii="Times New Roman" w:hAnsi="Times New Roman" w:cs="Times New Roman"/>
          <w:sz w:val="24"/>
          <w:szCs w:val="24"/>
        </w:rPr>
        <w:t>Hosain</w:t>
      </w:r>
      <w:proofErr w:type="spellEnd"/>
      <w:r w:rsidRPr="00AA4F65">
        <w:rPr>
          <w:rFonts w:ascii="Times New Roman" w:hAnsi="Times New Roman" w:cs="Times New Roman"/>
          <w:sz w:val="24"/>
          <w:szCs w:val="24"/>
        </w:rPr>
        <w:t xml:space="preserve"> et al, 2025). In addition to this, technology in HR includes automation, remote work technologies and data-driven HR. What was once a process driven by resume reading, interviews, and decision-making based on intuition and experience now takes a third of the time and is largely led by machine learning algorithms that </w:t>
      </w:r>
      <w:proofErr w:type="spellStart"/>
      <w:r w:rsidRPr="00AA4F65">
        <w:rPr>
          <w:rFonts w:ascii="Times New Roman" w:hAnsi="Times New Roman" w:cs="Times New Roman"/>
          <w:sz w:val="24"/>
          <w:szCs w:val="24"/>
        </w:rPr>
        <w:t>analyse</w:t>
      </w:r>
      <w:proofErr w:type="spellEnd"/>
      <w:r w:rsidRPr="00AA4F65">
        <w:rPr>
          <w:rFonts w:ascii="Times New Roman" w:hAnsi="Times New Roman" w:cs="Times New Roman"/>
          <w:sz w:val="24"/>
          <w:szCs w:val="24"/>
        </w:rPr>
        <w:t xml:space="preserve"> skills, experience, and </w:t>
      </w:r>
      <w:proofErr w:type="spellStart"/>
      <w:r w:rsidRPr="00AA4F65">
        <w:rPr>
          <w:rFonts w:ascii="Times New Roman" w:hAnsi="Times New Roman" w:cs="Times New Roman"/>
          <w:sz w:val="24"/>
          <w:szCs w:val="24"/>
        </w:rPr>
        <w:t>behavioural</w:t>
      </w:r>
      <w:proofErr w:type="spellEnd"/>
      <w:r w:rsidRPr="00AA4F65">
        <w:rPr>
          <w:rFonts w:ascii="Times New Roman" w:hAnsi="Times New Roman" w:cs="Times New Roman"/>
          <w:sz w:val="24"/>
          <w:szCs w:val="24"/>
        </w:rPr>
        <w:t xml:space="preserve"> patterns to choose the right candidate, in addition to interviews being conducted by AI-driven virtual assistants which can assess verbal and non-verbal cues with pinpoint accuracy (</w:t>
      </w:r>
      <w:proofErr w:type="spellStart"/>
      <w:r w:rsidRPr="00AA4F65">
        <w:rPr>
          <w:rFonts w:ascii="Times New Roman" w:hAnsi="Times New Roman" w:cs="Times New Roman"/>
          <w:sz w:val="24"/>
          <w:szCs w:val="24"/>
        </w:rPr>
        <w:t>Ferrazzi</w:t>
      </w:r>
      <w:proofErr w:type="spellEnd"/>
      <w:r w:rsidRPr="00AA4F65">
        <w:rPr>
          <w:rFonts w:ascii="Times New Roman" w:hAnsi="Times New Roman" w:cs="Times New Roman"/>
          <w:sz w:val="24"/>
          <w:szCs w:val="24"/>
        </w:rPr>
        <w:t>, 2025). Whilst these advancements are completely transforming the HR industry for the better, some economists argue that risks such as job displacement, bias in AI, and skills gaps (</w:t>
      </w:r>
      <w:proofErr w:type="spellStart"/>
      <w:r w:rsidRPr="00AA4F65">
        <w:rPr>
          <w:rFonts w:ascii="Times New Roman" w:hAnsi="Times New Roman" w:cs="Times New Roman"/>
          <w:sz w:val="24"/>
          <w:szCs w:val="24"/>
        </w:rPr>
        <w:t>Hosain</w:t>
      </w:r>
      <w:proofErr w:type="spellEnd"/>
      <w:r w:rsidRPr="00AA4F65">
        <w:rPr>
          <w:rFonts w:ascii="Times New Roman" w:hAnsi="Times New Roman" w:cs="Times New Roman"/>
          <w:sz w:val="24"/>
          <w:szCs w:val="24"/>
        </w:rPr>
        <w:t xml:space="preserve"> et al, 2025) also need to be closely monitored and considered.</w:t>
      </w:r>
    </w:p>
    <w:p w14:paraId="00000016"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17" w14:textId="77777777" w:rsidR="008B4CD7" w:rsidRPr="00AA4F65" w:rsidRDefault="00000000" w:rsidP="00AA4F65">
      <w:pPr>
        <w:numPr>
          <w:ilvl w:val="0"/>
          <w:numId w:val="1"/>
        </w:num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Talent Acquisition &amp; Retention</w:t>
      </w:r>
    </w:p>
    <w:p w14:paraId="00000018"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Bringing in and retaining talent in an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such as Unilever is a process that requires careful planning and a comprehensive strategy, including building up factors such as employer branding, contributing to a competitive </w:t>
      </w:r>
      <w:proofErr w:type="spellStart"/>
      <w:r w:rsidRPr="00AA4F65">
        <w:rPr>
          <w:rFonts w:ascii="Times New Roman" w:hAnsi="Times New Roman" w:cs="Times New Roman"/>
          <w:sz w:val="24"/>
          <w:szCs w:val="24"/>
        </w:rPr>
        <w:t>labour</w:t>
      </w:r>
      <w:proofErr w:type="spellEnd"/>
      <w:r w:rsidRPr="00AA4F65">
        <w:rPr>
          <w:rFonts w:ascii="Times New Roman" w:hAnsi="Times New Roman" w:cs="Times New Roman"/>
          <w:sz w:val="24"/>
          <w:szCs w:val="24"/>
        </w:rPr>
        <w:t xml:space="preserve"> market and keeping up with shifting employee expectations, all of which HR must stay on top of. Strong employer branding is one tactic that Unilever uses in order to attract and retain top talent, and they make this possible by building and maintaining a positive </w:t>
      </w:r>
      <w:proofErr w:type="spellStart"/>
      <w:r w:rsidRPr="00AA4F65">
        <w:rPr>
          <w:rFonts w:ascii="Times New Roman" w:hAnsi="Times New Roman" w:cs="Times New Roman"/>
          <w:sz w:val="24"/>
          <w:szCs w:val="24"/>
        </w:rPr>
        <w:t>organisational</w:t>
      </w:r>
      <w:proofErr w:type="spellEnd"/>
      <w:r w:rsidRPr="00AA4F65">
        <w:rPr>
          <w:rFonts w:ascii="Times New Roman" w:hAnsi="Times New Roman" w:cs="Times New Roman"/>
          <w:sz w:val="24"/>
          <w:szCs w:val="24"/>
        </w:rPr>
        <w:t xml:space="preserve"> image and reputation, factors influenced by culture, values, experiences of its employees, and overall value offer (Singh, 2025). For Unilever, a strong stance on sustainability and social responsibility is an important component of its Employer Value Proposition (EVP) and has allowed the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to bring in top talent whose personal values tightly align with those of the conglomerate (Robbins, 2024). Another way Unilever seeks to retain top talent is by being a flexible employer and offering </w:t>
      </w:r>
      <w:proofErr w:type="spellStart"/>
      <w:r w:rsidRPr="00AA4F65">
        <w:rPr>
          <w:rFonts w:ascii="Times New Roman" w:hAnsi="Times New Roman" w:cs="Times New Roman"/>
          <w:sz w:val="24"/>
          <w:szCs w:val="24"/>
        </w:rPr>
        <w:t>programmes</w:t>
      </w:r>
      <w:proofErr w:type="spellEnd"/>
      <w:r w:rsidRPr="00AA4F65">
        <w:rPr>
          <w:rFonts w:ascii="Times New Roman" w:hAnsi="Times New Roman" w:cs="Times New Roman"/>
          <w:sz w:val="24"/>
          <w:szCs w:val="24"/>
        </w:rPr>
        <w:t xml:space="preserve"> such as U-Work, where instead of working fixed hours, participants join a talent pool on a retainer contract, and receive a monthly retainer pay and access to benefits like pension and healthcare (Unilever, 2026). This </w:t>
      </w:r>
      <w:proofErr w:type="spellStart"/>
      <w:r w:rsidRPr="00AA4F65">
        <w:rPr>
          <w:rFonts w:ascii="Times New Roman" w:hAnsi="Times New Roman" w:cs="Times New Roman"/>
          <w:sz w:val="24"/>
          <w:szCs w:val="24"/>
        </w:rPr>
        <w:t>programme</w:t>
      </w:r>
      <w:proofErr w:type="spellEnd"/>
      <w:r w:rsidRPr="00AA4F65">
        <w:rPr>
          <w:rFonts w:ascii="Times New Roman" w:hAnsi="Times New Roman" w:cs="Times New Roman"/>
          <w:sz w:val="24"/>
          <w:szCs w:val="24"/>
        </w:rPr>
        <w:t xml:space="preserve"> allows individuals to move on and work full/part-time elsewhere, but also remain an employee of Unilever and do jobs only when they have spare time. Contributions such as </w:t>
      </w:r>
      <w:proofErr w:type="gramStart"/>
      <w:r w:rsidRPr="00AA4F65">
        <w:rPr>
          <w:rFonts w:ascii="Times New Roman" w:hAnsi="Times New Roman" w:cs="Times New Roman"/>
          <w:sz w:val="24"/>
          <w:szCs w:val="24"/>
        </w:rPr>
        <w:t>these help</w:t>
      </w:r>
      <w:proofErr w:type="gramEnd"/>
      <w:r w:rsidRPr="00AA4F65">
        <w:rPr>
          <w:rFonts w:ascii="Times New Roman" w:hAnsi="Times New Roman" w:cs="Times New Roman"/>
          <w:sz w:val="24"/>
          <w:szCs w:val="24"/>
        </w:rPr>
        <w:t xml:space="preserve"> navigate industries with high turnover rates and the changing expectations of the generations that are just entering the workforce.</w:t>
      </w:r>
    </w:p>
    <w:p w14:paraId="00000019"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1A" w14:textId="77777777" w:rsidR="008B4CD7" w:rsidRPr="00AA4F65" w:rsidRDefault="00000000" w:rsidP="00AA4F65">
      <w:pPr>
        <w:numPr>
          <w:ilvl w:val="0"/>
          <w:numId w:val="1"/>
        </w:num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DEI</w:t>
      </w:r>
    </w:p>
    <w:p w14:paraId="0000001B"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lastRenderedPageBreak/>
        <w:t xml:space="preserve">Diversity, equity and inclusion (DEI) are all factors that are very important for the competitiveness of an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like Unilever. Whilst they are not always intrinsically compelled, but rather, are sometimes required because of legal and ethical drivers, diversity, equity and inclusion have proven to improve innovation and increase financial performance (Dixon-</w:t>
      </w:r>
      <w:proofErr w:type="spellStart"/>
      <w:r w:rsidRPr="00AA4F65">
        <w:rPr>
          <w:rFonts w:ascii="Times New Roman" w:hAnsi="Times New Roman" w:cs="Times New Roman"/>
          <w:sz w:val="24"/>
          <w:szCs w:val="24"/>
        </w:rPr>
        <w:t>Fyle</w:t>
      </w:r>
      <w:proofErr w:type="spellEnd"/>
      <w:r w:rsidRPr="00AA4F65">
        <w:rPr>
          <w:rFonts w:ascii="Times New Roman" w:hAnsi="Times New Roman" w:cs="Times New Roman"/>
          <w:sz w:val="24"/>
          <w:szCs w:val="24"/>
        </w:rPr>
        <w:t xml:space="preserve"> et al, 2020). At Unilever, models such as gender equality in their business practices have ensured that 55% of the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current management roles are held by women (Unilever, 2026), whilst external practices like upskilling small-scale distributors and retailers have ensured higher levels of equity and inclusion. However, it must also be noted that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sometimes engage in tokenism, which is a form of ‘performative DEI’, meaning that the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often do the bare minimum in order to avoid legal ramifications.</w:t>
      </w:r>
    </w:p>
    <w:p w14:paraId="0000001C"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1E" w14:textId="350A0D2F" w:rsidR="008B4CD7" w:rsidRPr="00AA4F65" w:rsidRDefault="00000000" w:rsidP="00AA4F65">
      <w:pPr>
        <w:pStyle w:val="Heading1"/>
        <w:spacing w:afterLines="160" w:after="384" w:line="480" w:lineRule="auto"/>
        <w:rPr>
          <w:rFonts w:ascii="Times New Roman" w:hAnsi="Times New Roman" w:cs="Times New Roman"/>
          <w:u w:val="single"/>
        </w:rPr>
      </w:pPr>
      <w:bookmarkStart w:id="4" w:name="_x7hv1yx1x1kg" w:colFirst="0" w:colLast="0"/>
      <w:bookmarkStart w:id="5" w:name="_Toc226551868"/>
      <w:bookmarkEnd w:id="4"/>
      <w:r w:rsidRPr="00AA4F65">
        <w:rPr>
          <w:rFonts w:ascii="Times New Roman" w:hAnsi="Times New Roman" w:cs="Times New Roman"/>
          <w:u w:val="single"/>
        </w:rPr>
        <w:t>Contemporary Human Resource Practices</w:t>
      </w:r>
      <w:bookmarkEnd w:id="5"/>
    </w:p>
    <w:p w14:paraId="00000020" w14:textId="5DA8A315"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When it comes to addressing technological advancement as a contemporary HR practice, there are various individual practices that can be examined. The first one, digital HR systems, are systems that maintain, manage, and process big amounts of employee information and human resources-related policies and procedures, and it does so by making sure that all HR tasks are </w:t>
      </w:r>
      <w:proofErr w:type="spellStart"/>
      <w:r w:rsidRPr="00AA4F65">
        <w:rPr>
          <w:rFonts w:ascii="Times New Roman" w:hAnsi="Times New Roman" w:cs="Times New Roman"/>
          <w:sz w:val="24"/>
          <w:szCs w:val="24"/>
        </w:rPr>
        <w:t>standardised</w:t>
      </w:r>
      <w:proofErr w:type="spellEnd"/>
      <w:r w:rsidRPr="00AA4F65">
        <w:rPr>
          <w:rFonts w:ascii="Times New Roman" w:hAnsi="Times New Roman" w:cs="Times New Roman"/>
          <w:sz w:val="24"/>
          <w:szCs w:val="24"/>
        </w:rPr>
        <w:t xml:space="preserve"> and recorded (Oracle, 2026). Another such technologically-based practice is the use of AI recruitment tools in the hiring process, where machine learning algorithms are fed large quantities of data and allowed to make decisions based on data, leading to a quicker and more accurate decision-making process. Lastly, there is also the option of technology in upskilling practices, such as online courses and tests. The implementation of these technologies by HR all </w:t>
      </w:r>
      <w:r w:rsidRPr="00AA4F65">
        <w:rPr>
          <w:rFonts w:ascii="Times New Roman" w:hAnsi="Times New Roman" w:cs="Times New Roman"/>
          <w:sz w:val="24"/>
          <w:szCs w:val="24"/>
        </w:rPr>
        <w:lastRenderedPageBreak/>
        <w:t xml:space="preserve">address the factor of digital transformation by embracing it, and ensuring that technology gives them the competitive advantage they need to stay at the top of their industry. At the same time, whilst the use of technology in HR practices brings </w:t>
      </w:r>
      <w:proofErr w:type="spellStart"/>
      <w:r w:rsidRPr="00AA4F65">
        <w:rPr>
          <w:rFonts w:ascii="Times New Roman" w:hAnsi="Times New Roman" w:cs="Times New Roman"/>
          <w:sz w:val="24"/>
          <w:szCs w:val="24"/>
        </w:rPr>
        <w:t>Unilver</w:t>
      </w:r>
      <w:proofErr w:type="spellEnd"/>
      <w:r w:rsidRPr="00AA4F65">
        <w:rPr>
          <w:rFonts w:ascii="Times New Roman" w:hAnsi="Times New Roman" w:cs="Times New Roman"/>
          <w:sz w:val="24"/>
          <w:szCs w:val="24"/>
        </w:rPr>
        <w:t xml:space="preserve"> efficiency and reduces cost, there is also a need for balance, which can only be attained by ensuring that humans remain a part of HR practices. Unilever does this by sending people to less developed regions to undertake upskilling and teaching initiatives (Unilever, 2026), which reduces the risk of bias and inequality which can be created by technologies, since the results produced by AI are often only as good as the data that has been given to it (</w:t>
      </w:r>
      <w:proofErr w:type="spellStart"/>
      <w:r w:rsidRPr="00AA4F65">
        <w:rPr>
          <w:rFonts w:ascii="Times New Roman" w:hAnsi="Times New Roman" w:cs="Times New Roman"/>
          <w:sz w:val="24"/>
          <w:szCs w:val="24"/>
        </w:rPr>
        <w:t>Alawamleh</w:t>
      </w:r>
      <w:proofErr w:type="spellEnd"/>
      <w:r w:rsidRPr="00AA4F65">
        <w:rPr>
          <w:rFonts w:ascii="Times New Roman" w:hAnsi="Times New Roman" w:cs="Times New Roman"/>
          <w:sz w:val="24"/>
          <w:szCs w:val="24"/>
        </w:rPr>
        <w:t xml:space="preserve"> et al, 2024).</w:t>
      </w:r>
    </w:p>
    <w:p w14:paraId="00000022" w14:textId="298542C2"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For talent acquisition and retention, practices such as employer branding, flexible working, employee value proposition (EVP) and career development pathways are a few ways through which HR can retain the talent needed to ensure quality and progress at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like Unilever. These strategies are especially important in a competitive job market, where workers increasingly value purpose, work-life balance, and the option to develop themselves. A well-crafted employer brand establishes Unilever as a desirable, value-driven company, whilst its flexible working </w:t>
      </w:r>
      <w:proofErr w:type="spellStart"/>
      <w:r w:rsidRPr="00AA4F65">
        <w:rPr>
          <w:rFonts w:ascii="Times New Roman" w:hAnsi="Times New Roman" w:cs="Times New Roman"/>
          <w:sz w:val="24"/>
          <w:szCs w:val="24"/>
        </w:rPr>
        <w:t>programmes</w:t>
      </w:r>
      <w:proofErr w:type="spellEnd"/>
      <w:r w:rsidRPr="00AA4F65">
        <w:rPr>
          <w:rFonts w:ascii="Times New Roman" w:hAnsi="Times New Roman" w:cs="Times New Roman"/>
          <w:sz w:val="24"/>
          <w:szCs w:val="24"/>
        </w:rPr>
        <w:t xml:space="preserve"> improve employee satisfaction and lower staff turnover. Likewise, a clear EVP aligns the company's objectives with its employees' expectations, which helps with factors such as increased engagement and dedication. But, the effectiveness of these practices also </w:t>
      </w:r>
      <w:proofErr w:type="gramStart"/>
      <w:r w:rsidRPr="00AA4F65">
        <w:rPr>
          <w:rFonts w:ascii="Times New Roman" w:hAnsi="Times New Roman" w:cs="Times New Roman"/>
          <w:sz w:val="24"/>
          <w:szCs w:val="24"/>
        </w:rPr>
        <w:t>have</w:t>
      </w:r>
      <w:proofErr w:type="gramEnd"/>
      <w:r w:rsidRPr="00AA4F65">
        <w:rPr>
          <w:rFonts w:ascii="Times New Roman" w:hAnsi="Times New Roman" w:cs="Times New Roman"/>
          <w:sz w:val="24"/>
          <w:szCs w:val="24"/>
        </w:rPr>
        <w:t xml:space="preserve"> their disadvantages; whilst employer branding is largely positive, if the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cannot reproduce it across all sections equally, then this can lead to dissatisfaction amongst employees. Similarly, flexible working is beneficial; however, it can also lead to bad communication and connectivity and home-work conflicts, which can drive employee satisfaction down (Soga et al, 2022), thereby hurting the overall </w:t>
      </w:r>
      <w:proofErr w:type="spellStart"/>
      <w:r w:rsidRPr="00AA4F65">
        <w:rPr>
          <w:rFonts w:ascii="Times New Roman" w:hAnsi="Times New Roman" w:cs="Times New Roman"/>
          <w:sz w:val="24"/>
          <w:szCs w:val="24"/>
        </w:rPr>
        <w:t>organisational</w:t>
      </w:r>
      <w:proofErr w:type="spellEnd"/>
      <w:r w:rsidRPr="00AA4F65">
        <w:rPr>
          <w:rFonts w:ascii="Times New Roman" w:hAnsi="Times New Roman" w:cs="Times New Roman"/>
          <w:sz w:val="24"/>
          <w:szCs w:val="24"/>
        </w:rPr>
        <w:t xml:space="preserve"> culture and image.</w:t>
      </w:r>
    </w:p>
    <w:p w14:paraId="00000023"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lastRenderedPageBreak/>
        <w:t xml:space="preserve">In a similar manner, Unilever uses DEI HR practices such as inclusive recruitment policies, bias training, diversity targets, and employee resource groups to ensure that diversity, equity and inclusivity are maintained within the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As previously mentioned, HR at Unilever invests in </w:t>
      </w:r>
      <w:proofErr w:type="spellStart"/>
      <w:r w:rsidRPr="00AA4F65">
        <w:rPr>
          <w:rFonts w:ascii="Times New Roman" w:hAnsi="Times New Roman" w:cs="Times New Roman"/>
          <w:sz w:val="24"/>
          <w:szCs w:val="24"/>
        </w:rPr>
        <w:t>programmes</w:t>
      </w:r>
      <w:proofErr w:type="spellEnd"/>
      <w:r w:rsidRPr="00AA4F65">
        <w:rPr>
          <w:rFonts w:ascii="Times New Roman" w:hAnsi="Times New Roman" w:cs="Times New Roman"/>
          <w:sz w:val="24"/>
          <w:szCs w:val="24"/>
        </w:rPr>
        <w:t xml:space="preserve"> such as upskilling for less-represented groups and smaller partners in many countries, which provides equal opportunities for different people to make a living (Unilever, 2026). Internally, Unilever also invests time and effort into making sure that different genders and races have access to different levels of management, which is a </w:t>
      </w:r>
      <w:proofErr w:type="spellStart"/>
      <w:r w:rsidRPr="00AA4F65">
        <w:rPr>
          <w:rFonts w:ascii="Times New Roman" w:hAnsi="Times New Roman" w:cs="Times New Roman"/>
          <w:sz w:val="24"/>
          <w:szCs w:val="24"/>
        </w:rPr>
        <w:t>hr</w:t>
      </w:r>
      <w:proofErr w:type="spellEnd"/>
      <w:r w:rsidRPr="00AA4F65">
        <w:rPr>
          <w:rFonts w:ascii="Times New Roman" w:hAnsi="Times New Roman" w:cs="Times New Roman"/>
          <w:sz w:val="24"/>
          <w:szCs w:val="24"/>
        </w:rPr>
        <w:t xml:space="preserve"> practice that has shown outstanding results, with Unilever having a higher-than-average percentage of women in managerial positions (Southey, 2020).</w:t>
      </w:r>
    </w:p>
    <w:p w14:paraId="00000024"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26" w14:textId="785ED60E" w:rsidR="008B4CD7" w:rsidRPr="00AA4F65" w:rsidRDefault="00000000" w:rsidP="00AA4F65">
      <w:pPr>
        <w:pStyle w:val="Heading1"/>
        <w:spacing w:afterLines="160" w:after="384" w:line="480" w:lineRule="auto"/>
        <w:rPr>
          <w:rFonts w:ascii="Times New Roman" w:hAnsi="Times New Roman" w:cs="Times New Roman"/>
          <w:u w:val="single"/>
        </w:rPr>
      </w:pPr>
      <w:bookmarkStart w:id="6" w:name="_i3361s1vtij3" w:colFirst="0" w:colLast="0"/>
      <w:bookmarkStart w:id="7" w:name="_Toc226551869"/>
      <w:bookmarkEnd w:id="6"/>
      <w:r w:rsidRPr="00AA4F65">
        <w:rPr>
          <w:rFonts w:ascii="Times New Roman" w:hAnsi="Times New Roman" w:cs="Times New Roman"/>
          <w:u w:val="single"/>
        </w:rPr>
        <w:t>Critical Evaluation</w:t>
      </w:r>
      <w:bookmarkEnd w:id="7"/>
    </w:p>
    <w:p w14:paraId="00000027"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Departmental managers can ensure that contemporary practices are being implemented as a matter of urgency in different ways. The first way that this can happen is through leadership and, more specifically, the ability to keep leadership accountable. Whilst managers hold more decision-making powers, they are also the individuals tasked with setting the tone for many different aspects of the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and its work, which includes the way individuals behave and how they work. As such, managers must show model </w:t>
      </w:r>
      <w:proofErr w:type="spellStart"/>
      <w:r w:rsidRPr="00AA4F65">
        <w:rPr>
          <w:rFonts w:ascii="Times New Roman" w:hAnsi="Times New Roman" w:cs="Times New Roman"/>
          <w:sz w:val="24"/>
          <w:szCs w:val="24"/>
        </w:rPr>
        <w:t>behaviour</w:t>
      </w:r>
      <w:proofErr w:type="spellEnd"/>
      <w:r w:rsidRPr="00AA4F65">
        <w:rPr>
          <w:rFonts w:ascii="Times New Roman" w:hAnsi="Times New Roman" w:cs="Times New Roman"/>
          <w:sz w:val="24"/>
          <w:szCs w:val="24"/>
        </w:rPr>
        <w:t xml:space="preserve"> such as listening to their employees, good communication, fast work and the ability to be flexible and adaptable; by doing this, they can foster better employee cooperation, adaptability, learning desire, and a sense of belonging and accountability (Melkonian, 2020).</w:t>
      </w:r>
    </w:p>
    <w:p w14:paraId="00000028"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2A" w14:textId="6946BF29"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lastRenderedPageBreak/>
        <w:t>Another way managers can ensure that the aforementioned practices are implemented effectively and in a timely manner is through good communication. If a manager is proactive and engages their employees regularly and provides them with continuous updates on HR initiatives, even individuals who might not agree with them will adapt better to the changes. Alternatively, if a manager shows poor communication, change resistance is more likely to happen, especially where technological and AI changes are concerned (</w:t>
      </w:r>
      <w:proofErr w:type="spellStart"/>
      <w:r w:rsidRPr="00AA4F65">
        <w:rPr>
          <w:rFonts w:ascii="Times New Roman" w:hAnsi="Times New Roman" w:cs="Times New Roman"/>
          <w:sz w:val="24"/>
          <w:szCs w:val="24"/>
        </w:rPr>
        <w:t>Golgeci</w:t>
      </w:r>
      <w:proofErr w:type="spellEnd"/>
      <w:r w:rsidRPr="00AA4F65">
        <w:rPr>
          <w:rFonts w:ascii="Times New Roman" w:hAnsi="Times New Roman" w:cs="Times New Roman"/>
          <w:sz w:val="24"/>
          <w:szCs w:val="24"/>
        </w:rPr>
        <w:t xml:space="preserve"> et al, 2025).</w:t>
      </w:r>
    </w:p>
    <w:p w14:paraId="0000002C" w14:textId="5A206D45"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Similarly, training is another important aspect that managers need to implement and also undergo. On the one hand, managers must also undergo continuous training on aspects such as digital tools and leadership, because these skills are important not only for them to apply to their work, but also as a way of role modelling, which takes us back to the first point. On the other hand, managers must also be the figures who push for employee training, because it is not enough for HR to do so, since managers of different departments would have a more intimate knowledge of what their workers need, whereas HR don’t always communicate on a day-to-day basis with all employees.</w:t>
      </w:r>
    </w:p>
    <w:p w14:paraId="0000002D"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Lastly, departmental managers can ensure that contemporary practices are being implemented as a matter of urgency and effectively by creating and contributing to the </w:t>
      </w:r>
      <w:proofErr w:type="spellStart"/>
      <w:r w:rsidRPr="00AA4F65">
        <w:rPr>
          <w:rFonts w:ascii="Times New Roman" w:hAnsi="Times New Roman" w:cs="Times New Roman"/>
          <w:sz w:val="24"/>
          <w:szCs w:val="24"/>
        </w:rPr>
        <w:t>organisational</w:t>
      </w:r>
      <w:proofErr w:type="spellEnd"/>
      <w:r w:rsidRPr="00AA4F65">
        <w:rPr>
          <w:rFonts w:ascii="Times New Roman" w:hAnsi="Times New Roman" w:cs="Times New Roman"/>
          <w:sz w:val="24"/>
          <w:szCs w:val="24"/>
        </w:rPr>
        <w:t xml:space="preserve"> culture at a department level (Gallup, 2026). Whilst the overall culture of an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is important, department culture is just as important, since this is the level at which most employees carry out their communication. This means that employees build a deeper link to their department, rather than the overall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and a manager must influence their subordinates at this level if they want to make a lasting impact: this is because culture is shaped locally, not just centrally (Gallup, 2026). This means that, if HR want to implement practices such as flexible working, even the </w:t>
      </w:r>
      <w:r w:rsidRPr="00AA4F65">
        <w:rPr>
          <w:rFonts w:ascii="Times New Roman" w:hAnsi="Times New Roman" w:cs="Times New Roman"/>
          <w:sz w:val="24"/>
          <w:szCs w:val="24"/>
        </w:rPr>
        <w:lastRenderedPageBreak/>
        <w:t>most advanced HR practices fail without effective managerial execution at the departmental level.</w:t>
      </w:r>
    </w:p>
    <w:p w14:paraId="0000002E" w14:textId="77777777" w:rsidR="008B4CD7" w:rsidRPr="00AA4F65" w:rsidRDefault="008B4CD7" w:rsidP="00AA4F65">
      <w:pPr>
        <w:spacing w:afterLines="160" w:after="384" w:line="480" w:lineRule="auto"/>
        <w:rPr>
          <w:rFonts w:ascii="Times New Roman" w:hAnsi="Times New Roman" w:cs="Times New Roman"/>
          <w:sz w:val="24"/>
          <w:szCs w:val="24"/>
        </w:rPr>
      </w:pPr>
    </w:p>
    <w:p w14:paraId="0000002F" w14:textId="77777777" w:rsidR="008B4CD7" w:rsidRPr="00AA4F65" w:rsidRDefault="00000000" w:rsidP="00AA4F65">
      <w:pPr>
        <w:pStyle w:val="Heading1"/>
        <w:spacing w:afterLines="160" w:after="384" w:line="480" w:lineRule="auto"/>
        <w:rPr>
          <w:rFonts w:ascii="Times New Roman" w:hAnsi="Times New Roman" w:cs="Times New Roman"/>
        </w:rPr>
      </w:pPr>
      <w:bookmarkStart w:id="8" w:name="_7rssy430jc2l" w:colFirst="0" w:colLast="0"/>
      <w:bookmarkStart w:id="9" w:name="_Toc226551870"/>
      <w:bookmarkEnd w:id="8"/>
      <w:r w:rsidRPr="00AA4F65">
        <w:rPr>
          <w:rFonts w:ascii="Times New Roman" w:hAnsi="Times New Roman" w:cs="Times New Roman"/>
          <w:u w:val="single"/>
        </w:rPr>
        <w:t>Conclusion</w:t>
      </w:r>
      <w:bookmarkEnd w:id="9"/>
    </w:p>
    <w:p w14:paraId="00000030"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In conclusion,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like Unilever are often faced with different Human Resource challenges when it comes to adapting to changes such as technological advancements, employee retention and DEI practices. Even though modern HR strategies like </w:t>
      </w:r>
      <w:proofErr w:type="spellStart"/>
      <w:r w:rsidRPr="00AA4F65">
        <w:rPr>
          <w:rFonts w:ascii="Times New Roman" w:hAnsi="Times New Roman" w:cs="Times New Roman"/>
          <w:sz w:val="24"/>
          <w:szCs w:val="24"/>
        </w:rPr>
        <w:t>digitisation</w:t>
      </w:r>
      <w:proofErr w:type="spellEnd"/>
      <w:r w:rsidRPr="00AA4F65">
        <w:rPr>
          <w:rFonts w:ascii="Times New Roman" w:hAnsi="Times New Roman" w:cs="Times New Roman"/>
          <w:sz w:val="24"/>
          <w:szCs w:val="24"/>
        </w:rPr>
        <w:t xml:space="preserve">, flexible working arrangements and inclusive policies can offer advantages for the </w:t>
      </w:r>
      <w:proofErr w:type="spellStart"/>
      <w:r w:rsidRPr="00AA4F65">
        <w:rPr>
          <w:rFonts w:ascii="Times New Roman" w:hAnsi="Times New Roman" w:cs="Times New Roman"/>
          <w:sz w:val="24"/>
          <w:szCs w:val="24"/>
        </w:rPr>
        <w:t>organisation</w:t>
      </w:r>
      <w:proofErr w:type="spellEnd"/>
      <w:r w:rsidRPr="00AA4F65">
        <w:rPr>
          <w:rFonts w:ascii="Times New Roman" w:hAnsi="Times New Roman" w:cs="Times New Roman"/>
          <w:sz w:val="24"/>
          <w:szCs w:val="24"/>
        </w:rPr>
        <w:t xml:space="preserve"> and its employees, the success of these practices depends not only on the HR practitioners but also on managers as well. To make sure that they are addressing these challenges, the first recommendation is that </w:t>
      </w:r>
      <w:proofErr w:type="spellStart"/>
      <w:r w:rsidRPr="00AA4F65">
        <w:rPr>
          <w:rFonts w:ascii="Times New Roman" w:hAnsi="Times New Roman" w:cs="Times New Roman"/>
          <w:sz w:val="24"/>
          <w:szCs w:val="24"/>
        </w:rPr>
        <w:t>organisations</w:t>
      </w:r>
      <w:proofErr w:type="spellEnd"/>
      <w:r w:rsidRPr="00AA4F65">
        <w:rPr>
          <w:rFonts w:ascii="Times New Roman" w:hAnsi="Times New Roman" w:cs="Times New Roman"/>
          <w:sz w:val="24"/>
          <w:szCs w:val="24"/>
        </w:rPr>
        <w:t xml:space="preserve"> such as Unilever need to invest in continuous upskilling initiatives, especially for digital skills, so that employees and managers alike can be comfortable with the changing aspects of technology and remain adaptable as time goes on. Similarly, putting DEI objectives in performance management processes can work towards enhancing accountability and long-term impact.</w:t>
      </w:r>
      <w:r w:rsidRPr="00AA4F65">
        <w:rPr>
          <w:rFonts w:ascii="Times New Roman" w:hAnsi="Times New Roman" w:cs="Times New Roman"/>
          <w:sz w:val="24"/>
          <w:szCs w:val="24"/>
        </w:rPr>
        <w:br w:type="page"/>
      </w:r>
    </w:p>
    <w:p w14:paraId="00000032" w14:textId="290CE70E" w:rsidR="008B4CD7" w:rsidRPr="00AA4F65" w:rsidRDefault="00000000" w:rsidP="00AA4F65">
      <w:pPr>
        <w:spacing w:afterLines="160" w:after="384" w:line="480" w:lineRule="auto"/>
        <w:jc w:val="center"/>
        <w:rPr>
          <w:rFonts w:ascii="Times New Roman" w:hAnsi="Times New Roman" w:cs="Times New Roman"/>
          <w:b/>
          <w:bCs/>
          <w:sz w:val="24"/>
          <w:szCs w:val="24"/>
        </w:rPr>
      </w:pPr>
      <w:r w:rsidRPr="00AA4F65">
        <w:rPr>
          <w:rFonts w:ascii="Times New Roman" w:hAnsi="Times New Roman" w:cs="Times New Roman"/>
          <w:b/>
          <w:bCs/>
          <w:sz w:val="24"/>
          <w:szCs w:val="24"/>
        </w:rPr>
        <w:lastRenderedPageBreak/>
        <w:t>References</w:t>
      </w:r>
    </w:p>
    <w:p w14:paraId="00000033" w14:textId="77777777" w:rsidR="008B4CD7" w:rsidRPr="00AA4F65" w:rsidRDefault="00000000" w:rsidP="00AA4F65">
      <w:pPr>
        <w:spacing w:afterLines="160" w:after="384" w:line="480" w:lineRule="auto"/>
        <w:rPr>
          <w:rFonts w:ascii="Times New Roman" w:hAnsi="Times New Roman" w:cs="Times New Roman"/>
          <w:sz w:val="24"/>
          <w:szCs w:val="24"/>
        </w:rPr>
      </w:pPr>
      <w:proofErr w:type="spellStart"/>
      <w:r w:rsidRPr="00AA4F65">
        <w:rPr>
          <w:rFonts w:ascii="Times New Roman" w:hAnsi="Times New Roman" w:cs="Times New Roman"/>
          <w:sz w:val="24"/>
          <w:szCs w:val="24"/>
        </w:rPr>
        <w:t>Alawamleh</w:t>
      </w:r>
      <w:proofErr w:type="spellEnd"/>
      <w:r w:rsidRPr="00AA4F65">
        <w:rPr>
          <w:rFonts w:ascii="Times New Roman" w:hAnsi="Times New Roman" w:cs="Times New Roman"/>
          <w:sz w:val="24"/>
          <w:szCs w:val="24"/>
        </w:rPr>
        <w:t xml:space="preserve">, M., Shammas, N., </w:t>
      </w:r>
      <w:proofErr w:type="spellStart"/>
      <w:r w:rsidRPr="00AA4F65">
        <w:rPr>
          <w:rFonts w:ascii="Times New Roman" w:hAnsi="Times New Roman" w:cs="Times New Roman"/>
          <w:sz w:val="24"/>
          <w:szCs w:val="24"/>
        </w:rPr>
        <w:t>Alawamleh</w:t>
      </w:r>
      <w:proofErr w:type="spellEnd"/>
      <w:r w:rsidRPr="00AA4F65">
        <w:rPr>
          <w:rFonts w:ascii="Times New Roman" w:hAnsi="Times New Roman" w:cs="Times New Roman"/>
          <w:sz w:val="24"/>
          <w:szCs w:val="24"/>
        </w:rPr>
        <w:t xml:space="preserve">, K. and Bani Ismail, L. (2024). Examining the Limitations of AI in Business and the Need for Human Insights Using Interpretive Structural Modelling. </w:t>
      </w:r>
      <w:r w:rsidRPr="00AA4F65">
        <w:rPr>
          <w:rFonts w:ascii="Times New Roman" w:hAnsi="Times New Roman" w:cs="Times New Roman"/>
          <w:i/>
          <w:iCs/>
          <w:sz w:val="24"/>
          <w:szCs w:val="24"/>
        </w:rPr>
        <w:t>Journal of Open Innovation: Technology, Market, and Complexity</w:t>
      </w:r>
      <w:r w:rsidRPr="00AA4F65">
        <w:rPr>
          <w:rFonts w:ascii="Times New Roman" w:hAnsi="Times New Roman" w:cs="Times New Roman"/>
          <w:sz w:val="24"/>
          <w:szCs w:val="24"/>
        </w:rPr>
        <w:t>, 10(3), p.100338.</w:t>
      </w:r>
    </w:p>
    <w:p w14:paraId="00000034"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Dixon-</w:t>
      </w:r>
      <w:proofErr w:type="spellStart"/>
      <w:r w:rsidRPr="00AA4F65">
        <w:rPr>
          <w:rFonts w:ascii="Times New Roman" w:hAnsi="Times New Roman" w:cs="Times New Roman"/>
          <w:sz w:val="24"/>
          <w:szCs w:val="24"/>
        </w:rPr>
        <w:t>Fyle</w:t>
      </w:r>
      <w:proofErr w:type="spellEnd"/>
      <w:r w:rsidRPr="00AA4F65">
        <w:rPr>
          <w:rFonts w:ascii="Times New Roman" w:hAnsi="Times New Roman" w:cs="Times New Roman"/>
          <w:sz w:val="24"/>
          <w:szCs w:val="24"/>
        </w:rPr>
        <w:t xml:space="preserve">, S., Dolan, K., Hunt, V. and Prince, S. (2020). </w:t>
      </w:r>
      <w:r w:rsidRPr="00AA4F65">
        <w:rPr>
          <w:rFonts w:ascii="Times New Roman" w:hAnsi="Times New Roman" w:cs="Times New Roman"/>
          <w:i/>
          <w:iCs/>
          <w:sz w:val="24"/>
          <w:szCs w:val="24"/>
        </w:rPr>
        <w:t>Diversity wins: How Inclusion Matters</w:t>
      </w:r>
      <w:r w:rsidRPr="00AA4F65">
        <w:rPr>
          <w:rFonts w:ascii="Times New Roman" w:hAnsi="Times New Roman" w:cs="Times New Roman"/>
          <w:sz w:val="24"/>
          <w:szCs w:val="24"/>
        </w:rPr>
        <w:t>. [online] McKinsey &amp; Company. Available at: https://www.mckinsey.com/featured-insights/diversity-and-inclusion/diversity-wins-how-inclusion-matters [Accessed 8 Apr. 2026].</w:t>
      </w:r>
    </w:p>
    <w:p w14:paraId="00000035" w14:textId="77777777" w:rsidR="008B4CD7" w:rsidRPr="00AA4F65" w:rsidRDefault="00000000" w:rsidP="00AA4F65">
      <w:pPr>
        <w:spacing w:afterLines="160" w:after="384" w:line="480" w:lineRule="auto"/>
        <w:rPr>
          <w:rFonts w:ascii="Times New Roman" w:hAnsi="Times New Roman" w:cs="Times New Roman"/>
          <w:sz w:val="24"/>
          <w:szCs w:val="24"/>
        </w:rPr>
      </w:pPr>
      <w:proofErr w:type="spellStart"/>
      <w:r w:rsidRPr="00AA4F65">
        <w:rPr>
          <w:rFonts w:ascii="Times New Roman" w:hAnsi="Times New Roman" w:cs="Times New Roman"/>
          <w:sz w:val="24"/>
          <w:szCs w:val="24"/>
        </w:rPr>
        <w:t>Ferrazzi</w:t>
      </w:r>
      <w:proofErr w:type="spellEnd"/>
      <w:r w:rsidRPr="00AA4F65">
        <w:rPr>
          <w:rFonts w:ascii="Times New Roman" w:hAnsi="Times New Roman" w:cs="Times New Roman"/>
          <w:sz w:val="24"/>
          <w:szCs w:val="24"/>
        </w:rPr>
        <w:t xml:space="preserve">, K. (2025). </w:t>
      </w:r>
      <w:r w:rsidRPr="00AA4F65">
        <w:rPr>
          <w:rFonts w:ascii="Times New Roman" w:hAnsi="Times New Roman" w:cs="Times New Roman"/>
          <w:i/>
          <w:iCs/>
          <w:sz w:val="24"/>
          <w:szCs w:val="24"/>
        </w:rPr>
        <w:t>The AI Recruitment Takeover: Redefining Hiring in the Digital Age</w:t>
      </w:r>
      <w:r w:rsidRPr="00AA4F65">
        <w:rPr>
          <w:rFonts w:ascii="Times New Roman" w:hAnsi="Times New Roman" w:cs="Times New Roman"/>
          <w:sz w:val="24"/>
          <w:szCs w:val="24"/>
        </w:rPr>
        <w:t>. [online] Forbes. Available at: https://www.forbes.com/sites/keithferrazzi/2025/03/27/the-ai-recruitment-takeover-redefining-hiring-in-the-digital-age/ [Accessed 8 Apr. 2026].</w:t>
      </w:r>
    </w:p>
    <w:p w14:paraId="00000036"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Gallup (2026). </w:t>
      </w:r>
      <w:r w:rsidRPr="00AA4F65">
        <w:rPr>
          <w:rFonts w:ascii="Times New Roman" w:hAnsi="Times New Roman" w:cs="Times New Roman"/>
          <w:i/>
          <w:iCs/>
          <w:sz w:val="24"/>
          <w:szCs w:val="24"/>
        </w:rPr>
        <w:t>A Culture Guide for Organizations</w:t>
      </w:r>
      <w:r w:rsidRPr="00AA4F65">
        <w:rPr>
          <w:rFonts w:ascii="Times New Roman" w:hAnsi="Times New Roman" w:cs="Times New Roman"/>
          <w:sz w:val="24"/>
          <w:szCs w:val="24"/>
        </w:rPr>
        <w:t>. [online] Gallup.com. Available at: https://www.gallup.com/workplace/327371/how-to-build-better-company-culture.aspx [Accessed 8 Apr. 2026].</w:t>
      </w:r>
    </w:p>
    <w:p w14:paraId="00000037" w14:textId="77777777" w:rsidR="008B4CD7" w:rsidRPr="00AA4F65" w:rsidRDefault="00000000" w:rsidP="00AA4F65">
      <w:pPr>
        <w:spacing w:afterLines="160" w:after="384" w:line="480" w:lineRule="auto"/>
        <w:rPr>
          <w:rFonts w:ascii="Times New Roman" w:hAnsi="Times New Roman" w:cs="Times New Roman"/>
          <w:sz w:val="24"/>
          <w:szCs w:val="24"/>
        </w:rPr>
      </w:pPr>
      <w:proofErr w:type="spellStart"/>
      <w:r w:rsidRPr="00AA4F65">
        <w:rPr>
          <w:rFonts w:ascii="Times New Roman" w:hAnsi="Times New Roman" w:cs="Times New Roman"/>
          <w:sz w:val="24"/>
          <w:szCs w:val="24"/>
        </w:rPr>
        <w:t>Golgeci</w:t>
      </w:r>
      <w:proofErr w:type="spellEnd"/>
      <w:r w:rsidRPr="00AA4F65">
        <w:rPr>
          <w:rFonts w:ascii="Times New Roman" w:hAnsi="Times New Roman" w:cs="Times New Roman"/>
          <w:sz w:val="24"/>
          <w:szCs w:val="24"/>
        </w:rPr>
        <w:t xml:space="preserve">, I., </w:t>
      </w:r>
      <w:proofErr w:type="spellStart"/>
      <w:r w:rsidRPr="00AA4F65">
        <w:rPr>
          <w:rFonts w:ascii="Times New Roman" w:hAnsi="Times New Roman" w:cs="Times New Roman"/>
          <w:sz w:val="24"/>
          <w:szCs w:val="24"/>
        </w:rPr>
        <w:t>Ritala</w:t>
      </w:r>
      <w:proofErr w:type="spellEnd"/>
      <w:r w:rsidRPr="00AA4F65">
        <w:rPr>
          <w:rFonts w:ascii="Times New Roman" w:hAnsi="Times New Roman" w:cs="Times New Roman"/>
          <w:sz w:val="24"/>
          <w:szCs w:val="24"/>
        </w:rPr>
        <w:t xml:space="preserve">, P., Arslan, A., McKenna, B. and Ali, I. (2025). Confronting and Alleviating AI Resistance in the workplace: an Integrative Review and a Process Framework. </w:t>
      </w:r>
      <w:r w:rsidRPr="00AA4F65">
        <w:rPr>
          <w:rFonts w:ascii="Times New Roman" w:hAnsi="Times New Roman" w:cs="Times New Roman"/>
          <w:i/>
          <w:iCs/>
          <w:sz w:val="24"/>
          <w:szCs w:val="24"/>
        </w:rPr>
        <w:t>Human Resource Management Review</w:t>
      </w:r>
      <w:r w:rsidRPr="00AA4F65">
        <w:rPr>
          <w:rFonts w:ascii="Times New Roman" w:hAnsi="Times New Roman" w:cs="Times New Roman"/>
          <w:sz w:val="24"/>
          <w:szCs w:val="24"/>
        </w:rPr>
        <w:t>, 35(2), p.101075.</w:t>
      </w:r>
    </w:p>
    <w:p w14:paraId="00000038" w14:textId="77777777" w:rsidR="008B4CD7" w:rsidRPr="00AA4F65" w:rsidRDefault="00000000" w:rsidP="00AA4F65">
      <w:pPr>
        <w:spacing w:afterLines="160" w:after="384" w:line="480" w:lineRule="auto"/>
        <w:rPr>
          <w:rFonts w:ascii="Times New Roman" w:hAnsi="Times New Roman" w:cs="Times New Roman"/>
          <w:sz w:val="24"/>
          <w:szCs w:val="24"/>
        </w:rPr>
      </w:pPr>
      <w:proofErr w:type="spellStart"/>
      <w:r w:rsidRPr="00AA4F65">
        <w:rPr>
          <w:rFonts w:ascii="Times New Roman" w:hAnsi="Times New Roman" w:cs="Times New Roman"/>
          <w:sz w:val="24"/>
          <w:szCs w:val="24"/>
        </w:rPr>
        <w:t>Hosain</w:t>
      </w:r>
      <w:proofErr w:type="spellEnd"/>
      <w:r w:rsidRPr="00AA4F65">
        <w:rPr>
          <w:rFonts w:ascii="Times New Roman" w:hAnsi="Times New Roman" w:cs="Times New Roman"/>
          <w:sz w:val="24"/>
          <w:szCs w:val="24"/>
        </w:rPr>
        <w:t xml:space="preserve">, M.S., Amin, M.B., Debnath, G.C. and </w:t>
      </w:r>
      <w:proofErr w:type="spellStart"/>
      <w:r w:rsidRPr="00AA4F65">
        <w:rPr>
          <w:rFonts w:ascii="Times New Roman" w:hAnsi="Times New Roman" w:cs="Times New Roman"/>
          <w:sz w:val="24"/>
          <w:szCs w:val="24"/>
        </w:rPr>
        <w:t>Rahaman</w:t>
      </w:r>
      <w:proofErr w:type="spellEnd"/>
      <w:r w:rsidRPr="00AA4F65">
        <w:rPr>
          <w:rFonts w:ascii="Times New Roman" w:hAnsi="Times New Roman" w:cs="Times New Roman"/>
          <w:sz w:val="24"/>
          <w:szCs w:val="24"/>
        </w:rPr>
        <w:t xml:space="preserve">, M.A. (2025). The Use of Artificial Intelligence (AI) in the Hiring Process: Job Applicants’ Perceptions of Procedural Justice. </w:t>
      </w:r>
      <w:r w:rsidRPr="00AA4F65">
        <w:rPr>
          <w:rFonts w:ascii="Times New Roman" w:hAnsi="Times New Roman" w:cs="Times New Roman"/>
          <w:i/>
          <w:iCs/>
          <w:sz w:val="24"/>
          <w:szCs w:val="24"/>
        </w:rPr>
        <w:t>Computers in Human Behavior Reports</w:t>
      </w:r>
      <w:r w:rsidRPr="00AA4F65">
        <w:rPr>
          <w:rFonts w:ascii="Times New Roman" w:hAnsi="Times New Roman" w:cs="Times New Roman"/>
          <w:sz w:val="24"/>
          <w:szCs w:val="24"/>
        </w:rPr>
        <w:t>, 19(1), p.100713.</w:t>
      </w:r>
    </w:p>
    <w:p w14:paraId="00000039"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lastRenderedPageBreak/>
        <w:t xml:space="preserve">Industry Research (2026). </w:t>
      </w:r>
      <w:r w:rsidRPr="00AA4F65">
        <w:rPr>
          <w:rFonts w:ascii="Times New Roman" w:hAnsi="Times New Roman" w:cs="Times New Roman"/>
          <w:i/>
          <w:iCs/>
          <w:sz w:val="24"/>
          <w:szCs w:val="24"/>
        </w:rPr>
        <w:t>Top Players in FMCG Market</w:t>
      </w:r>
      <w:r w:rsidRPr="00AA4F65">
        <w:rPr>
          <w:rFonts w:ascii="Times New Roman" w:hAnsi="Times New Roman" w:cs="Times New Roman"/>
          <w:sz w:val="24"/>
          <w:szCs w:val="24"/>
        </w:rPr>
        <w:t>. [online] Industry Research. Available at: https://www.industryresearch.biz/blog/fmcg-companies-89 [Accessed 8 Apr. 2026].</w:t>
      </w:r>
    </w:p>
    <w:p w14:paraId="0000003A"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Kanade, T.M., </w:t>
      </w:r>
      <w:proofErr w:type="spellStart"/>
      <w:r w:rsidRPr="00AA4F65">
        <w:rPr>
          <w:rFonts w:ascii="Times New Roman" w:hAnsi="Times New Roman" w:cs="Times New Roman"/>
          <w:sz w:val="24"/>
          <w:szCs w:val="24"/>
        </w:rPr>
        <w:t>Batule</w:t>
      </w:r>
      <w:proofErr w:type="spellEnd"/>
      <w:r w:rsidRPr="00AA4F65">
        <w:rPr>
          <w:rFonts w:ascii="Times New Roman" w:hAnsi="Times New Roman" w:cs="Times New Roman"/>
          <w:sz w:val="24"/>
          <w:szCs w:val="24"/>
        </w:rPr>
        <w:t xml:space="preserve">, R.B. and Joseph, J. (2025). The Evolution of HR: from Traditional to AI-Enhanced. In: </w:t>
      </w:r>
      <w:r w:rsidRPr="00AA4F65">
        <w:rPr>
          <w:rFonts w:ascii="Times New Roman" w:hAnsi="Times New Roman" w:cs="Times New Roman"/>
          <w:i/>
          <w:iCs/>
          <w:sz w:val="24"/>
          <w:szCs w:val="24"/>
        </w:rPr>
        <w:t>Innovative Approaches to Managing Conflict and Change in Diverse Work Environments</w:t>
      </w:r>
      <w:r w:rsidRPr="00AA4F65">
        <w:rPr>
          <w:rFonts w:ascii="Times New Roman" w:hAnsi="Times New Roman" w:cs="Times New Roman"/>
          <w:sz w:val="24"/>
          <w:szCs w:val="24"/>
        </w:rPr>
        <w:t>. Sandip Institute of Technology and Research Centre, pp.49–78.</w:t>
      </w:r>
    </w:p>
    <w:p w14:paraId="0000003B"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Melkonian, T. (2020). </w:t>
      </w:r>
      <w:r w:rsidRPr="00AA4F65">
        <w:rPr>
          <w:rFonts w:ascii="Times New Roman" w:hAnsi="Times New Roman" w:cs="Times New Roman"/>
          <w:i/>
          <w:iCs/>
          <w:sz w:val="24"/>
          <w:szCs w:val="24"/>
        </w:rPr>
        <w:t>Why Managers Should Be Good Role Models</w:t>
      </w:r>
      <w:r w:rsidRPr="00AA4F65">
        <w:rPr>
          <w:rFonts w:ascii="Times New Roman" w:hAnsi="Times New Roman" w:cs="Times New Roman"/>
          <w:sz w:val="24"/>
          <w:szCs w:val="24"/>
        </w:rPr>
        <w:t>. [online] www.peoplemanagement.co.uk. Available at: https://www.peoplemanagement.co.uk/article/1743839/why-walking-the-talk-is-key-to-being-a-good-manager [Accessed 8 Apr. 2026].</w:t>
      </w:r>
    </w:p>
    <w:p w14:paraId="0000003C"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Oracle (2026). </w:t>
      </w:r>
      <w:r w:rsidRPr="00AA4F65">
        <w:rPr>
          <w:rFonts w:ascii="Times New Roman" w:hAnsi="Times New Roman" w:cs="Times New Roman"/>
          <w:i/>
          <w:iCs/>
          <w:sz w:val="24"/>
          <w:szCs w:val="24"/>
        </w:rPr>
        <w:t>What is HRIS?</w:t>
      </w:r>
      <w:r w:rsidRPr="00AA4F65">
        <w:rPr>
          <w:rFonts w:ascii="Times New Roman" w:hAnsi="Times New Roman" w:cs="Times New Roman"/>
          <w:sz w:val="24"/>
          <w:szCs w:val="24"/>
        </w:rPr>
        <w:t xml:space="preserve"> [online] Oracle.com. Available at: https://www.oracle.com/asean/human-capital-management/what-is-hris/ [Accessed 8 Apr. 2026].</w:t>
      </w:r>
    </w:p>
    <w:p w14:paraId="0000003D"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Robbins, J. (2024). </w:t>
      </w:r>
      <w:r w:rsidRPr="00AA4F65">
        <w:rPr>
          <w:rFonts w:ascii="Times New Roman" w:hAnsi="Times New Roman" w:cs="Times New Roman"/>
          <w:i/>
          <w:iCs/>
          <w:sz w:val="24"/>
          <w:szCs w:val="24"/>
        </w:rPr>
        <w:t>Unilever Sustainability Pivot: Impact on Employer Branding</w:t>
      </w:r>
      <w:r w:rsidRPr="00AA4F65">
        <w:rPr>
          <w:rFonts w:ascii="Times New Roman" w:hAnsi="Times New Roman" w:cs="Times New Roman"/>
          <w:sz w:val="24"/>
          <w:szCs w:val="24"/>
        </w:rPr>
        <w:t>. [online] Employer Branding News. Available at: https://employerbranding.news/unilever-sustainability-pivot/ [Accessed 8 Apr. 2026].</w:t>
      </w:r>
    </w:p>
    <w:p w14:paraId="0000003E"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Shiferaw, R.M. and </w:t>
      </w:r>
      <w:proofErr w:type="spellStart"/>
      <w:r w:rsidRPr="00AA4F65">
        <w:rPr>
          <w:rFonts w:ascii="Times New Roman" w:hAnsi="Times New Roman" w:cs="Times New Roman"/>
          <w:sz w:val="24"/>
          <w:szCs w:val="24"/>
        </w:rPr>
        <w:t>Birbirsa</w:t>
      </w:r>
      <w:proofErr w:type="spellEnd"/>
      <w:r w:rsidRPr="00AA4F65">
        <w:rPr>
          <w:rFonts w:ascii="Times New Roman" w:hAnsi="Times New Roman" w:cs="Times New Roman"/>
          <w:sz w:val="24"/>
          <w:szCs w:val="24"/>
        </w:rPr>
        <w:t xml:space="preserve">, Z.A. (2025). Digital Technology and Human Resource practices: a Systematic Literature Review. </w:t>
      </w:r>
      <w:proofErr w:type="spellStart"/>
      <w:r w:rsidRPr="00AA4F65">
        <w:rPr>
          <w:rFonts w:ascii="Times New Roman" w:hAnsi="Times New Roman" w:cs="Times New Roman"/>
          <w:i/>
          <w:iCs/>
          <w:sz w:val="24"/>
          <w:szCs w:val="24"/>
        </w:rPr>
        <w:t>Heliyon</w:t>
      </w:r>
      <w:proofErr w:type="spellEnd"/>
      <w:r w:rsidRPr="00AA4F65">
        <w:rPr>
          <w:rFonts w:ascii="Times New Roman" w:hAnsi="Times New Roman" w:cs="Times New Roman"/>
          <w:sz w:val="24"/>
          <w:szCs w:val="24"/>
        </w:rPr>
        <w:t>, 11(2), p.e41946.</w:t>
      </w:r>
    </w:p>
    <w:p w14:paraId="0000003F"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Singh, S. (2025). Employer Branding and Its Impact on Talent Acquisition. </w:t>
      </w:r>
      <w:r w:rsidRPr="00AA4F65">
        <w:rPr>
          <w:rFonts w:ascii="Times New Roman" w:hAnsi="Times New Roman" w:cs="Times New Roman"/>
          <w:i/>
          <w:iCs/>
          <w:sz w:val="24"/>
          <w:szCs w:val="24"/>
        </w:rPr>
        <w:t>International Journal of Research Publication and Reviews</w:t>
      </w:r>
      <w:r w:rsidRPr="00AA4F65">
        <w:rPr>
          <w:rFonts w:ascii="Times New Roman" w:hAnsi="Times New Roman" w:cs="Times New Roman"/>
          <w:sz w:val="24"/>
          <w:szCs w:val="24"/>
        </w:rPr>
        <w:t>, 6(5).</w:t>
      </w:r>
    </w:p>
    <w:p w14:paraId="00000040"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lastRenderedPageBreak/>
        <w:t xml:space="preserve">Soga, L.R., </w:t>
      </w:r>
      <w:proofErr w:type="spellStart"/>
      <w:r w:rsidRPr="00AA4F65">
        <w:rPr>
          <w:rFonts w:ascii="Times New Roman" w:hAnsi="Times New Roman" w:cs="Times New Roman"/>
          <w:sz w:val="24"/>
          <w:szCs w:val="24"/>
        </w:rPr>
        <w:t>Bolade-Ogunfodun</w:t>
      </w:r>
      <w:proofErr w:type="spellEnd"/>
      <w:r w:rsidRPr="00AA4F65">
        <w:rPr>
          <w:rFonts w:ascii="Times New Roman" w:hAnsi="Times New Roman" w:cs="Times New Roman"/>
          <w:sz w:val="24"/>
          <w:szCs w:val="24"/>
        </w:rPr>
        <w:t xml:space="preserve">, Y., </w:t>
      </w:r>
      <w:proofErr w:type="spellStart"/>
      <w:r w:rsidRPr="00AA4F65">
        <w:rPr>
          <w:rFonts w:ascii="Times New Roman" w:hAnsi="Times New Roman" w:cs="Times New Roman"/>
          <w:sz w:val="24"/>
          <w:szCs w:val="24"/>
        </w:rPr>
        <w:t>Mariani</w:t>
      </w:r>
      <w:proofErr w:type="spellEnd"/>
      <w:r w:rsidRPr="00AA4F65">
        <w:rPr>
          <w:rFonts w:ascii="Times New Roman" w:hAnsi="Times New Roman" w:cs="Times New Roman"/>
          <w:sz w:val="24"/>
          <w:szCs w:val="24"/>
        </w:rPr>
        <w:t xml:space="preserve">, M., Nasr, R. and Laker, B. (2022). Unmasking the Other Face of Flexible Working practices: a Systematic Literature Review. </w:t>
      </w:r>
      <w:r w:rsidRPr="00AA4F65">
        <w:rPr>
          <w:rFonts w:ascii="Times New Roman" w:hAnsi="Times New Roman" w:cs="Times New Roman"/>
          <w:i/>
          <w:iCs/>
          <w:sz w:val="24"/>
          <w:szCs w:val="24"/>
        </w:rPr>
        <w:t>Journal of Business Research</w:t>
      </w:r>
      <w:r w:rsidRPr="00AA4F65">
        <w:rPr>
          <w:rFonts w:ascii="Times New Roman" w:hAnsi="Times New Roman" w:cs="Times New Roman"/>
          <w:sz w:val="24"/>
          <w:szCs w:val="24"/>
        </w:rPr>
        <w:t>, 142(1), pp.648–662.</w:t>
      </w:r>
    </w:p>
    <w:p w14:paraId="00000041"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Southey, F. (2020). </w:t>
      </w:r>
      <w:r w:rsidRPr="00AA4F65">
        <w:rPr>
          <w:rFonts w:ascii="Times New Roman" w:hAnsi="Times New Roman" w:cs="Times New Roman"/>
          <w:i/>
          <w:iCs/>
          <w:sz w:val="24"/>
          <w:szCs w:val="24"/>
        </w:rPr>
        <w:t>How Many Women Do Unilever, Danone, Nestlé and PepsiCo Employ in Managerial positions?</w:t>
      </w:r>
      <w:r w:rsidRPr="00AA4F65">
        <w:rPr>
          <w:rFonts w:ascii="Times New Roman" w:hAnsi="Times New Roman" w:cs="Times New Roman"/>
          <w:sz w:val="24"/>
          <w:szCs w:val="24"/>
        </w:rPr>
        <w:t xml:space="preserve"> [online] FoodNavigator.com. Available at: https://www.foodnavigator.com/Article/2020/03/06/How-many-women-do-Unilever-Danone-Nestle-and-PepsiCo-employ-in-managerial-positions/ [Accessed 8 Apr. 2026].</w:t>
      </w:r>
    </w:p>
    <w:p w14:paraId="00000042"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Unilever (2026a). </w:t>
      </w:r>
      <w:r w:rsidRPr="00AA4F65">
        <w:rPr>
          <w:rFonts w:ascii="Times New Roman" w:hAnsi="Times New Roman" w:cs="Times New Roman"/>
          <w:i/>
          <w:iCs/>
          <w:sz w:val="24"/>
          <w:szCs w:val="24"/>
        </w:rPr>
        <w:t>Five Years of U-Work: Flexibility Meets Agility at Unilever</w:t>
      </w:r>
      <w:r w:rsidRPr="00AA4F65">
        <w:rPr>
          <w:rFonts w:ascii="Times New Roman" w:hAnsi="Times New Roman" w:cs="Times New Roman"/>
          <w:sz w:val="24"/>
          <w:szCs w:val="24"/>
        </w:rPr>
        <w:t>. [online] Unilever. Available at: https://www.unilever.co.uk/news/2026/five-years-of-uwork-flexibility-meets-agility-at-unilever/ [Accessed 8 Apr. 2026].</w:t>
      </w:r>
    </w:p>
    <w:p w14:paraId="00000043"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Unilever (2026b). </w:t>
      </w:r>
      <w:r w:rsidRPr="00AA4F65">
        <w:rPr>
          <w:rFonts w:ascii="Times New Roman" w:hAnsi="Times New Roman" w:cs="Times New Roman"/>
          <w:i/>
          <w:iCs/>
          <w:sz w:val="24"/>
          <w:szCs w:val="24"/>
        </w:rPr>
        <w:t>Gender Equality and Women’s Empowerment</w:t>
      </w:r>
      <w:r w:rsidRPr="00AA4F65">
        <w:rPr>
          <w:rFonts w:ascii="Times New Roman" w:hAnsi="Times New Roman" w:cs="Times New Roman"/>
          <w:sz w:val="24"/>
          <w:szCs w:val="24"/>
        </w:rPr>
        <w:t>. [online] Unilever. Available at: https://www.unilever.com/sustainability/equity-diversity-and-inclusion/gender-equality-and-womens-empowerment/ [Accessed 8 Apr. 2026].</w:t>
      </w:r>
    </w:p>
    <w:p w14:paraId="00000044" w14:textId="77777777" w:rsidR="008B4CD7" w:rsidRPr="00AA4F65" w:rsidRDefault="00000000" w:rsidP="00AA4F65">
      <w:pPr>
        <w:spacing w:afterLines="160" w:after="384" w:line="480" w:lineRule="auto"/>
        <w:rPr>
          <w:rFonts w:ascii="Times New Roman" w:hAnsi="Times New Roman" w:cs="Times New Roman"/>
          <w:sz w:val="24"/>
          <w:szCs w:val="24"/>
        </w:rPr>
      </w:pPr>
      <w:r w:rsidRPr="00AA4F65">
        <w:rPr>
          <w:rFonts w:ascii="Times New Roman" w:hAnsi="Times New Roman" w:cs="Times New Roman"/>
          <w:sz w:val="24"/>
          <w:szCs w:val="24"/>
        </w:rPr>
        <w:t xml:space="preserve">Unilever (2026c). </w:t>
      </w:r>
      <w:r w:rsidRPr="00AA4F65">
        <w:rPr>
          <w:rFonts w:ascii="Times New Roman" w:hAnsi="Times New Roman" w:cs="Times New Roman"/>
          <w:i/>
          <w:iCs/>
          <w:sz w:val="24"/>
          <w:szCs w:val="24"/>
        </w:rPr>
        <w:t>Human Resources</w:t>
      </w:r>
      <w:r w:rsidRPr="00AA4F65">
        <w:rPr>
          <w:rFonts w:ascii="Times New Roman" w:hAnsi="Times New Roman" w:cs="Times New Roman"/>
          <w:sz w:val="24"/>
          <w:szCs w:val="24"/>
        </w:rPr>
        <w:t>. [online] Unilever.com. Available at: https://careers.unilever.com/en/human-resources [Accessed 8 Apr. 2026].</w:t>
      </w:r>
    </w:p>
    <w:sectPr w:rsidR="008B4CD7" w:rsidRPr="00AA4F6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B16AA" w14:textId="77777777" w:rsidR="00FC6CD4" w:rsidRDefault="00FC6CD4" w:rsidP="00AA4F65">
      <w:pPr>
        <w:spacing w:line="240" w:lineRule="auto"/>
      </w:pPr>
      <w:r>
        <w:separator/>
      </w:r>
    </w:p>
  </w:endnote>
  <w:endnote w:type="continuationSeparator" w:id="0">
    <w:p w14:paraId="7E244D5C" w14:textId="77777777" w:rsidR="00FC6CD4" w:rsidRDefault="00FC6CD4" w:rsidP="00AA4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B7DB3B8-833F-4FC0-8AAA-A6B0041BABF2}"/>
  </w:font>
  <w:font w:name="DM Sans">
    <w:charset w:val="00"/>
    <w:family w:val="auto"/>
    <w:pitch w:val="variable"/>
    <w:sig w:usb0="8000002F" w:usb1="5000205B" w:usb2="00000000" w:usb3="00000000" w:csb0="00000093" w:csb1="00000000"/>
    <w:embedRegular r:id="rId2" w:fontKey="{9B4119A5-5BE6-48ED-A1B8-EFDFFE43B410}"/>
    <w:embedBold r:id="rId3" w:fontKey="{5D442AFE-A453-4754-A49D-28B3518759E6}"/>
  </w:font>
  <w:font w:name="Cambria">
    <w:panose1 w:val="02040503050406030204"/>
    <w:charset w:val="00"/>
    <w:family w:val="roman"/>
    <w:pitch w:val="variable"/>
    <w:sig w:usb0="E00006FF" w:usb1="420024FF" w:usb2="02000000" w:usb3="00000000" w:csb0="0000019F" w:csb1="00000000"/>
    <w:embedRegular r:id="rId4" w:fontKey="{C0BCAFA4-0253-4FD5-8586-11B72723AE7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27784" w14:textId="77777777" w:rsidR="00FC6CD4" w:rsidRDefault="00FC6CD4" w:rsidP="00AA4F65">
      <w:pPr>
        <w:spacing w:line="240" w:lineRule="auto"/>
      </w:pPr>
      <w:r>
        <w:separator/>
      </w:r>
    </w:p>
  </w:footnote>
  <w:footnote w:type="continuationSeparator" w:id="0">
    <w:p w14:paraId="47BA88D4" w14:textId="77777777" w:rsidR="00FC6CD4" w:rsidRDefault="00FC6CD4" w:rsidP="00AA4F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B5F5A"/>
    <w:multiLevelType w:val="multilevel"/>
    <w:tmpl w:val="8064178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22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CD7"/>
    <w:rsid w:val="00315BE5"/>
    <w:rsid w:val="008B4CD7"/>
    <w:rsid w:val="00933A41"/>
    <w:rsid w:val="00A60C56"/>
    <w:rsid w:val="00AA4F65"/>
    <w:rsid w:val="00E078C8"/>
    <w:rsid w:val="00F000CB"/>
    <w:rsid w:val="00FC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BA8F7"/>
  <w15:docId w15:val="{1497FEB8-4327-45B9-BCE3-D4FA3E20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line="360" w:lineRule="auto"/>
      <w:ind w:left="720"/>
      <w:jc w:val="center"/>
    </w:pPr>
    <w:rPr>
      <w:b/>
      <w:bCs/>
      <w:sz w:val="30"/>
      <w:szCs w:val="30"/>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A4F65"/>
    <w:pPr>
      <w:spacing w:before="24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A4F65"/>
    <w:pPr>
      <w:spacing w:after="100"/>
    </w:pPr>
  </w:style>
  <w:style w:type="character" w:styleId="Hyperlink">
    <w:name w:val="Hyperlink"/>
    <w:basedOn w:val="DefaultParagraphFont"/>
    <w:uiPriority w:val="99"/>
    <w:unhideWhenUsed/>
    <w:rsid w:val="00AA4F65"/>
    <w:rPr>
      <w:color w:val="0000FF" w:themeColor="hyperlink"/>
      <w:u w:val="single"/>
    </w:rPr>
  </w:style>
  <w:style w:type="paragraph" w:styleId="Header">
    <w:name w:val="header"/>
    <w:basedOn w:val="Normal"/>
    <w:link w:val="HeaderChar"/>
    <w:uiPriority w:val="99"/>
    <w:unhideWhenUsed/>
    <w:rsid w:val="00AA4F65"/>
    <w:pPr>
      <w:tabs>
        <w:tab w:val="center" w:pos="4513"/>
        <w:tab w:val="right" w:pos="9026"/>
      </w:tabs>
      <w:spacing w:line="240" w:lineRule="auto"/>
    </w:pPr>
  </w:style>
  <w:style w:type="character" w:customStyle="1" w:styleId="HeaderChar">
    <w:name w:val="Header Char"/>
    <w:basedOn w:val="DefaultParagraphFont"/>
    <w:link w:val="Header"/>
    <w:uiPriority w:val="99"/>
    <w:rsid w:val="00AA4F65"/>
  </w:style>
  <w:style w:type="paragraph" w:styleId="Footer">
    <w:name w:val="footer"/>
    <w:basedOn w:val="Normal"/>
    <w:link w:val="FooterChar"/>
    <w:uiPriority w:val="99"/>
    <w:unhideWhenUsed/>
    <w:rsid w:val="00AA4F65"/>
    <w:pPr>
      <w:tabs>
        <w:tab w:val="center" w:pos="4513"/>
        <w:tab w:val="right" w:pos="9026"/>
      </w:tabs>
      <w:spacing w:line="240" w:lineRule="auto"/>
    </w:pPr>
  </w:style>
  <w:style w:type="character" w:customStyle="1" w:styleId="FooterChar">
    <w:name w:val="Footer Char"/>
    <w:basedOn w:val="DefaultParagraphFont"/>
    <w:link w:val="Footer"/>
    <w:uiPriority w:val="99"/>
    <w:rsid w:val="00AA4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2675</Words>
  <Characters>15253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Ivan</cp:lastModifiedBy>
  <cp:revision>2</cp:revision>
  <dcterms:created xsi:type="dcterms:W3CDTF">2026-04-23T08:52:00Z</dcterms:created>
  <dcterms:modified xsi:type="dcterms:W3CDTF">2026-04-23T08:52:00Z</dcterms:modified>
</cp:coreProperties>
</file>