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58D0ACD" w:rsidR="00530E16" w:rsidRDefault="004468F8">
                            <w:pPr>
                              <w:spacing w:before="120" w:line="277" w:lineRule="auto"/>
                              <w:textDirection w:val="btLr"/>
                            </w:pPr>
                            <w:r>
                              <w:rPr>
                                <w:color w:val="404040"/>
                                <w:sz w:val="36"/>
                              </w:rPr>
                              <w:t xml:space="preserve">Student name: </w:t>
                            </w:r>
                            <w:r w:rsidR="00625235">
                              <w:rPr>
                                <w:color w:val="404040"/>
                                <w:sz w:val="36"/>
                              </w:rPr>
                              <w:t xml:space="preserve">Yared </w:t>
                            </w:r>
                            <w:proofErr w:type="spellStart"/>
                            <w:r w:rsidR="00EE65D3">
                              <w:rPr>
                                <w:color w:val="404040"/>
                                <w:sz w:val="36"/>
                              </w:rPr>
                              <w:t>Tadegegn</w:t>
                            </w:r>
                            <w:proofErr w:type="spellEnd"/>
                          </w:p>
                          <w:p w14:paraId="07714B75" w14:textId="771EF2FB" w:rsidR="00530E16" w:rsidRDefault="004468F8">
                            <w:pPr>
                              <w:spacing w:before="120" w:line="277" w:lineRule="auto"/>
                              <w:textDirection w:val="btLr"/>
                            </w:pPr>
                            <w:r>
                              <w:rPr>
                                <w:color w:val="404040"/>
                                <w:sz w:val="36"/>
                              </w:rPr>
                              <w:t>Student ID:</w:t>
                            </w:r>
                            <w:r w:rsidR="00EE65D3" w:rsidRPr="00EE65D3">
                              <w:t xml:space="preserve"> </w:t>
                            </w:r>
                            <w:r w:rsidR="00EE65D3" w:rsidRPr="00EE65D3">
                              <w:rPr>
                                <w:color w:val="404040"/>
                                <w:sz w:val="36"/>
                              </w:rPr>
                              <w:t>2540111</w:t>
                            </w:r>
                          </w:p>
                          <w:p w14:paraId="20688A91" w14:textId="5789ACB5" w:rsidR="00530E16" w:rsidRDefault="004468F8">
                            <w:pPr>
                              <w:spacing w:before="120" w:line="277" w:lineRule="auto"/>
                              <w:textDirection w:val="btLr"/>
                            </w:pPr>
                            <w:r>
                              <w:rPr>
                                <w:color w:val="404040"/>
                                <w:sz w:val="36"/>
                              </w:rPr>
                              <w:t xml:space="preserve">Lecturer’s Name: </w:t>
                            </w:r>
                            <w:r w:rsidR="00EE65D3">
                              <w:rPr>
                                <w:color w:val="404040"/>
                                <w:sz w:val="36"/>
                              </w:rPr>
                              <w:t xml:space="preserve">Koushik </w:t>
                            </w:r>
                            <w:r w:rsidR="003E19E1">
                              <w:rPr>
                                <w:color w:val="404040"/>
                                <w:sz w:val="36"/>
                              </w:rPr>
                              <w:t>Modak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58D0ACD" w:rsidR="00530E16" w:rsidRDefault="004468F8">
                      <w:pPr>
                        <w:spacing w:before="120" w:line="277" w:lineRule="auto"/>
                        <w:textDirection w:val="btLr"/>
                      </w:pPr>
                      <w:r>
                        <w:rPr>
                          <w:color w:val="404040"/>
                          <w:sz w:val="36"/>
                        </w:rPr>
                        <w:t xml:space="preserve">Student name: </w:t>
                      </w:r>
                      <w:r w:rsidR="00625235">
                        <w:rPr>
                          <w:color w:val="404040"/>
                          <w:sz w:val="36"/>
                        </w:rPr>
                        <w:t xml:space="preserve">Yared </w:t>
                      </w:r>
                      <w:proofErr w:type="spellStart"/>
                      <w:r w:rsidR="00EE65D3">
                        <w:rPr>
                          <w:color w:val="404040"/>
                          <w:sz w:val="36"/>
                        </w:rPr>
                        <w:t>Tadegegn</w:t>
                      </w:r>
                      <w:proofErr w:type="spellEnd"/>
                    </w:p>
                    <w:p w14:paraId="07714B75" w14:textId="771EF2FB" w:rsidR="00530E16" w:rsidRDefault="004468F8">
                      <w:pPr>
                        <w:spacing w:before="120" w:line="277" w:lineRule="auto"/>
                        <w:textDirection w:val="btLr"/>
                      </w:pPr>
                      <w:r>
                        <w:rPr>
                          <w:color w:val="404040"/>
                          <w:sz w:val="36"/>
                        </w:rPr>
                        <w:t>Student ID:</w:t>
                      </w:r>
                      <w:r w:rsidR="00EE65D3" w:rsidRPr="00EE65D3">
                        <w:t xml:space="preserve"> </w:t>
                      </w:r>
                      <w:r w:rsidR="00EE65D3" w:rsidRPr="00EE65D3">
                        <w:rPr>
                          <w:color w:val="404040"/>
                          <w:sz w:val="36"/>
                        </w:rPr>
                        <w:t>2540111</w:t>
                      </w:r>
                    </w:p>
                    <w:p w14:paraId="20688A91" w14:textId="5789ACB5" w:rsidR="00530E16" w:rsidRDefault="004468F8">
                      <w:pPr>
                        <w:spacing w:before="120" w:line="277" w:lineRule="auto"/>
                        <w:textDirection w:val="btLr"/>
                      </w:pPr>
                      <w:r>
                        <w:rPr>
                          <w:color w:val="404040"/>
                          <w:sz w:val="36"/>
                        </w:rPr>
                        <w:t xml:space="preserve">Lecturer’s Name: </w:t>
                      </w:r>
                      <w:r w:rsidR="00EE65D3">
                        <w:rPr>
                          <w:color w:val="404040"/>
                          <w:sz w:val="36"/>
                        </w:rPr>
                        <w:t xml:space="preserve">Koushik </w:t>
                      </w:r>
                      <w:r w:rsidR="003E19E1">
                        <w:rPr>
                          <w:color w:val="404040"/>
                          <w:sz w:val="36"/>
                        </w:rPr>
                        <w:t>Modak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274340EC" w14:textId="77777777" w:rsidR="00B11961" w:rsidRDefault="00B11961">
      <w:pPr>
        <w:pStyle w:val="NormalWeb"/>
        <w:rPr>
          <w:color w:val="000000"/>
        </w:rPr>
      </w:pPr>
      <w:r>
        <w:rPr>
          <w:color w:val="000000"/>
        </w:rPr>
        <w:t xml:space="preserve">1.1 Paper Details (Title, Author(s) and Year of Publication) This report offers a critical review of an empirical research paper titled "A cross-sectional study of discipline-based self-perceived digital literacy competencies of nursing students," authored by </w:t>
      </w:r>
      <w:proofErr w:type="spellStart"/>
      <w:r>
        <w:rPr>
          <w:color w:val="000000"/>
        </w:rPr>
        <w:t>Konstantina</w:t>
      </w:r>
      <w:proofErr w:type="spellEnd"/>
      <w:r>
        <w:rPr>
          <w:color w:val="000000"/>
        </w:rPr>
        <w:t xml:space="preserve"> </w:t>
      </w:r>
      <w:proofErr w:type="spellStart"/>
      <w:r>
        <w:rPr>
          <w:color w:val="000000"/>
        </w:rPr>
        <w:t>Martzoukou</w:t>
      </w:r>
      <w:proofErr w:type="spellEnd"/>
      <w:r>
        <w:rPr>
          <w:color w:val="000000"/>
        </w:rPr>
        <w:t xml:space="preserve">, Errol </w:t>
      </w:r>
      <w:proofErr w:type="spellStart"/>
      <w:r>
        <w:rPr>
          <w:color w:val="000000"/>
        </w:rPr>
        <w:t>Sadullah</w:t>
      </w:r>
      <w:proofErr w:type="spellEnd"/>
      <w:r>
        <w:rPr>
          <w:color w:val="000000"/>
        </w:rPr>
        <w:t xml:space="preserve"> </w:t>
      </w:r>
      <w:proofErr w:type="spellStart"/>
      <w:r>
        <w:rPr>
          <w:color w:val="000000"/>
        </w:rPr>
        <w:t>Luders</w:t>
      </w:r>
      <w:proofErr w:type="spellEnd"/>
      <w:r>
        <w:rPr>
          <w:color w:val="000000"/>
        </w:rPr>
        <w:t xml:space="preserve">, Jane Mair, </w:t>
      </w:r>
      <w:proofErr w:type="spellStart"/>
      <w:r>
        <w:rPr>
          <w:color w:val="000000"/>
        </w:rPr>
        <w:t>Petros</w:t>
      </w:r>
      <w:proofErr w:type="spellEnd"/>
      <w:r>
        <w:rPr>
          <w:color w:val="000000"/>
        </w:rPr>
        <w:t xml:space="preserve"> </w:t>
      </w:r>
      <w:proofErr w:type="spellStart"/>
      <w:r>
        <w:rPr>
          <w:color w:val="000000"/>
        </w:rPr>
        <w:t>Kostagiolas</w:t>
      </w:r>
      <w:proofErr w:type="spellEnd"/>
      <w:r>
        <w:rPr>
          <w:color w:val="000000"/>
        </w:rPr>
        <w:t>, Neil Johnson, Fiona Work, and Crystal Fulton.</w:t>
      </w:r>
      <w:r>
        <w:rPr>
          <w:rStyle w:val="apple-converted-space"/>
          <w:color w:val="000000"/>
        </w:rPr>
        <w:t> </w:t>
      </w:r>
      <w:r>
        <w:rPr>
          <w:color w:val="000000"/>
        </w:rPr>
        <w:t>The paper was published online in 2023 and officially released in 2024.</w:t>
      </w:r>
    </w:p>
    <w:p w14:paraId="30FB5D43" w14:textId="2ABF1088" w:rsidR="004468F8" w:rsidRDefault="004468F8" w:rsidP="002C416D">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1" w:name="_Toc203606111"/>
      <w:r>
        <w:t>1.2 Main</w:t>
      </w:r>
      <w:r w:rsidR="004468F8">
        <w:t xml:space="preserve"> Topic or Problem Explored in the Paper</w:t>
      </w:r>
      <w:bookmarkEnd w:id="1"/>
    </w:p>
    <w:p w14:paraId="58BE2D64" w14:textId="77777777" w:rsidR="00F22006" w:rsidRDefault="00F00AF9">
      <w:pPr>
        <w:pStyle w:val="NormalWeb"/>
        <w:rPr>
          <w:color w:val="000000"/>
        </w:rPr>
      </w:pPr>
      <w:r>
        <w:rPr>
          <w:color w:val="000000"/>
        </w:rPr>
        <w:t>The main issue examined in this research is the significant gap between the rapid digital changes in healthcare settings and the actual digital preparedness of nursing students in their professional education.</w:t>
      </w:r>
    </w:p>
    <w:p w14:paraId="35CA182A" w14:textId="36077FCA" w:rsidR="008209AC" w:rsidRDefault="00F00AF9">
      <w:pPr>
        <w:pStyle w:val="NormalWeb"/>
        <w:rPr>
          <w:rStyle w:val="apple-converted-space"/>
          <w:color w:val="000000"/>
        </w:rPr>
      </w:pPr>
      <w:r>
        <w:rPr>
          <w:rStyle w:val="apple-converted-space"/>
          <w:color w:val="000000"/>
        </w:rPr>
        <w:t> </w:t>
      </w:r>
      <w:r>
        <w:rPr>
          <w:color w:val="000000"/>
        </w:rPr>
        <w:t xml:space="preserve">In the last several years, health systems have moved strongly toward digital-first approaches, introducing electronic health records (EHRs), remote patient monitoring, </w:t>
      </w:r>
      <w:proofErr w:type="spellStart"/>
      <w:r>
        <w:rPr>
          <w:color w:val="000000"/>
        </w:rPr>
        <w:t>telehealth</w:t>
      </w:r>
      <w:proofErr w:type="spellEnd"/>
      <w:r>
        <w:rPr>
          <w:color w:val="000000"/>
        </w:rPr>
        <w:t xml:space="preserve"> services, and automated clinical management tools.</w:t>
      </w:r>
      <w:r>
        <w:rPr>
          <w:rStyle w:val="apple-converted-space"/>
          <w:color w:val="000000"/>
        </w:rPr>
        <w:t> </w:t>
      </w:r>
      <w:r>
        <w:rPr>
          <w:color w:val="000000"/>
        </w:rPr>
        <w:t>Yet, higher education nursing programs often assume students naturally have advanced digital skills simply because they are part of younger, tech-savvy generations.</w:t>
      </w:r>
      <w:r>
        <w:rPr>
          <w:rStyle w:val="apple-converted-space"/>
          <w:color w:val="000000"/>
        </w:rPr>
        <w:t> </w:t>
      </w:r>
    </w:p>
    <w:p w14:paraId="374B763B" w14:textId="77777777" w:rsidR="00463E2E" w:rsidRDefault="00F00AF9">
      <w:pPr>
        <w:pStyle w:val="NormalWeb"/>
        <w:rPr>
          <w:rStyle w:val="apple-converted-space"/>
          <w:color w:val="000000"/>
        </w:rPr>
      </w:pPr>
      <w:r>
        <w:rPr>
          <w:color w:val="000000"/>
        </w:rPr>
        <w:t>The authors point out a key difference between general familiarity with technology (like using social media or browsing the internet) and the specific digital literacy needed in the nursing field.</w:t>
      </w:r>
      <w:r>
        <w:rPr>
          <w:rStyle w:val="apple-converted-space"/>
          <w:color w:val="000000"/>
        </w:rPr>
        <w:t> </w:t>
      </w:r>
    </w:p>
    <w:p w14:paraId="47E40180" w14:textId="2A6D1F03" w:rsidR="00CD773B" w:rsidRDefault="00F00AF9">
      <w:pPr>
        <w:pStyle w:val="NormalWeb"/>
        <w:rPr>
          <w:rStyle w:val="apple-converted-space"/>
          <w:color w:val="000000"/>
        </w:rPr>
      </w:pPr>
      <w:r>
        <w:rPr>
          <w:color w:val="000000"/>
        </w:rPr>
        <w:t>Nursing students need targeted digital skills, such as searching for clinical evidence, evaluating digital health tools, practicing good cyber-hygiene, safeguarding patient data, and critically reviewing online information.</w:t>
      </w:r>
      <w:r>
        <w:rPr>
          <w:rStyle w:val="apple-converted-space"/>
          <w:color w:val="000000"/>
        </w:rPr>
        <w:t> </w:t>
      </w:r>
    </w:p>
    <w:p w14:paraId="7127FC0C" w14:textId="5743320D" w:rsidR="00F00AF9" w:rsidRDefault="00F00AF9">
      <w:pPr>
        <w:pStyle w:val="NormalWeb"/>
        <w:rPr>
          <w:color w:val="000000"/>
        </w:rPr>
      </w:pPr>
      <w:r>
        <w:rPr>
          <w:color w:val="000000"/>
        </w:rPr>
        <w:t>The paper raises concerns that, without direct teaching of these advanced skills, student nurses end up relying on informal self-learning and trial-and-error, which leaves important gaps in their professional readiness.</w:t>
      </w:r>
    </w:p>
    <w:p w14:paraId="7E06FF6E" w14:textId="5E2E491F" w:rsidR="004468F8" w:rsidRPr="00E10231" w:rsidRDefault="004468F8" w:rsidP="00EA1031">
      <w:pPr>
        <w:spacing w:line="360" w:lineRule="auto"/>
        <w:jc w:val="both"/>
        <w:rPr>
          <w:rFonts w:ascii="Arial" w:eastAsia="Arial" w:hAnsi="Arial" w:cs="Arial"/>
          <w:i/>
          <w:iCs/>
          <w:sz w:val="22"/>
          <w:szCs w:val="22"/>
        </w:rPr>
      </w:pPr>
    </w:p>
    <w:p w14:paraId="7F889829" w14:textId="33A55CB2" w:rsidR="00853A4C" w:rsidRDefault="00E10231" w:rsidP="00A27E39">
      <w:pPr>
        <w:pStyle w:val="Heading2"/>
        <w:jc w:val="both"/>
      </w:pPr>
      <w:bookmarkStart w:id="2" w:name="_Toc203606112"/>
      <w:r>
        <w:t>1.3 Who</w:t>
      </w:r>
      <w:r w:rsidR="004468F8">
        <w:t xml:space="preserve"> Is the Research About?</w:t>
      </w:r>
      <w:bookmarkEnd w:id="2"/>
    </w:p>
    <w:p w14:paraId="75A35237" w14:textId="77777777" w:rsidR="0088437B" w:rsidRDefault="00857503">
      <w:pPr>
        <w:pStyle w:val="NormalWeb"/>
        <w:rPr>
          <w:rStyle w:val="apple-converted-space"/>
          <w:color w:val="000000"/>
        </w:rPr>
      </w:pPr>
      <w:r>
        <w:rPr>
          <w:color w:val="000000"/>
        </w:rPr>
        <w:t>The research focuses on students enrolled in the School of Nursing, Midwifery and Paramedic Practice at a university in Scotland, UK.</w:t>
      </w:r>
      <w:r>
        <w:rPr>
          <w:rStyle w:val="apple-converted-space"/>
          <w:color w:val="000000"/>
        </w:rPr>
        <w:t> </w:t>
      </w:r>
    </w:p>
    <w:p w14:paraId="570AEEED" w14:textId="54ECA959" w:rsidR="00857503" w:rsidRDefault="00857503">
      <w:pPr>
        <w:pStyle w:val="NormalWeb"/>
        <w:rPr>
          <w:color w:val="000000"/>
        </w:rPr>
      </w:pPr>
      <w:r>
        <w:rPr>
          <w:color w:val="000000"/>
        </w:rPr>
        <w:t xml:space="preserve">The sample includes both undergraduate and postgraduate nursing students, divided into two main groups: - Pre-registration students: </w:t>
      </w:r>
      <w:r w:rsidR="004271C1">
        <w:rPr>
          <w:color w:val="000000"/>
        </w:rPr>
        <w:t xml:space="preserve"> </w:t>
      </w:r>
      <w:r>
        <w:rPr>
          <w:color w:val="000000"/>
        </w:rPr>
        <w:t>Those training for their first professional registration and qualification.</w:t>
      </w:r>
      <w:r>
        <w:rPr>
          <w:rStyle w:val="apple-converted-space"/>
          <w:color w:val="000000"/>
        </w:rPr>
        <w:t> </w:t>
      </w:r>
      <w:r>
        <w:rPr>
          <w:color w:val="000000"/>
        </w:rPr>
        <w:t>- Post-registration students: Practicing nurses who have returned to university for further degrees or ongoing professional development.</w:t>
      </w:r>
      <w:r>
        <w:rPr>
          <w:rStyle w:val="apple-converted-space"/>
          <w:color w:val="000000"/>
        </w:rPr>
        <w:t> </w:t>
      </w:r>
      <w:r>
        <w:rPr>
          <w:color w:val="000000"/>
        </w:rPr>
        <w:t xml:space="preserve">By surveying </w:t>
      </w:r>
      <w:r>
        <w:rPr>
          <w:color w:val="000000"/>
        </w:rPr>
        <w:lastRenderedPageBreak/>
        <w:t>students from different age ranges, academic stages, and clinical backgrounds, the study gives a broad view of how digital confidence varies among all nursing students.</w:t>
      </w:r>
    </w:p>
    <w:p w14:paraId="1B355B24" w14:textId="77777777" w:rsidR="00A27E39" w:rsidRPr="00A27E39" w:rsidRDefault="00A27E39" w:rsidP="00A27E39"/>
    <w:p w14:paraId="49BA2ED4" w14:textId="424C955E" w:rsidR="004468F8" w:rsidRPr="00E10231" w:rsidRDefault="004468F8" w:rsidP="00EA1031">
      <w:pPr>
        <w:spacing w:line="360" w:lineRule="auto"/>
        <w:jc w:val="both"/>
        <w:rPr>
          <w:rFonts w:ascii="Arial" w:eastAsia="Arial" w:hAnsi="Arial" w:cs="Arial"/>
          <w:i/>
          <w:iCs/>
          <w:sz w:val="22"/>
          <w:szCs w:val="22"/>
        </w:rPr>
      </w:pPr>
    </w:p>
    <w:p w14:paraId="06A36977" w14:textId="174ECD6F" w:rsidR="00530E16" w:rsidRDefault="00E10231">
      <w:pPr>
        <w:pStyle w:val="Heading2"/>
        <w:jc w:val="both"/>
      </w:pPr>
      <w:bookmarkStart w:id="3" w:name="_Toc203606113"/>
      <w:r>
        <w:t>1.4 Why</w:t>
      </w:r>
      <w:r w:rsidR="004468F8">
        <w:t xml:space="preserve"> Is This Topic Important in UK Health and Social Care?</w:t>
      </w:r>
      <w:bookmarkEnd w:id="3"/>
    </w:p>
    <w:p w14:paraId="272C8765" w14:textId="77777777" w:rsidR="009853ED" w:rsidRDefault="007C0B82">
      <w:pPr>
        <w:pStyle w:val="NormalWeb"/>
        <w:rPr>
          <w:color w:val="000000"/>
        </w:rPr>
      </w:pPr>
      <w:r>
        <w:rPr>
          <w:color w:val="000000"/>
        </w:rPr>
        <w:t>Closing digital literacy gaps among student nurses is essential for the future of UK health and social care.</w:t>
      </w:r>
      <w:r>
        <w:rPr>
          <w:rStyle w:val="apple-converted-space"/>
          <w:color w:val="000000"/>
        </w:rPr>
        <w:t> </w:t>
      </w:r>
      <w:r>
        <w:rPr>
          <w:color w:val="000000"/>
        </w:rPr>
        <w:t>National frameworks from NHS Digital, Health Education England, and the Royal College of Nursing (RCN) make it clear that today's healthcare workers must be digitally skilled "e-nurses." Digital literacy affects patient safety, service quality, and efficiency.</w:t>
      </w:r>
      <w:r>
        <w:rPr>
          <w:rStyle w:val="apple-converted-space"/>
          <w:color w:val="000000"/>
        </w:rPr>
        <w:t> </w:t>
      </w:r>
      <w:r>
        <w:rPr>
          <w:color w:val="000000"/>
        </w:rPr>
        <w:t>When staff lack proper digital training, the risk of clinical mistakes rises, including incorrect entries in electronic notes or accidental data breaches that break privacy laws.</w:t>
      </w:r>
    </w:p>
    <w:p w14:paraId="7D047856" w14:textId="77C3A20B" w:rsidR="00B27D4C" w:rsidRDefault="007C0B82">
      <w:pPr>
        <w:pStyle w:val="NormalWeb"/>
        <w:rPr>
          <w:color w:val="000000"/>
        </w:rPr>
      </w:pPr>
      <w:r>
        <w:rPr>
          <w:rStyle w:val="apple-converted-space"/>
          <w:color w:val="000000"/>
        </w:rPr>
        <w:t> </w:t>
      </w:r>
      <w:r>
        <w:rPr>
          <w:color w:val="000000"/>
        </w:rPr>
        <w:t>Also, evidence-based practice now requires nurses to find, assess, and use the latest clinical research online.</w:t>
      </w:r>
      <w:r>
        <w:rPr>
          <w:rStyle w:val="apple-converted-space"/>
          <w:color w:val="000000"/>
        </w:rPr>
        <w:t> </w:t>
      </w:r>
      <w:r>
        <w:rPr>
          <w:color w:val="000000"/>
        </w:rPr>
        <w:t>If students pick up digital skills only through informal means, their clinical work can become inconsistent.</w:t>
      </w:r>
    </w:p>
    <w:p w14:paraId="7446F439" w14:textId="29D21F38" w:rsidR="007C0B82" w:rsidRDefault="007C0B82">
      <w:pPr>
        <w:pStyle w:val="NormalWeb"/>
        <w:rPr>
          <w:color w:val="000000"/>
        </w:rPr>
      </w:pPr>
      <w:r>
        <w:rPr>
          <w:rStyle w:val="apple-converted-space"/>
          <w:color w:val="000000"/>
        </w:rPr>
        <w:t> </w:t>
      </w:r>
      <w:r>
        <w:rPr>
          <w:color w:val="000000"/>
        </w:rPr>
        <w:t>Pinpointing skill gaps helps universities build structured digital skills directly into nursing courses, making sure future health workers are ready to provide safe, effective, and digitally integrated care across the UK.</w:t>
      </w:r>
    </w:p>
    <w:p w14:paraId="3BA747B5" w14:textId="0C569E1D" w:rsidR="00E10231" w:rsidRPr="00210D5A" w:rsidRDefault="00E10231" w:rsidP="00EA1031">
      <w:pPr>
        <w:spacing w:line="360" w:lineRule="auto"/>
        <w:jc w:val="both"/>
        <w:rPr>
          <w:rFonts w:ascii="Arial" w:eastAsia="Arial" w:hAnsi="Arial" w:cs="Arial"/>
          <w:i/>
          <w:iCs/>
          <w:sz w:val="22"/>
          <w:szCs w:val="22"/>
        </w:rPr>
      </w:pPr>
    </w:p>
    <w:p w14:paraId="6EDF5A18" w14:textId="77777777" w:rsidR="004468F8" w:rsidRDefault="004468F8">
      <w:pPr>
        <w:spacing w:line="360" w:lineRule="auto"/>
        <w:jc w:val="both"/>
        <w:rPr>
          <w:rFonts w:ascii="Arial" w:eastAsia="Arial" w:hAnsi="Arial" w:cs="Arial"/>
          <w:sz w:val="22"/>
          <w:szCs w:val="22"/>
        </w:rPr>
      </w:pPr>
    </w:p>
    <w:p w14:paraId="09904574" w14:textId="77777777" w:rsidR="004468F8" w:rsidRPr="004468F8" w:rsidRDefault="004468F8">
      <w:pPr>
        <w:pStyle w:val="Heading1"/>
        <w:jc w:val="both"/>
      </w:pPr>
      <w:bookmarkStart w:id="4" w:name="_Toc203606114"/>
      <w:r>
        <w:t>Section 2: Understanding the Purpose and Research Question</w:t>
      </w:r>
      <w:bookmarkEnd w:id="4"/>
    </w:p>
    <w:p w14:paraId="7EC53AFE" w14:textId="2F68D5FA" w:rsidR="004468F8" w:rsidRPr="00210D5A" w:rsidRDefault="00210D5A">
      <w:pPr>
        <w:spacing w:line="360" w:lineRule="auto"/>
        <w:jc w:val="both"/>
        <w:rPr>
          <w:rFonts w:ascii="Arial" w:eastAsia="Arial" w:hAnsi="Arial" w:cs="Arial"/>
          <w:i/>
          <w:iCs/>
          <w:color w:val="FF0000"/>
          <w:sz w:val="22"/>
          <w:szCs w:val="22"/>
        </w:rPr>
      </w:pPr>
      <w:r w:rsidRPr="00210D5A">
        <w:rPr>
          <w:rFonts w:ascii="Arial" w:eastAsia="Arial" w:hAnsi="Arial" w:cs="Arial"/>
          <w:i/>
          <w:iCs/>
          <w:sz w:val="22"/>
          <w:szCs w:val="22"/>
          <w:highlight w:val="yellow"/>
        </w:rPr>
        <w:t xml:space="preserve"> </w:t>
      </w:r>
    </w:p>
    <w:p w14:paraId="26D643B0" w14:textId="647BF202" w:rsidR="00371F92" w:rsidRDefault="00210D5A" w:rsidP="00B502C4">
      <w:pPr>
        <w:pStyle w:val="Heading2"/>
        <w:jc w:val="both"/>
      </w:pPr>
      <w:bookmarkStart w:id="5" w:name="_Toc203606115"/>
      <w:r>
        <w:t>2.1 Research</w:t>
      </w:r>
      <w:r w:rsidR="004468F8">
        <w:t xml:space="preserve"> Question(s) or Objectives</w:t>
      </w:r>
      <w:bookmarkEnd w:id="5"/>
    </w:p>
    <w:p w14:paraId="3F755DEC" w14:textId="7077191B" w:rsidR="00A017C7" w:rsidRDefault="0018160C">
      <w:pPr>
        <w:pStyle w:val="NormalWeb"/>
        <w:rPr>
          <w:color w:val="000000"/>
        </w:rPr>
      </w:pPr>
      <w:r>
        <w:rPr>
          <w:color w:val="000000"/>
        </w:rPr>
        <w:t xml:space="preserve">The main goal of </w:t>
      </w:r>
      <w:proofErr w:type="spellStart"/>
      <w:r>
        <w:rPr>
          <w:color w:val="000000"/>
        </w:rPr>
        <w:t>Martzoukou</w:t>
      </w:r>
      <w:proofErr w:type="spellEnd"/>
      <w:r>
        <w:rPr>
          <w:color w:val="000000"/>
        </w:rPr>
        <w:t xml:space="preserve"> et al.</w:t>
      </w:r>
      <w:r>
        <w:rPr>
          <w:rStyle w:val="apple-converted-space"/>
          <w:color w:val="000000"/>
        </w:rPr>
        <w:t> </w:t>
      </w:r>
      <w:r>
        <w:rPr>
          <w:color w:val="000000"/>
        </w:rPr>
        <w:t>(2023) was to adapt a general digital literacy framework for healthcare and use it to measure nursing students' self-perceived skills, highlighting curriculum areas that need improvement.</w:t>
      </w:r>
      <w:r>
        <w:rPr>
          <w:rStyle w:val="apple-converted-space"/>
          <w:color w:val="000000"/>
        </w:rPr>
        <w:t> </w:t>
      </w:r>
      <w:r>
        <w:rPr>
          <w:color w:val="000000"/>
        </w:rPr>
        <w:t>To do this, the researchers set out four main objectives and tested two main hypotheses: Primary Research Objectives:</w:t>
      </w:r>
    </w:p>
    <w:p w14:paraId="1732C52B" w14:textId="77777777" w:rsidR="005D4222" w:rsidRDefault="0018160C">
      <w:pPr>
        <w:pStyle w:val="NormalWeb"/>
        <w:rPr>
          <w:color w:val="000000"/>
        </w:rPr>
      </w:pPr>
      <w:r>
        <w:rPr>
          <w:color w:val="000000"/>
        </w:rPr>
        <w:t xml:space="preserve"> - To adapt and validate a broad digital literacy assessment tool specifically for nursing education.</w:t>
      </w:r>
    </w:p>
    <w:p w14:paraId="46E77860" w14:textId="77777777" w:rsidR="00814FDF" w:rsidRDefault="0018160C">
      <w:pPr>
        <w:pStyle w:val="NormalWeb"/>
        <w:rPr>
          <w:color w:val="000000"/>
        </w:rPr>
      </w:pPr>
      <w:r>
        <w:rPr>
          <w:rStyle w:val="apple-converted-space"/>
          <w:color w:val="000000"/>
        </w:rPr>
        <w:t> </w:t>
      </w:r>
      <w:r>
        <w:rPr>
          <w:color w:val="000000"/>
        </w:rPr>
        <w:t>- To measure students' self-perceived digital skills across 13 key areas, looking for differences by age, gender, study area, and academic level.</w:t>
      </w:r>
    </w:p>
    <w:p w14:paraId="1724B854" w14:textId="77777777" w:rsidR="00814FDF" w:rsidRDefault="0018160C">
      <w:pPr>
        <w:pStyle w:val="NormalWeb"/>
        <w:rPr>
          <w:rStyle w:val="apple-converted-space"/>
          <w:color w:val="000000"/>
        </w:rPr>
      </w:pPr>
      <w:r>
        <w:rPr>
          <w:rStyle w:val="apple-converted-space"/>
          <w:color w:val="000000"/>
        </w:rPr>
        <w:lastRenderedPageBreak/>
        <w:t> </w:t>
      </w:r>
      <w:r>
        <w:rPr>
          <w:color w:val="000000"/>
        </w:rPr>
        <w:t>- To collect qualitative feedback about how healthcare students learn, update, and use their digital skills in both academic and work settings.</w:t>
      </w:r>
      <w:r>
        <w:rPr>
          <w:rStyle w:val="apple-converted-space"/>
          <w:color w:val="000000"/>
        </w:rPr>
        <w:t> </w:t>
      </w:r>
    </w:p>
    <w:p w14:paraId="2E323A8F" w14:textId="77777777" w:rsidR="00132929" w:rsidRDefault="0018160C">
      <w:pPr>
        <w:pStyle w:val="NormalWeb"/>
        <w:rPr>
          <w:rStyle w:val="apple-converted-space"/>
          <w:color w:val="000000"/>
        </w:rPr>
      </w:pPr>
      <w:r>
        <w:rPr>
          <w:color w:val="000000"/>
        </w:rPr>
        <w:t>- To develop practical curriculum approaches that include professional digital skills in higher education nursing programs.</w:t>
      </w:r>
      <w:r>
        <w:rPr>
          <w:rStyle w:val="apple-converted-space"/>
          <w:color w:val="000000"/>
        </w:rPr>
        <w:t> </w:t>
      </w:r>
    </w:p>
    <w:p w14:paraId="3B11AED5" w14:textId="77777777" w:rsidR="0027474C" w:rsidRDefault="0018160C">
      <w:pPr>
        <w:pStyle w:val="NormalWeb"/>
        <w:rPr>
          <w:rStyle w:val="apple-converted-space"/>
          <w:color w:val="000000"/>
        </w:rPr>
      </w:pPr>
      <w:r>
        <w:rPr>
          <w:color w:val="000000"/>
        </w:rPr>
        <w:t>Core Hypotheses Tested: - Hypothesis 1 (H_1): Self-rated digital literacy skills differ significantly among nursing students from different age groups (generational cohorts). - Hypothesis 2 (H_2): Self-rated digital literacy skills differ significantly between pre-registration students and experienced post-registration nurses.</w:t>
      </w:r>
      <w:r>
        <w:rPr>
          <w:rStyle w:val="apple-converted-space"/>
          <w:color w:val="000000"/>
        </w:rPr>
        <w:t> </w:t>
      </w:r>
    </w:p>
    <w:p w14:paraId="575CD68B" w14:textId="7850491C" w:rsidR="0018160C" w:rsidRDefault="0018160C">
      <w:pPr>
        <w:pStyle w:val="NormalWeb"/>
        <w:rPr>
          <w:color w:val="000000"/>
        </w:rPr>
      </w:pPr>
      <w:r>
        <w:rPr>
          <w:color w:val="000000"/>
        </w:rPr>
        <w:t>Through these questions, the study aimed to provide university leaders with solid evidence to improve digital training for future health professionals.</w:t>
      </w:r>
    </w:p>
    <w:p w14:paraId="6EA291DE" w14:textId="77777777" w:rsidR="0018160C" w:rsidRPr="0018160C" w:rsidRDefault="0018160C" w:rsidP="0018160C"/>
    <w:p w14:paraId="581DD59F" w14:textId="77777777" w:rsidR="00B502C4" w:rsidRPr="00B502C4" w:rsidRDefault="00B502C4" w:rsidP="00B502C4"/>
    <w:p w14:paraId="0159092C" w14:textId="77777777" w:rsidR="00E64C66" w:rsidRDefault="004468F8">
      <w:pPr>
        <w:pStyle w:val="Heading1"/>
        <w:jc w:val="both"/>
      </w:pPr>
      <w:bookmarkStart w:id="6" w:name="_Toc203606116"/>
      <w:r>
        <w:t>Section 3: Understanding the Research Methods</w:t>
      </w:r>
      <w:bookmarkEnd w:id="6"/>
    </w:p>
    <w:p w14:paraId="37702163" w14:textId="4FC19F38" w:rsidR="004468F8" w:rsidRDefault="00E64C66">
      <w:pPr>
        <w:pStyle w:val="Heading1"/>
        <w:jc w:val="both"/>
      </w:pPr>
      <w:r>
        <w:t>3</w:t>
      </w:r>
      <w:r w:rsidR="004163CA" w:rsidRPr="004163CA">
        <w:t>.1 Overview of Quantitative, Qualitative, and Mixed-Methods Research</w:t>
      </w:r>
    </w:p>
    <w:p w14:paraId="23DB40DB" w14:textId="77777777" w:rsidR="004163CA" w:rsidRPr="004163CA" w:rsidRDefault="004163CA" w:rsidP="004163CA"/>
    <w:tbl>
      <w:tblPr>
        <w:tblStyle w:val="TableGrid"/>
        <w:tblW w:w="0" w:type="auto"/>
        <w:tblLook w:val="04A0" w:firstRow="1" w:lastRow="0" w:firstColumn="1" w:lastColumn="0" w:noHBand="0" w:noVBand="1"/>
      </w:tblPr>
      <w:tblGrid>
        <w:gridCol w:w="2254"/>
        <w:gridCol w:w="2254"/>
        <w:gridCol w:w="2254"/>
        <w:gridCol w:w="2254"/>
      </w:tblGrid>
      <w:tr w:rsidR="008C3A0B" w14:paraId="2EE4F267" w14:textId="77777777" w:rsidTr="008C3A0B">
        <w:tc>
          <w:tcPr>
            <w:tcW w:w="2254" w:type="dxa"/>
          </w:tcPr>
          <w:p w14:paraId="70E5CF30" w14:textId="7766C0E7" w:rsidR="008C3A0B" w:rsidRDefault="008C3A0B" w:rsidP="00E10231">
            <w:pPr>
              <w:spacing w:line="360" w:lineRule="auto"/>
              <w:jc w:val="both"/>
              <w:rPr>
                <w:rFonts w:ascii="Arial" w:eastAsia="Arial" w:hAnsi="Arial" w:cs="Arial"/>
                <w:i/>
                <w:iCs/>
                <w:sz w:val="22"/>
                <w:szCs w:val="22"/>
                <w:highlight w:val="yellow"/>
              </w:rPr>
            </w:pPr>
            <w:r w:rsidRPr="008C3A0B">
              <w:rPr>
                <w:rFonts w:ascii="Arial" w:eastAsia="Arial" w:hAnsi="Arial" w:cs="Arial"/>
                <w:i/>
                <w:iCs/>
                <w:sz w:val="22"/>
                <w:szCs w:val="22"/>
              </w:rPr>
              <w:t>Feature</w:t>
            </w:r>
          </w:p>
        </w:tc>
        <w:tc>
          <w:tcPr>
            <w:tcW w:w="2254" w:type="dxa"/>
          </w:tcPr>
          <w:p w14:paraId="0F6A3E55" w14:textId="77777777" w:rsidR="004A2A53" w:rsidRPr="004A2A53" w:rsidRDefault="004A2A53" w:rsidP="004A2A53">
            <w:pPr>
              <w:spacing w:line="360" w:lineRule="auto"/>
              <w:jc w:val="both"/>
              <w:rPr>
                <w:rFonts w:ascii="Arial" w:eastAsia="Arial" w:hAnsi="Arial" w:cs="Arial"/>
                <w:i/>
                <w:iCs/>
                <w:sz w:val="22"/>
                <w:szCs w:val="22"/>
              </w:rPr>
            </w:pPr>
            <w:r w:rsidRPr="004A2A53">
              <w:rPr>
                <w:rFonts w:ascii="Arial" w:eastAsia="Arial" w:hAnsi="Arial" w:cs="Arial"/>
                <w:i/>
                <w:iCs/>
                <w:sz w:val="22"/>
                <w:szCs w:val="22"/>
              </w:rPr>
              <w:t>Quantitative Research</w:t>
            </w:r>
          </w:p>
          <w:p w14:paraId="3B4A4EB0" w14:textId="30817A2C" w:rsidR="008C3A0B" w:rsidRPr="004A2A53" w:rsidRDefault="008C3A0B" w:rsidP="004A2A53">
            <w:pPr>
              <w:spacing w:line="360" w:lineRule="auto"/>
              <w:jc w:val="both"/>
              <w:rPr>
                <w:rFonts w:ascii="Arial" w:eastAsia="Arial" w:hAnsi="Arial" w:cs="Arial"/>
                <w:i/>
                <w:iCs/>
                <w:sz w:val="22"/>
                <w:szCs w:val="22"/>
              </w:rPr>
            </w:pPr>
          </w:p>
        </w:tc>
        <w:tc>
          <w:tcPr>
            <w:tcW w:w="2254" w:type="dxa"/>
          </w:tcPr>
          <w:p w14:paraId="58A48C27" w14:textId="773234BC" w:rsidR="004A2A53" w:rsidRPr="004A2A53" w:rsidRDefault="004A2A53" w:rsidP="004A2A53">
            <w:pPr>
              <w:spacing w:line="360" w:lineRule="auto"/>
              <w:jc w:val="both"/>
              <w:rPr>
                <w:rFonts w:ascii="Arial" w:eastAsia="Arial" w:hAnsi="Arial" w:cs="Arial"/>
                <w:i/>
                <w:iCs/>
                <w:sz w:val="22"/>
                <w:szCs w:val="22"/>
              </w:rPr>
            </w:pPr>
          </w:p>
          <w:p w14:paraId="3BA1A443" w14:textId="77777777" w:rsidR="004A2A53" w:rsidRPr="004A2A53" w:rsidRDefault="004A2A53" w:rsidP="004A2A53">
            <w:pPr>
              <w:spacing w:line="360" w:lineRule="auto"/>
              <w:jc w:val="both"/>
              <w:rPr>
                <w:rFonts w:ascii="Arial" w:eastAsia="Arial" w:hAnsi="Arial" w:cs="Arial"/>
                <w:i/>
                <w:iCs/>
                <w:sz w:val="22"/>
                <w:szCs w:val="22"/>
              </w:rPr>
            </w:pPr>
            <w:r w:rsidRPr="004A2A53">
              <w:rPr>
                <w:rFonts w:ascii="Arial" w:eastAsia="Arial" w:hAnsi="Arial" w:cs="Arial"/>
                <w:i/>
                <w:iCs/>
                <w:sz w:val="22"/>
                <w:szCs w:val="22"/>
              </w:rPr>
              <w:t>Qualitative Research</w:t>
            </w:r>
          </w:p>
          <w:p w14:paraId="2CB98D88" w14:textId="5C1DFAEB" w:rsidR="008C3A0B" w:rsidRDefault="008C3A0B" w:rsidP="004A2A53">
            <w:pPr>
              <w:spacing w:line="360" w:lineRule="auto"/>
              <w:jc w:val="both"/>
              <w:rPr>
                <w:rFonts w:ascii="Arial" w:eastAsia="Arial" w:hAnsi="Arial" w:cs="Arial"/>
                <w:i/>
                <w:iCs/>
                <w:sz w:val="22"/>
                <w:szCs w:val="22"/>
                <w:highlight w:val="yellow"/>
              </w:rPr>
            </w:pPr>
          </w:p>
        </w:tc>
        <w:tc>
          <w:tcPr>
            <w:tcW w:w="2254" w:type="dxa"/>
          </w:tcPr>
          <w:p w14:paraId="56CDCC6D" w14:textId="49D355D4" w:rsidR="004A2A53" w:rsidRPr="004A2A53" w:rsidRDefault="004A2A53" w:rsidP="004A2A53">
            <w:pPr>
              <w:spacing w:line="360" w:lineRule="auto"/>
              <w:jc w:val="both"/>
              <w:rPr>
                <w:rFonts w:ascii="Arial" w:eastAsia="Arial" w:hAnsi="Arial" w:cs="Arial"/>
                <w:i/>
                <w:iCs/>
                <w:sz w:val="22"/>
                <w:szCs w:val="22"/>
              </w:rPr>
            </w:pPr>
          </w:p>
          <w:p w14:paraId="65775AD8" w14:textId="06229F9B" w:rsidR="008C3A0B" w:rsidRPr="004A2A53" w:rsidRDefault="004A2A53" w:rsidP="004A2A53">
            <w:pPr>
              <w:spacing w:line="360" w:lineRule="auto"/>
              <w:jc w:val="both"/>
              <w:rPr>
                <w:rFonts w:ascii="Arial" w:eastAsia="Arial" w:hAnsi="Arial" w:cs="Arial"/>
                <w:i/>
                <w:iCs/>
                <w:sz w:val="22"/>
                <w:szCs w:val="22"/>
              </w:rPr>
            </w:pPr>
            <w:r w:rsidRPr="004A2A53">
              <w:rPr>
                <w:rFonts w:ascii="Arial" w:eastAsia="Arial" w:hAnsi="Arial" w:cs="Arial"/>
                <w:i/>
                <w:iCs/>
                <w:sz w:val="22"/>
                <w:szCs w:val="22"/>
              </w:rPr>
              <w:t xml:space="preserve">Mixed-Methods </w:t>
            </w:r>
          </w:p>
        </w:tc>
      </w:tr>
      <w:tr w:rsidR="008C3A0B" w14:paraId="3F311E0A" w14:textId="77777777" w:rsidTr="008C3A0B">
        <w:tc>
          <w:tcPr>
            <w:tcW w:w="2254" w:type="dxa"/>
          </w:tcPr>
          <w:p w14:paraId="20341C68" w14:textId="65DF73D5" w:rsidR="008C3A0B" w:rsidRDefault="008C3A0B" w:rsidP="00E10231">
            <w:pPr>
              <w:spacing w:line="360" w:lineRule="auto"/>
              <w:jc w:val="both"/>
              <w:rPr>
                <w:rFonts w:ascii="Arial" w:eastAsia="Arial" w:hAnsi="Arial" w:cs="Arial"/>
                <w:i/>
                <w:iCs/>
                <w:sz w:val="22"/>
                <w:szCs w:val="22"/>
                <w:highlight w:val="yellow"/>
              </w:rPr>
            </w:pPr>
            <w:r w:rsidRPr="008C3A0B">
              <w:rPr>
                <w:rFonts w:ascii="Arial" w:eastAsia="Arial" w:hAnsi="Arial" w:cs="Arial"/>
                <w:i/>
                <w:iCs/>
                <w:sz w:val="22"/>
                <w:szCs w:val="22"/>
              </w:rPr>
              <w:t>Core Focus</w:t>
            </w:r>
          </w:p>
        </w:tc>
        <w:tc>
          <w:tcPr>
            <w:tcW w:w="2254" w:type="dxa"/>
          </w:tcPr>
          <w:p w14:paraId="64871346" w14:textId="77777777" w:rsidR="004A2A53" w:rsidRPr="004A2A53" w:rsidRDefault="004A2A53" w:rsidP="004A2A53">
            <w:pPr>
              <w:spacing w:line="360" w:lineRule="auto"/>
              <w:jc w:val="both"/>
              <w:rPr>
                <w:rFonts w:ascii="Arial" w:eastAsia="Arial" w:hAnsi="Arial" w:cs="Arial"/>
                <w:i/>
                <w:iCs/>
                <w:sz w:val="22"/>
                <w:szCs w:val="22"/>
              </w:rPr>
            </w:pPr>
            <w:r w:rsidRPr="004A2A53">
              <w:rPr>
                <w:rFonts w:ascii="Arial" w:eastAsia="Arial" w:hAnsi="Arial" w:cs="Arial"/>
                <w:i/>
                <w:iCs/>
                <w:sz w:val="22"/>
                <w:szCs w:val="22"/>
              </w:rPr>
              <w:t>Measures numerical data, tests specific hypotheses, and identifies statistical relationships across a sample.</w:t>
            </w:r>
          </w:p>
          <w:p w14:paraId="0A328419" w14:textId="7D02263F" w:rsidR="008C3A0B" w:rsidRDefault="008C3A0B" w:rsidP="004A2A53">
            <w:pPr>
              <w:spacing w:line="360" w:lineRule="auto"/>
              <w:jc w:val="both"/>
              <w:rPr>
                <w:rFonts w:ascii="Arial" w:eastAsia="Arial" w:hAnsi="Arial" w:cs="Arial"/>
                <w:i/>
                <w:iCs/>
                <w:sz w:val="22"/>
                <w:szCs w:val="22"/>
                <w:highlight w:val="yellow"/>
              </w:rPr>
            </w:pPr>
          </w:p>
        </w:tc>
        <w:tc>
          <w:tcPr>
            <w:tcW w:w="2254" w:type="dxa"/>
          </w:tcPr>
          <w:p w14:paraId="4F025D0B" w14:textId="5637B0FB" w:rsidR="008C3A0B" w:rsidRDefault="004A2A53" w:rsidP="00E10231">
            <w:pPr>
              <w:spacing w:line="360" w:lineRule="auto"/>
              <w:jc w:val="both"/>
              <w:rPr>
                <w:rFonts w:ascii="Arial" w:eastAsia="Arial" w:hAnsi="Arial" w:cs="Arial"/>
                <w:i/>
                <w:iCs/>
                <w:sz w:val="22"/>
                <w:szCs w:val="22"/>
                <w:highlight w:val="yellow"/>
              </w:rPr>
            </w:pPr>
            <w:r w:rsidRPr="004A2A53">
              <w:rPr>
                <w:rFonts w:ascii="Arial" w:eastAsia="Arial" w:hAnsi="Arial" w:cs="Arial"/>
                <w:i/>
                <w:iCs/>
                <w:sz w:val="22"/>
                <w:szCs w:val="22"/>
              </w:rPr>
              <w:t>Explores subjective human experiences, individual opinions, personal motivations, and social contexts.</w:t>
            </w:r>
          </w:p>
        </w:tc>
        <w:tc>
          <w:tcPr>
            <w:tcW w:w="2254" w:type="dxa"/>
          </w:tcPr>
          <w:p w14:paraId="28B83E0C" w14:textId="697D7481" w:rsidR="008C3A0B" w:rsidRDefault="004A2A53" w:rsidP="00E10231">
            <w:pPr>
              <w:spacing w:line="360" w:lineRule="auto"/>
              <w:jc w:val="both"/>
              <w:rPr>
                <w:rFonts w:ascii="Arial" w:eastAsia="Arial" w:hAnsi="Arial" w:cs="Arial"/>
                <w:i/>
                <w:iCs/>
                <w:sz w:val="22"/>
                <w:szCs w:val="22"/>
                <w:highlight w:val="yellow"/>
              </w:rPr>
            </w:pPr>
            <w:r w:rsidRPr="004A2A53">
              <w:rPr>
                <w:rFonts w:ascii="Arial" w:eastAsia="Arial" w:hAnsi="Arial" w:cs="Arial"/>
                <w:i/>
                <w:iCs/>
                <w:sz w:val="22"/>
                <w:szCs w:val="22"/>
              </w:rPr>
              <w:t>Combines numerical metrics with personal narratives to provide a comprehensive, holistic picture.</w:t>
            </w:r>
          </w:p>
        </w:tc>
      </w:tr>
      <w:tr w:rsidR="008C3A0B" w14:paraId="0481EEE8" w14:textId="77777777" w:rsidTr="008C3A0B">
        <w:tc>
          <w:tcPr>
            <w:tcW w:w="2254" w:type="dxa"/>
          </w:tcPr>
          <w:p w14:paraId="5A5A2AA4" w14:textId="3BDC8D3F" w:rsidR="008C3A0B" w:rsidRDefault="008C3A0B" w:rsidP="00E10231">
            <w:pPr>
              <w:spacing w:line="360" w:lineRule="auto"/>
              <w:jc w:val="both"/>
              <w:rPr>
                <w:rFonts w:ascii="Arial" w:eastAsia="Arial" w:hAnsi="Arial" w:cs="Arial"/>
                <w:i/>
                <w:iCs/>
                <w:sz w:val="22"/>
                <w:szCs w:val="22"/>
                <w:highlight w:val="yellow"/>
              </w:rPr>
            </w:pPr>
            <w:r w:rsidRPr="008C3A0B">
              <w:rPr>
                <w:rFonts w:ascii="Arial" w:eastAsia="Arial" w:hAnsi="Arial" w:cs="Arial"/>
                <w:i/>
                <w:iCs/>
                <w:sz w:val="22"/>
                <w:szCs w:val="22"/>
              </w:rPr>
              <w:t xml:space="preserve">Type of Data </w:t>
            </w:r>
          </w:p>
        </w:tc>
        <w:tc>
          <w:tcPr>
            <w:tcW w:w="2254" w:type="dxa"/>
          </w:tcPr>
          <w:p w14:paraId="5022BA95" w14:textId="75DDECBC"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Numerical scores, statistical metrics, clinical measurements, standardized rating scales.</w:t>
            </w:r>
          </w:p>
        </w:tc>
        <w:tc>
          <w:tcPr>
            <w:tcW w:w="2254" w:type="dxa"/>
          </w:tcPr>
          <w:p w14:paraId="5F5CBA46" w14:textId="44C3F76A"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Textual transcripts, open-ended survey comments, interview notes, observational logs.</w:t>
            </w:r>
          </w:p>
        </w:tc>
        <w:tc>
          <w:tcPr>
            <w:tcW w:w="2254" w:type="dxa"/>
          </w:tcPr>
          <w:p w14:paraId="0362E899" w14:textId="25E4DCED"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A dual dataset combining statistical figures alongside descriptive text feedback.</w:t>
            </w:r>
          </w:p>
        </w:tc>
      </w:tr>
      <w:tr w:rsidR="008C3A0B" w14:paraId="37221E98" w14:textId="77777777" w:rsidTr="008C3A0B">
        <w:tc>
          <w:tcPr>
            <w:tcW w:w="2254" w:type="dxa"/>
          </w:tcPr>
          <w:p w14:paraId="07B6EC0A" w14:textId="0C135F70" w:rsidR="008C3A0B" w:rsidRDefault="008C3A0B" w:rsidP="00E10231">
            <w:pPr>
              <w:spacing w:line="360" w:lineRule="auto"/>
              <w:jc w:val="both"/>
              <w:rPr>
                <w:rFonts w:ascii="Arial" w:eastAsia="Arial" w:hAnsi="Arial" w:cs="Arial"/>
                <w:i/>
                <w:iCs/>
                <w:sz w:val="22"/>
                <w:szCs w:val="22"/>
                <w:highlight w:val="yellow"/>
              </w:rPr>
            </w:pPr>
            <w:r w:rsidRPr="008C3A0B">
              <w:rPr>
                <w:rFonts w:ascii="Arial" w:eastAsia="Arial" w:hAnsi="Arial" w:cs="Arial"/>
                <w:i/>
                <w:iCs/>
                <w:sz w:val="22"/>
                <w:szCs w:val="22"/>
              </w:rPr>
              <w:lastRenderedPageBreak/>
              <w:t>Common Tools</w:t>
            </w:r>
          </w:p>
        </w:tc>
        <w:tc>
          <w:tcPr>
            <w:tcW w:w="2254" w:type="dxa"/>
          </w:tcPr>
          <w:p w14:paraId="0F89E020" w14:textId="66521303"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Closed-ended questionnaires, Likert rating scales, laboratory equipment, physical tests.</w:t>
            </w:r>
          </w:p>
        </w:tc>
        <w:tc>
          <w:tcPr>
            <w:tcW w:w="2254" w:type="dxa"/>
          </w:tcPr>
          <w:p w14:paraId="3767F0B6" w14:textId="000BCEE1"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Semi-structured interviews, focus groups, direct observational field notes.</w:t>
            </w:r>
          </w:p>
        </w:tc>
        <w:tc>
          <w:tcPr>
            <w:tcW w:w="2254" w:type="dxa"/>
          </w:tcPr>
          <w:p w14:paraId="298A3BBA" w14:textId="44244AD3"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Combining structured surveys with follow-up focus groups or open-ended written prompts.</w:t>
            </w:r>
          </w:p>
        </w:tc>
      </w:tr>
      <w:tr w:rsidR="008C3A0B" w14:paraId="11B23D79" w14:textId="77777777" w:rsidTr="008C3A0B">
        <w:tc>
          <w:tcPr>
            <w:tcW w:w="2254" w:type="dxa"/>
          </w:tcPr>
          <w:p w14:paraId="32FC86C2" w14:textId="570FC063" w:rsidR="008C3A0B" w:rsidRDefault="004A2A53" w:rsidP="00E10231">
            <w:pPr>
              <w:spacing w:line="360" w:lineRule="auto"/>
              <w:jc w:val="both"/>
              <w:rPr>
                <w:rFonts w:ascii="Arial" w:eastAsia="Arial" w:hAnsi="Arial" w:cs="Arial"/>
                <w:i/>
                <w:iCs/>
                <w:sz w:val="22"/>
                <w:szCs w:val="22"/>
                <w:highlight w:val="yellow"/>
              </w:rPr>
            </w:pPr>
            <w:r w:rsidRPr="004A2A53">
              <w:rPr>
                <w:rFonts w:ascii="Arial" w:eastAsia="Arial" w:hAnsi="Arial" w:cs="Arial"/>
                <w:i/>
                <w:iCs/>
                <w:sz w:val="22"/>
                <w:szCs w:val="22"/>
              </w:rPr>
              <w:t>Data Analysis</w:t>
            </w:r>
          </w:p>
        </w:tc>
        <w:tc>
          <w:tcPr>
            <w:tcW w:w="2254" w:type="dxa"/>
          </w:tcPr>
          <w:p w14:paraId="1CCA9CA4" w14:textId="5C8F7525"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Statistical software (e.g., SPSS), mathematical models, non-parametric tests, trend graphs.</w:t>
            </w:r>
          </w:p>
        </w:tc>
        <w:tc>
          <w:tcPr>
            <w:tcW w:w="2254" w:type="dxa"/>
          </w:tcPr>
          <w:p w14:paraId="23E80317" w14:textId="49C7B373"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Thematic analysis, text coding, framework analysis, narrative interpretation.</w:t>
            </w:r>
          </w:p>
        </w:tc>
        <w:tc>
          <w:tcPr>
            <w:tcW w:w="2254" w:type="dxa"/>
          </w:tcPr>
          <w:p w14:paraId="16CB5616" w14:textId="49C7E1AF"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Merging numerical trends directly with qualitative thematic themes and direct quotes.</w:t>
            </w:r>
          </w:p>
        </w:tc>
      </w:tr>
      <w:tr w:rsidR="008C3A0B" w14:paraId="525966FD" w14:textId="77777777" w:rsidTr="008C3A0B">
        <w:tc>
          <w:tcPr>
            <w:tcW w:w="2254" w:type="dxa"/>
          </w:tcPr>
          <w:p w14:paraId="7DECF643" w14:textId="47CF567C" w:rsidR="008C3A0B" w:rsidRDefault="004A2A53" w:rsidP="00E10231">
            <w:pPr>
              <w:spacing w:line="360" w:lineRule="auto"/>
              <w:jc w:val="both"/>
              <w:rPr>
                <w:rFonts w:ascii="Arial" w:eastAsia="Arial" w:hAnsi="Arial" w:cs="Arial"/>
                <w:i/>
                <w:iCs/>
                <w:sz w:val="22"/>
                <w:szCs w:val="22"/>
                <w:highlight w:val="yellow"/>
              </w:rPr>
            </w:pPr>
            <w:r w:rsidRPr="004A2A53">
              <w:rPr>
                <w:rFonts w:ascii="Arial" w:eastAsia="Arial" w:hAnsi="Arial" w:cs="Arial"/>
                <w:i/>
                <w:iCs/>
                <w:sz w:val="22"/>
                <w:szCs w:val="22"/>
              </w:rPr>
              <w:t>Main Strength</w:t>
            </w:r>
          </w:p>
        </w:tc>
        <w:tc>
          <w:tcPr>
            <w:tcW w:w="2254" w:type="dxa"/>
          </w:tcPr>
          <w:p w14:paraId="06B06819" w14:textId="1B6B8A61"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High generalizability across large sample sizes; provides objective, repeatable measurement.</w:t>
            </w:r>
          </w:p>
        </w:tc>
        <w:tc>
          <w:tcPr>
            <w:tcW w:w="2254" w:type="dxa"/>
          </w:tcPr>
          <w:p w14:paraId="38962F05" w14:textId="335774B7"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Offers deep, contextual understanding of human behavior, emotional responses, and lived experiences.</w:t>
            </w:r>
          </w:p>
        </w:tc>
        <w:tc>
          <w:tcPr>
            <w:tcW w:w="2254" w:type="dxa"/>
          </w:tcPr>
          <w:p w14:paraId="7496A589" w14:textId="1CAD733E" w:rsidR="008C3A0B" w:rsidRDefault="004163CA" w:rsidP="00E10231">
            <w:pPr>
              <w:spacing w:line="360" w:lineRule="auto"/>
              <w:jc w:val="both"/>
              <w:rPr>
                <w:rFonts w:ascii="Arial" w:eastAsia="Arial" w:hAnsi="Arial" w:cs="Arial"/>
                <w:i/>
                <w:iCs/>
                <w:sz w:val="22"/>
                <w:szCs w:val="22"/>
                <w:highlight w:val="yellow"/>
              </w:rPr>
            </w:pPr>
            <w:r w:rsidRPr="004163CA">
              <w:rPr>
                <w:rFonts w:ascii="Arial" w:eastAsia="Arial" w:hAnsi="Arial" w:cs="Arial"/>
                <w:i/>
                <w:iCs/>
                <w:sz w:val="22"/>
                <w:szCs w:val="22"/>
              </w:rPr>
              <w:t>Balances the broad statistical reach of numbers with the nuanced depth of human stories.</w:t>
            </w:r>
          </w:p>
        </w:tc>
      </w:tr>
    </w:tbl>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638F19CE" w14:textId="7F9093E6" w:rsidR="004468F8" w:rsidRDefault="00E10231">
      <w:pPr>
        <w:pStyle w:val="Heading2"/>
        <w:jc w:val="both"/>
      </w:pPr>
      <w:bookmarkStart w:id="7" w:name="_Toc203606118"/>
      <w:r>
        <w:t>3.2 Research</w:t>
      </w:r>
      <w:r w:rsidR="004468F8">
        <w:t xml:space="preserve"> Methodology Used in Your Chosen Paper and Why</w:t>
      </w:r>
      <w:bookmarkEnd w:id="7"/>
    </w:p>
    <w:p w14:paraId="6C5BE704" w14:textId="77777777" w:rsidR="00961BC6" w:rsidRDefault="00B233C0" w:rsidP="007B183E">
      <w:pPr>
        <w:pStyle w:val="NormalWeb"/>
        <w:rPr>
          <w:rStyle w:val="apple-converted-space"/>
          <w:color w:val="000000"/>
        </w:rPr>
      </w:pPr>
      <w:r>
        <w:rPr>
          <w:color w:val="000000"/>
        </w:rPr>
        <w:t xml:space="preserve"> The authors used a mainly quantitative, cross-sectional design, with some qualitative open-ended questions.</w:t>
      </w:r>
      <w:r>
        <w:rPr>
          <w:rStyle w:val="apple-converted-space"/>
          <w:color w:val="000000"/>
        </w:rPr>
        <w:t> </w:t>
      </w:r>
      <w:r>
        <w:rPr>
          <w:color w:val="000000"/>
        </w:rPr>
        <w:t>A cross-sectional study collects data from a target group at one point in time, making it efficient for measuring self-perceived skills across different student groups at once.</w:t>
      </w:r>
      <w:r>
        <w:rPr>
          <w:rStyle w:val="apple-converted-space"/>
          <w:color w:val="000000"/>
        </w:rPr>
        <w:t> </w:t>
      </w:r>
    </w:p>
    <w:p w14:paraId="50013FCE" w14:textId="42706192" w:rsidR="002F2A77" w:rsidRDefault="00B233C0" w:rsidP="007B183E">
      <w:pPr>
        <w:pStyle w:val="NormalWeb"/>
        <w:rPr>
          <w:color w:val="000000"/>
        </w:rPr>
      </w:pPr>
      <w:r>
        <w:rPr>
          <w:color w:val="000000"/>
        </w:rPr>
        <w:t>The researchers chose this approach for three main reasons: - Multi-Domain Numerical Assessment: Measuring self-perceived skills in 13 digital areas needed a standard scoring system.</w:t>
      </w:r>
      <w:r>
        <w:rPr>
          <w:rStyle w:val="apple-converted-space"/>
          <w:color w:val="000000"/>
        </w:rPr>
        <w:t> </w:t>
      </w:r>
      <w:r>
        <w:rPr>
          <w:color w:val="000000"/>
        </w:rPr>
        <w:t xml:space="preserve">Using a 5-point </w:t>
      </w:r>
      <w:proofErr w:type="spellStart"/>
      <w:r>
        <w:rPr>
          <w:color w:val="000000"/>
        </w:rPr>
        <w:t>Likert</w:t>
      </w:r>
      <w:proofErr w:type="spellEnd"/>
      <w:r>
        <w:rPr>
          <w:color w:val="000000"/>
        </w:rPr>
        <w:t xml:space="preserve"> scale (from Level 1: Novice to Level 5: Expert) let the authors turn subjective confidence into structured scores for statistical comparison.</w:t>
      </w:r>
      <w:r>
        <w:rPr>
          <w:rStyle w:val="apple-converted-space"/>
          <w:color w:val="000000"/>
        </w:rPr>
        <w:t> </w:t>
      </w:r>
      <w:r>
        <w:rPr>
          <w:color w:val="000000"/>
        </w:rPr>
        <w:t xml:space="preserve">- Comparative Hypothesis Testing: To check their hypotheses (H_1 and H_2), the authors had to see if skill differences between age groups (like </w:t>
      </w:r>
      <w:proofErr w:type="spellStart"/>
      <w:r>
        <w:rPr>
          <w:color w:val="000000"/>
        </w:rPr>
        <w:t>Gen</w:t>
      </w:r>
      <w:proofErr w:type="spellEnd"/>
      <w:r>
        <w:rPr>
          <w:color w:val="000000"/>
        </w:rPr>
        <w:t xml:space="preserve"> Z vs.</w:t>
      </w:r>
      <w:r>
        <w:rPr>
          <w:rStyle w:val="apple-converted-space"/>
          <w:color w:val="000000"/>
        </w:rPr>
        <w:t> </w:t>
      </w:r>
      <w:r>
        <w:rPr>
          <w:color w:val="000000"/>
        </w:rPr>
        <w:t>older students) and between registration types (pre-registration vs.</w:t>
      </w:r>
      <w:r>
        <w:rPr>
          <w:rStyle w:val="apple-converted-space"/>
          <w:color w:val="000000"/>
        </w:rPr>
        <w:t> </w:t>
      </w:r>
      <w:r>
        <w:rPr>
          <w:color w:val="000000"/>
        </w:rPr>
        <w:t>post-registration) were statistically significant and not just random.</w:t>
      </w:r>
      <w:r>
        <w:rPr>
          <w:rStyle w:val="apple-converted-space"/>
          <w:color w:val="000000"/>
        </w:rPr>
        <w:t> </w:t>
      </w:r>
      <w:r>
        <w:rPr>
          <w:color w:val="000000"/>
        </w:rPr>
        <w:t>- Contextualizing Numerical Findings: Realizing that numbers alone do not fully explain how students learn tech skills, the team added three open-ended questions to the survey.</w:t>
      </w:r>
      <w:r>
        <w:rPr>
          <w:rStyle w:val="apple-converted-space"/>
          <w:color w:val="000000"/>
        </w:rPr>
        <w:t> </w:t>
      </w:r>
      <w:r>
        <w:rPr>
          <w:color w:val="000000"/>
        </w:rPr>
        <w:t>This let participants describe their own learning strategies and daily challenges in their own words</w:t>
      </w:r>
    </w:p>
    <w:p w14:paraId="0E7C2014" w14:textId="2F899DB6" w:rsidR="00BF2BAC" w:rsidRPr="00555FA5" w:rsidRDefault="00A46111" w:rsidP="005442A0">
      <w:pPr>
        <w:pStyle w:val="NormalWeb"/>
        <w:rPr>
          <w:color w:val="215E99" w:themeColor="text2" w:themeTint="BF"/>
          <w:sz w:val="30"/>
          <w:szCs w:val="30"/>
        </w:rPr>
      </w:pPr>
      <w:bookmarkStart w:id="8" w:name="_Toc203606119"/>
      <w:r w:rsidRPr="00555FA5">
        <w:rPr>
          <w:color w:val="215E99" w:themeColor="text2" w:themeTint="BF"/>
          <w:sz w:val="30"/>
          <w:szCs w:val="30"/>
        </w:rPr>
        <w:t xml:space="preserve">3.3 </w:t>
      </w:r>
      <w:r w:rsidR="004468F8" w:rsidRPr="00555FA5">
        <w:rPr>
          <w:color w:val="215E99" w:themeColor="text2" w:themeTint="BF"/>
          <w:sz w:val="30"/>
          <w:szCs w:val="30"/>
        </w:rPr>
        <w:t>Primary and Secondary Data: Definitions, Differences, and Application</w:t>
      </w:r>
      <w:r w:rsidR="001C0AE9" w:rsidRPr="00555FA5">
        <w:rPr>
          <w:color w:val="215E99" w:themeColor="text2" w:themeTint="BF"/>
          <w:sz w:val="30"/>
          <w:szCs w:val="30"/>
        </w:rPr>
        <w:t xml:space="preserve"> </w:t>
      </w:r>
      <w:r w:rsidR="004468F8" w:rsidRPr="00555FA5">
        <w:rPr>
          <w:color w:val="215E99" w:themeColor="text2" w:themeTint="BF"/>
          <w:sz w:val="30"/>
          <w:szCs w:val="30"/>
        </w:rPr>
        <w:t xml:space="preserve">to Your </w:t>
      </w:r>
      <w:bookmarkEnd w:id="8"/>
      <w:r w:rsidR="00BF2BAC" w:rsidRPr="00555FA5">
        <w:rPr>
          <w:color w:val="215E99" w:themeColor="text2" w:themeTint="BF"/>
          <w:sz w:val="30"/>
          <w:szCs w:val="30"/>
        </w:rPr>
        <w:t xml:space="preserve">paper </w:t>
      </w:r>
    </w:p>
    <w:p w14:paraId="492975A5" w14:textId="20E3667E" w:rsidR="00376E62" w:rsidRDefault="005847F9" w:rsidP="005442A0">
      <w:pPr>
        <w:pStyle w:val="NormalWeb"/>
        <w:rPr>
          <w:color w:val="000000"/>
        </w:rPr>
      </w:pPr>
      <w:r>
        <w:rPr>
          <w:color w:val="000000"/>
        </w:rPr>
        <w:lastRenderedPageBreak/>
        <w:t>Understanding the difference between primary and secondary data is important for judging research quality: - Primary Data: This is new information collected directly by researchers from participants for their current study (Johnston, 2014).Examples are original surveys, clinical trials, or focus groups.</w:t>
      </w:r>
      <w:r>
        <w:rPr>
          <w:rStyle w:val="apple-converted-space"/>
          <w:color w:val="000000"/>
        </w:rPr>
        <w:t> </w:t>
      </w:r>
      <w:r>
        <w:rPr>
          <w:color w:val="000000"/>
        </w:rPr>
        <w:t>Primary data is fresh, specific, and tailored to the project, but collecting it takes time, ethics approval, and funding.</w:t>
      </w:r>
      <w:r>
        <w:rPr>
          <w:rStyle w:val="apple-converted-space"/>
          <w:color w:val="000000"/>
        </w:rPr>
        <w:t> </w:t>
      </w:r>
      <w:r>
        <w:rPr>
          <w:color w:val="000000"/>
        </w:rPr>
        <w:t>- Secondary Data: This is information already collected, processed, and published by others, such as researchers, health agencies, or government bodies, for a different purpose (Johnston, 2014).</w:t>
      </w:r>
      <w:r>
        <w:rPr>
          <w:rStyle w:val="apple-converted-space"/>
          <w:color w:val="000000"/>
        </w:rPr>
        <w:t> </w:t>
      </w:r>
      <w:r>
        <w:rPr>
          <w:color w:val="000000"/>
        </w:rPr>
        <w:t>Researchers use this existing data to find new patterns or study broader trends.</w:t>
      </w:r>
      <w:r>
        <w:rPr>
          <w:rStyle w:val="apple-converted-space"/>
          <w:color w:val="000000"/>
        </w:rPr>
        <w:t> </w:t>
      </w:r>
      <w:r>
        <w:rPr>
          <w:color w:val="000000"/>
        </w:rPr>
        <w:t>While secondary research saves time and money, it relies on the quality and methods of the original source.</w:t>
      </w:r>
      <w:r>
        <w:rPr>
          <w:rStyle w:val="apple-converted-space"/>
          <w:color w:val="000000"/>
        </w:rPr>
        <w:t> </w:t>
      </w:r>
      <w:r>
        <w:rPr>
          <w:color w:val="000000"/>
        </w:rPr>
        <w:t xml:space="preserve">Application to the Chosen Paper: </w:t>
      </w:r>
      <w:proofErr w:type="spellStart"/>
      <w:r>
        <w:rPr>
          <w:color w:val="000000"/>
        </w:rPr>
        <w:t>Martzoukou</w:t>
      </w:r>
      <w:proofErr w:type="spellEnd"/>
      <w:r>
        <w:rPr>
          <w:color w:val="000000"/>
        </w:rPr>
        <w:t xml:space="preserve"> et al.</w:t>
      </w:r>
      <w:r>
        <w:rPr>
          <w:rStyle w:val="apple-converted-space"/>
          <w:color w:val="000000"/>
        </w:rPr>
        <w:t> </w:t>
      </w:r>
      <w:r>
        <w:rPr>
          <w:color w:val="000000"/>
        </w:rPr>
        <w:t>(2023) used only primary data collection.</w:t>
      </w:r>
      <w:r>
        <w:rPr>
          <w:rStyle w:val="apple-converted-space"/>
          <w:color w:val="000000"/>
        </w:rPr>
        <w:t> </w:t>
      </w:r>
      <w:r>
        <w:rPr>
          <w:color w:val="000000"/>
        </w:rPr>
        <w:t>They did not reuse university databases or national datasets.</w:t>
      </w:r>
      <w:r>
        <w:rPr>
          <w:rStyle w:val="apple-converted-space"/>
          <w:color w:val="000000"/>
        </w:rPr>
        <w:t> </w:t>
      </w:r>
      <w:r>
        <w:rPr>
          <w:color w:val="000000"/>
        </w:rPr>
        <w:t>Instead, they created and shared their own online questionnaire to collect new data directly from nursing students between November and December 2021.</w:t>
      </w:r>
      <w:r>
        <w:rPr>
          <w:rStyle w:val="apple-converted-space"/>
          <w:color w:val="000000"/>
        </w:rPr>
        <w:t> </w:t>
      </w:r>
      <w:r>
        <w:rPr>
          <w:color w:val="000000"/>
        </w:rPr>
        <w:t>The primary data included demographic details, quantitative confidence ratings across 13 digital areas, and qualitative open-text responses.</w:t>
      </w:r>
      <w:r>
        <w:rPr>
          <w:rStyle w:val="apple-converted-space"/>
          <w:color w:val="000000"/>
        </w:rPr>
        <w:t> </w:t>
      </w:r>
      <w:r>
        <w:rPr>
          <w:color w:val="000000"/>
        </w:rPr>
        <w:t>Data Analysis and Synthesis Methods: - Data Processing: Survey answers were exported into IBM SPSS.</w:t>
      </w:r>
      <w:r>
        <w:rPr>
          <w:rStyle w:val="apple-converted-space"/>
          <w:color w:val="000000"/>
        </w:rPr>
        <w:t> </w:t>
      </w:r>
      <w:r>
        <w:rPr>
          <w:color w:val="000000"/>
        </w:rPr>
        <w:t xml:space="preserve">Since </w:t>
      </w:r>
      <w:proofErr w:type="spellStart"/>
      <w:r>
        <w:rPr>
          <w:color w:val="000000"/>
        </w:rPr>
        <w:t>Likert</w:t>
      </w:r>
      <w:proofErr w:type="spellEnd"/>
      <w:r>
        <w:rPr>
          <w:color w:val="000000"/>
        </w:rPr>
        <w:t xml:space="preserve"> scale data is ordinal and not normally distributed, the authors used non-parametric statistical tests.</w:t>
      </w:r>
      <w:r>
        <w:rPr>
          <w:rStyle w:val="apple-converted-space"/>
          <w:color w:val="000000"/>
        </w:rPr>
        <w:t> </w:t>
      </w:r>
      <w:r>
        <w:rPr>
          <w:color w:val="000000"/>
        </w:rPr>
        <w:t>They used the Mann-Whitney U-test to compare scores between two groups (pre-registration vs.</w:t>
      </w:r>
      <w:r>
        <w:rPr>
          <w:rStyle w:val="apple-converted-space"/>
          <w:color w:val="000000"/>
        </w:rPr>
        <w:t> </w:t>
      </w:r>
      <w:r>
        <w:rPr>
          <w:color w:val="000000"/>
        </w:rPr>
        <w:t xml:space="preserve">post-registration students) and the </w:t>
      </w:r>
      <w:proofErr w:type="spellStart"/>
      <w:r>
        <w:rPr>
          <w:color w:val="000000"/>
        </w:rPr>
        <w:t>Kruskal-Wallis</w:t>
      </w:r>
      <w:proofErr w:type="spellEnd"/>
      <w:r>
        <w:rPr>
          <w:color w:val="000000"/>
        </w:rPr>
        <w:t xml:space="preserve"> H-test to compare scores across several age groups.</w:t>
      </w:r>
      <w:r>
        <w:rPr>
          <w:rStyle w:val="apple-converted-space"/>
          <w:color w:val="000000"/>
        </w:rPr>
        <w:t> </w:t>
      </w:r>
      <w:r>
        <w:rPr>
          <w:color w:val="000000"/>
        </w:rPr>
        <w:t>Statistical significance was set at p &lt; .05.</w:t>
      </w:r>
      <w:r>
        <w:rPr>
          <w:rStyle w:val="apple-converted-space"/>
          <w:color w:val="000000"/>
        </w:rPr>
        <w:t> </w:t>
      </w:r>
      <w:r>
        <w:rPr>
          <w:color w:val="000000"/>
        </w:rPr>
        <w:t xml:space="preserve">- Qualitative </w:t>
      </w:r>
      <w:r w:rsidR="004D230D">
        <w:rPr>
          <w:color w:val="000000"/>
        </w:rPr>
        <w:t>Date</w:t>
      </w:r>
      <w:r w:rsidR="00237C56">
        <w:rPr>
          <w:color w:val="000000"/>
        </w:rPr>
        <w:t xml:space="preserve"> </w:t>
      </w:r>
      <w:r>
        <w:rPr>
          <w:color w:val="000000"/>
        </w:rPr>
        <w:t>Processing: Text responses from the open survey questions were analyzed manually using thematic analysis.</w:t>
      </w:r>
      <w:r>
        <w:rPr>
          <w:rStyle w:val="apple-converted-space"/>
          <w:color w:val="000000"/>
        </w:rPr>
        <w:t> </w:t>
      </w:r>
      <w:r>
        <w:rPr>
          <w:color w:val="000000"/>
        </w:rPr>
        <w:t>The authors coded the text to find recurring patterns, such as students mainly relying on informal trial-and-error learning and a lack of formal university</w:t>
      </w:r>
      <w:r w:rsidR="00595D1A">
        <w:rPr>
          <w:color w:val="000000"/>
        </w:rPr>
        <w:t xml:space="preserve"> </w:t>
      </w:r>
      <w:r w:rsidR="00256DEA">
        <w:rPr>
          <w:color w:val="000000"/>
        </w:rPr>
        <w:t xml:space="preserve">training </w:t>
      </w:r>
      <w:r w:rsidR="006C66EC">
        <w:rPr>
          <w:color w:val="000000"/>
        </w:rPr>
        <w:t xml:space="preserve">in </w:t>
      </w:r>
      <w:r w:rsidR="00052743">
        <w:rPr>
          <w:color w:val="000000"/>
        </w:rPr>
        <w:t xml:space="preserve">these </w:t>
      </w:r>
      <w:r w:rsidR="00487145">
        <w:rPr>
          <w:color w:val="000000"/>
        </w:rPr>
        <w:t xml:space="preserve">key </w:t>
      </w:r>
      <w:r w:rsidR="00763771">
        <w:rPr>
          <w:color w:val="000000"/>
        </w:rPr>
        <w:t>digital areas</w:t>
      </w:r>
      <w:r w:rsidR="0014587C">
        <w:rPr>
          <w:color w:val="000000"/>
        </w:rPr>
        <w:t>.</w:t>
      </w:r>
    </w:p>
    <w:p w14:paraId="5625A96E" w14:textId="77777777" w:rsidR="00530E16" w:rsidRDefault="004468F8">
      <w:pPr>
        <w:pStyle w:val="Heading1"/>
        <w:jc w:val="both"/>
      </w:pPr>
      <w:bookmarkStart w:id="9" w:name="_Toc203606120"/>
      <w:r>
        <w:t>Section 4: Conclusion</w:t>
      </w:r>
      <w:bookmarkEnd w:id="9"/>
    </w:p>
    <w:p w14:paraId="7A183B0C" w14:textId="6D39E358" w:rsidR="00625235" w:rsidRPr="00625235" w:rsidRDefault="00625235" w:rsidP="00625235">
      <w:pPr>
        <w:spacing w:line="360" w:lineRule="auto"/>
        <w:jc w:val="both"/>
        <w:rPr>
          <w:rFonts w:ascii="Arial" w:eastAsia="Arial" w:hAnsi="Arial" w:cs="Arial"/>
          <w:i/>
          <w:iCs/>
          <w:sz w:val="22"/>
          <w:szCs w:val="22"/>
        </w:rPr>
      </w:pPr>
      <w:r w:rsidRPr="00625235">
        <w:rPr>
          <w:rFonts w:ascii="Arial" w:eastAsia="Arial" w:hAnsi="Arial" w:cs="Arial"/>
          <w:i/>
          <w:iCs/>
          <w:sz w:val="22"/>
          <w:szCs w:val="22"/>
        </w:rPr>
        <w:t>.</w:t>
      </w:r>
      <w:r w:rsidR="00E74D5F" w:rsidRPr="00E74D5F">
        <w:rPr>
          <w:color w:val="000000"/>
        </w:rPr>
        <w:t xml:space="preserve"> </w:t>
      </w:r>
      <w:r w:rsidR="00E74D5F">
        <w:rPr>
          <w:color w:val="000000"/>
        </w:rPr>
        <w:t xml:space="preserve">This report reviewed the empirical study by </w:t>
      </w:r>
      <w:proofErr w:type="spellStart"/>
      <w:r w:rsidR="00E74D5F">
        <w:rPr>
          <w:color w:val="000000"/>
        </w:rPr>
        <w:t>Martzoukou</w:t>
      </w:r>
      <w:proofErr w:type="spellEnd"/>
      <w:r w:rsidR="00E74D5F">
        <w:rPr>
          <w:color w:val="000000"/>
        </w:rPr>
        <w:t xml:space="preserve"> et al.</w:t>
      </w:r>
      <w:r w:rsidR="00E74D5F">
        <w:rPr>
          <w:rStyle w:val="apple-converted-space"/>
          <w:color w:val="000000"/>
        </w:rPr>
        <w:t> </w:t>
      </w:r>
      <w:r w:rsidR="00E74D5F">
        <w:rPr>
          <w:color w:val="000000"/>
        </w:rPr>
        <w:t>(2023) on the self-assessed digital literacy skills of UK nursing students.</w:t>
      </w:r>
      <w:r w:rsidR="00E74D5F">
        <w:rPr>
          <w:rStyle w:val="apple-converted-space"/>
          <w:color w:val="000000"/>
        </w:rPr>
        <w:t> </w:t>
      </w:r>
      <w:r w:rsidR="00E74D5F">
        <w:rPr>
          <w:color w:val="000000"/>
        </w:rPr>
        <w:t xml:space="preserve">The main findings show a clear imbalance: nursing students are confident with basic computer use and daily digital communication, but they lack confidence in </w:t>
      </w:r>
      <w:proofErr w:type="spellStart"/>
      <w:r w:rsidR="00E74D5F">
        <w:rPr>
          <w:color w:val="000000"/>
        </w:rPr>
        <w:t>specialized</w:t>
      </w:r>
      <w:proofErr w:type="spellEnd"/>
      <w:r w:rsidR="00E74D5F">
        <w:rPr>
          <w:color w:val="000000"/>
        </w:rPr>
        <w:t xml:space="preserve"> areas like clinical information evaluation, evidence-based digital research, and data protection.</w:t>
      </w:r>
      <w:r w:rsidR="00E74D5F">
        <w:rPr>
          <w:rStyle w:val="apple-converted-space"/>
          <w:color w:val="000000"/>
        </w:rPr>
        <w:t> </w:t>
      </w:r>
      <w:r w:rsidR="00E74D5F">
        <w:rPr>
          <w:color w:val="000000"/>
        </w:rPr>
        <w:t>Also, younger students and pre-registration trainees generally rated their technical confidence higher than older or post-registration students.</w:t>
      </w:r>
      <w:r w:rsidR="00E74D5F">
        <w:rPr>
          <w:rStyle w:val="apple-converted-space"/>
          <w:color w:val="000000"/>
        </w:rPr>
        <w:t> </w:t>
      </w:r>
      <w:r w:rsidR="00E74D5F">
        <w:rPr>
          <w:color w:val="000000"/>
        </w:rPr>
        <w:t>Qualitative feedback showed that most students rely on informal self-learning rather than formal university training.</w:t>
      </w:r>
      <w:r w:rsidR="00E74D5F">
        <w:rPr>
          <w:rStyle w:val="apple-converted-space"/>
          <w:color w:val="000000"/>
        </w:rPr>
        <w:t> </w:t>
      </w:r>
      <w:r w:rsidR="00E74D5F">
        <w:rPr>
          <w:color w:val="000000"/>
        </w:rPr>
        <w:t>Methodologically, this paper shows the value of a quantitative-dominant, cross-sectional design supported by qualitative feedback.</w:t>
      </w:r>
      <w:r w:rsidR="00E74D5F">
        <w:rPr>
          <w:rStyle w:val="apple-converted-space"/>
          <w:color w:val="000000"/>
        </w:rPr>
        <w:t> </w:t>
      </w:r>
      <w:r w:rsidR="00E74D5F">
        <w:rPr>
          <w:color w:val="000000"/>
        </w:rPr>
        <w:t xml:space="preserve">Using </w:t>
      </w:r>
      <w:proofErr w:type="spellStart"/>
      <w:r w:rsidR="00E74D5F">
        <w:rPr>
          <w:color w:val="000000"/>
        </w:rPr>
        <w:t>Likert</w:t>
      </w:r>
      <w:proofErr w:type="spellEnd"/>
      <w:r w:rsidR="00E74D5F">
        <w:rPr>
          <w:color w:val="000000"/>
        </w:rPr>
        <w:t xml:space="preserve"> scales with non-parametric tests helped the researchers spot demographic skill gaps, while open-text answers gave context about student learning habits.</w:t>
      </w:r>
      <w:r w:rsidR="00E74D5F">
        <w:rPr>
          <w:rStyle w:val="apple-converted-space"/>
          <w:color w:val="000000"/>
        </w:rPr>
        <w:t> </w:t>
      </w:r>
      <w:r w:rsidR="00E74D5F">
        <w:rPr>
          <w:color w:val="000000"/>
        </w:rPr>
        <w:t>Studying this paper clarifies the differences between primary and secondary data, and how quantitative and qualitative methods work together in healthcare research.</w:t>
      </w:r>
      <w:r w:rsidR="00E74D5F">
        <w:rPr>
          <w:rStyle w:val="apple-converted-space"/>
          <w:color w:val="000000"/>
        </w:rPr>
        <w:t> </w:t>
      </w:r>
      <w:r w:rsidR="00E74D5F">
        <w:rPr>
          <w:color w:val="000000"/>
        </w:rPr>
        <w:t>Building strong research skills through this analysis is directly useful for future academic and clinical work.</w:t>
      </w:r>
      <w:r w:rsidR="00E74D5F">
        <w:rPr>
          <w:rStyle w:val="apple-converted-space"/>
          <w:color w:val="000000"/>
        </w:rPr>
        <w:t> </w:t>
      </w:r>
      <w:r w:rsidR="00E74D5F">
        <w:rPr>
          <w:color w:val="000000"/>
        </w:rPr>
        <w:t xml:space="preserve">In health and social </w:t>
      </w:r>
      <w:r w:rsidR="00E74D5F">
        <w:rPr>
          <w:color w:val="000000"/>
        </w:rPr>
        <w:lastRenderedPageBreak/>
        <w:t>care, high-quality care should be based on solid evidence, not assumptions.</w:t>
      </w:r>
      <w:r w:rsidR="00E74D5F">
        <w:rPr>
          <w:rStyle w:val="apple-converted-space"/>
          <w:color w:val="000000"/>
        </w:rPr>
        <w:t> </w:t>
      </w:r>
      <w:r w:rsidR="00E74D5F">
        <w:rPr>
          <w:color w:val="000000"/>
        </w:rPr>
        <w:t>Learning to critique research designs, interpret statistics, and spot data limits helps practitioners judge clinical guidelines, support service improvements, and argue for evidence-based actions throughout their careers.</w:t>
      </w:r>
    </w:p>
    <w:p w14:paraId="0204EFC9" w14:textId="77777777" w:rsidR="000F08C6" w:rsidRDefault="004468F8" w:rsidP="00F52086">
      <w:pPr>
        <w:pStyle w:val="Heading1"/>
      </w:pPr>
      <w:bookmarkStart w:id="10" w:name="_Toc203606121"/>
      <w:r>
        <w:t>References</w:t>
      </w:r>
      <w:bookmarkEnd w:id="10"/>
    </w:p>
    <w:p w14:paraId="142B9DAD" w14:textId="14F86A1B" w:rsidR="00DC3D6C" w:rsidRPr="00C42852" w:rsidRDefault="00DC3D6C" w:rsidP="00DC3D6C">
      <w:pPr>
        <w:keepNext/>
        <w:keepLines/>
        <w:spacing w:before="360" w:after="80"/>
        <w:outlineLvl w:val="0"/>
        <w:rPr>
          <w:rFonts w:asciiTheme="majorHAnsi" w:eastAsiaTheme="majorEastAsia" w:hAnsiTheme="majorHAnsi" w:cstheme="majorBidi"/>
          <w:i/>
          <w:iCs/>
          <w:color w:val="0F4761" w:themeColor="accent1" w:themeShade="BF"/>
          <w:sz w:val="26"/>
          <w:szCs w:val="26"/>
        </w:rPr>
      </w:pPr>
      <w:proofErr w:type="spellStart"/>
      <w:r w:rsidRPr="00C42852">
        <w:rPr>
          <w:rFonts w:asciiTheme="majorHAnsi" w:eastAsiaTheme="majorEastAsia" w:hAnsiTheme="majorHAnsi" w:cstheme="majorBidi"/>
          <w:i/>
          <w:iCs/>
          <w:color w:val="000000"/>
          <w:sz w:val="26"/>
          <w:szCs w:val="26"/>
        </w:rPr>
        <w:t>Babbie</w:t>
      </w:r>
      <w:proofErr w:type="spellEnd"/>
      <w:r w:rsidRPr="00C42852">
        <w:rPr>
          <w:rFonts w:asciiTheme="majorHAnsi" w:eastAsiaTheme="majorEastAsia" w:hAnsiTheme="majorHAnsi" w:cstheme="majorBidi"/>
          <w:i/>
          <w:iCs/>
          <w:color w:val="000000"/>
          <w:sz w:val="26"/>
          <w:szCs w:val="26"/>
        </w:rPr>
        <w:t xml:space="preserve">, E.R. (2021) The Practice of Social Research. 15th </w:t>
      </w:r>
      <w:proofErr w:type="spellStart"/>
      <w:r w:rsidRPr="00C42852">
        <w:rPr>
          <w:rFonts w:asciiTheme="majorHAnsi" w:eastAsiaTheme="majorEastAsia" w:hAnsiTheme="majorHAnsi" w:cstheme="majorBidi"/>
          <w:i/>
          <w:iCs/>
          <w:color w:val="000000"/>
          <w:sz w:val="26"/>
          <w:szCs w:val="26"/>
        </w:rPr>
        <w:t>edn</w:t>
      </w:r>
      <w:proofErr w:type="spellEnd"/>
      <w:r w:rsidRPr="00C42852">
        <w:rPr>
          <w:rFonts w:asciiTheme="majorHAnsi" w:eastAsiaTheme="majorEastAsia" w:hAnsiTheme="majorHAnsi" w:cstheme="majorBidi"/>
          <w:i/>
          <w:iCs/>
          <w:color w:val="000000"/>
          <w:sz w:val="26"/>
          <w:szCs w:val="26"/>
        </w:rPr>
        <w:t xml:space="preserve">. Boston: </w:t>
      </w:r>
      <w:proofErr w:type="spellStart"/>
      <w:r w:rsidRPr="00C42852">
        <w:rPr>
          <w:rFonts w:asciiTheme="majorHAnsi" w:eastAsiaTheme="majorEastAsia" w:hAnsiTheme="majorHAnsi" w:cstheme="majorBidi"/>
          <w:i/>
          <w:iCs/>
          <w:color w:val="000000"/>
          <w:sz w:val="26"/>
          <w:szCs w:val="26"/>
        </w:rPr>
        <w:t>Cengage</w:t>
      </w:r>
      <w:proofErr w:type="spellEnd"/>
      <w:r w:rsidRPr="00C42852">
        <w:rPr>
          <w:rFonts w:asciiTheme="majorHAnsi" w:eastAsiaTheme="majorEastAsia" w:hAnsiTheme="majorHAnsi" w:cstheme="majorBidi"/>
          <w:i/>
          <w:iCs/>
          <w:color w:val="000000"/>
          <w:sz w:val="26"/>
          <w:szCs w:val="26"/>
        </w:rPr>
        <w:t xml:space="preserve"> Learning. - </w:t>
      </w:r>
      <w:proofErr w:type="spellStart"/>
      <w:r w:rsidRPr="00C42852">
        <w:rPr>
          <w:rFonts w:asciiTheme="majorHAnsi" w:eastAsiaTheme="majorEastAsia" w:hAnsiTheme="majorHAnsi" w:cstheme="majorBidi"/>
          <w:i/>
          <w:iCs/>
          <w:color w:val="000000"/>
          <w:sz w:val="26"/>
          <w:szCs w:val="26"/>
        </w:rPr>
        <w:t>Creswell</w:t>
      </w:r>
      <w:proofErr w:type="spellEnd"/>
      <w:r w:rsidRPr="00C42852">
        <w:rPr>
          <w:rFonts w:asciiTheme="majorHAnsi" w:eastAsiaTheme="majorEastAsia" w:hAnsiTheme="majorHAnsi" w:cstheme="majorBidi"/>
          <w:i/>
          <w:iCs/>
          <w:color w:val="000000"/>
          <w:sz w:val="26"/>
          <w:szCs w:val="26"/>
        </w:rPr>
        <w:t xml:space="preserve">, J.W. and </w:t>
      </w:r>
      <w:proofErr w:type="spellStart"/>
      <w:r w:rsidRPr="00C42852">
        <w:rPr>
          <w:rFonts w:asciiTheme="majorHAnsi" w:eastAsiaTheme="majorEastAsia" w:hAnsiTheme="majorHAnsi" w:cstheme="majorBidi"/>
          <w:i/>
          <w:iCs/>
          <w:color w:val="000000"/>
          <w:sz w:val="26"/>
          <w:szCs w:val="26"/>
        </w:rPr>
        <w:t>Creswell</w:t>
      </w:r>
      <w:proofErr w:type="spellEnd"/>
      <w:r w:rsidRPr="00C42852">
        <w:rPr>
          <w:rFonts w:asciiTheme="majorHAnsi" w:eastAsiaTheme="majorEastAsia" w:hAnsiTheme="majorHAnsi" w:cstheme="majorBidi"/>
          <w:i/>
          <w:iCs/>
          <w:color w:val="000000"/>
          <w:sz w:val="26"/>
          <w:szCs w:val="26"/>
        </w:rPr>
        <w:t xml:space="preserve">, J.D. (2018) Research Design: Qualitative, Quantitative, and Mixed Methods Approaches. 5th </w:t>
      </w:r>
      <w:proofErr w:type="spellStart"/>
      <w:r w:rsidRPr="00C42852">
        <w:rPr>
          <w:rFonts w:asciiTheme="majorHAnsi" w:eastAsiaTheme="majorEastAsia" w:hAnsiTheme="majorHAnsi" w:cstheme="majorBidi"/>
          <w:i/>
          <w:iCs/>
          <w:color w:val="000000"/>
          <w:sz w:val="26"/>
          <w:szCs w:val="26"/>
        </w:rPr>
        <w:t>edn</w:t>
      </w:r>
      <w:proofErr w:type="spellEnd"/>
      <w:r w:rsidRPr="00C42852">
        <w:rPr>
          <w:rFonts w:asciiTheme="majorHAnsi" w:eastAsiaTheme="majorEastAsia" w:hAnsiTheme="majorHAnsi" w:cstheme="majorBidi"/>
          <w:i/>
          <w:iCs/>
          <w:color w:val="000000"/>
          <w:sz w:val="26"/>
          <w:szCs w:val="26"/>
        </w:rPr>
        <w:t xml:space="preserve">. Thousand Oaks: SAGE Publications. - Department of Health and Social Care (2019) Preparing the Healthcare Workforce for the Digital Future: The </w:t>
      </w:r>
      <w:proofErr w:type="spellStart"/>
      <w:r w:rsidRPr="00C42852">
        <w:rPr>
          <w:rFonts w:asciiTheme="majorHAnsi" w:eastAsiaTheme="majorEastAsia" w:hAnsiTheme="majorHAnsi" w:cstheme="majorBidi"/>
          <w:i/>
          <w:iCs/>
          <w:color w:val="000000"/>
          <w:sz w:val="26"/>
          <w:szCs w:val="26"/>
        </w:rPr>
        <w:t>Topol</w:t>
      </w:r>
      <w:proofErr w:type="spellEnd"/>
      <w:r w:rsidRPr="00C42852">
        <w:rPr>
          <w:rFonts w:asciiTheme="majorHAnsi" w:eastAsiaTheme="majorEastAsia" w:hAnsiTheme="majorHAnsi" w:cstheme="majorBidi"/>
          <w:i/>
          <w:iCs/>
          <w:color w:val="000000"/>
          <w:sz w:val="26"/>
          <w:szCs w:val="26"/>
        </w:rPr>
        <w:t xml:space="preserve"> Review. London: Department of Health and Social Care. - </w:t>
      </w:r>
      <w:proofErr w:type="spellStart"/>
      <w:r w:rsidRPr="00C42852">
        <w:rPr>
          <w:rFonts w:asciiTheme="majorHAnsi" w:eastAsiaTheme="majorEastAsia" w:hAnsiTheme="majorHAnsi" w:cstheme="majorBidi"/>
          <w:i/>
          <w:iCs/>
          <w:color w:val="000000"/>
          <w:sz w:val="26"/>
          <w:szCs w:val="26"/>
        </w:rPr>
        <w:t>Gray</w:t>
      </w:r>
      <w:proofErr w:type="spellEnd"/>
      <w:r w:rsidRPr="00C42852">
        <w:rPr>
          <w:rFonts w:asciiTheme="majorHAnsi" w:eastAsiaTheme="majorEastAsia" w:hAnsiTheme="majorHAnsi" w:cstheme="majorBidi"/>
          <w:i/>
          <w:iCs/>
          <w:color w:val="000000"/>
          <w:sz w:val="26"/>
          <w:szCs w:val="26"/>
        </w:rPr>
        <w:t>, D.E. (202</w:t>
      </w:r>
      <w:r w:rsidR="0080175A">
        <w:rPr>
          <w:rFonts w:asciiTheme="majorHAnsi" w:eastAsiaTheme="majorEastAsia" w:hAnsiTheme="majorHAnsi" w:cstheme="majorBidi"/>
          <w:i/>
          <w:iCs/>
          <w:color w:val="000000"/>
          <w:sz w:val="26"/>
          <w:szCs w:val="26"/>
        </w:rPr>
        <w:t>0</w:t>
      </w:r>
      <w:r w:rsidRPr="00C42852">
        <w:rPr>
          <w:rFonts w:asciiTheme="majorHAnsi" w:eastAsiaTheme="majorEastAsia" w:hAnsiTheme="majorHAnsi" w:cstheme="majorBidi"/>
          <w:i/>
          <w:iCs/>
          <w:color w:val="000000"/>
          <w:sz w:val="26"/>
          <w:szCs w:val="26"/>
        </w:rPr>
        <w:t xml:space="preserve">) Doing Research in the Real World. 5th </w:t>
      </w:r>
      <w:proofErr w:type="spellStart"/>
      <w:r w:rsidRPr="00C42852">
        <w:rPr>
          <w:rFonts w:asciiTheme="majorHAnsi" w:eastAsiaTheme="majorEastAsia" w:hAnsiTheme="majorHAnsi" w:cstheme="majorBidi"/>
          <w:i/>
          <w:iCs/>
          <w:color w:val="000000"/>
          <w:sz w:val="26"/>
          <w:szCs w:val="26"/>
        </w:rPr>
        <w:t>edn</w:t>
      </w:r>
      <w:proofErr w:type="spellEnd"/>
      <w:r w:rsidRPr="00C42852">
        <w:rPr>
          <w:rFonts w:asciiTheme="majorHAnsi" w:eastAsiaTheme="majorEastAsia" w:hAnsiTheme="majorHAnsi" w:cstheme="majorBidi"/>
          <w:i/>
          <w:iCs/>
          <w:color w:val="000000"/>
          <w:sz w:val="26"/>
          <w:szCs w:val="26"/>
        </w:rPr>
        <w:t xml:space="preserve">. London: SAGE Publications. - Johnston, M.P. (2014) 'Secondary data analysis: A method of which the time has come', Qualitative and Quantitative Methods in Libraries, 3(3), pp. 619-626. - </w:t>
      </w:r>
      <w:proofErr w:type="spellStart"/>
      <w:r w:rsidRPr="00C42852">
        <w:rPr>
          <w:rFonts w:asciiTheme="majorHAnsi" w:eastAsiaTheme="majorEastAsia" w:hAnsiTheme="majorHAnsi" w:cstheme="majorBidi"/>
          <w:i/>
          <w:iCs/>
          <w:color w:val="000000"/>
          <w:sz w:val="26"/>
          <w:szCs w:val="26"/>
        </w:rPr>
        <w:t>Martzoukou</w:t>
      </w:r>
      <w:proofErr w:type="spellEnd"/>
      <w:r w:rsidRPr="00C42852">
        <w:rPr>
          <w:rFonts w:asciiTheme="majorHAnsi" w:eastAsiaTheme="majorEastAsia" w:hAnsiTheme="majorHAnsi" w:cstheme="majorBidi"/>
          <w:i/>
          <w:iCs/>
          <w:color w:val="000000"/>
          <w:sz w:val="26"/>
          <w:szCs w:val="26"/>
        </w:rPr>
        <w:t xml:space="preserve">, K., </w:t>
      </w:r>
      <w:proofErr w:type="spellStart"/>
      <w:r w:rsidRPr="00C42852">
        <w:rPr>
          <w:rFonts w:asciiTheme="majorHAnsi" w:eastAsiaTheme="majorEastAsia" w:hAnsiTheme="majorHAnsi" w:cstheme="majorBidi"/>
          <w:i/>
          <w:iCs/>
          <w:color w:val="000000"/>
          <w:sz w:val="26"/>
          <w:szCs w:val="26"/>
        </w:rPr>
        <w:t>Luders</w:t>
      </w:r>
      <w:proofErr w:type="spellEnd"/>
      <w:r w:rsidRPr="00C42852">
        <w:rPr>
          <w:rFonts w:asciiTheme="majorHAnsi" w:eastAsiaTheme="majorEastAsia" w:hAnsiTheme="majorHAnsi" w:cstheme="majorBidi"/>
          <w:i/>
          <w:iCs/>
          <w:color w:val="000000"/>
          <w:sz w:val="26"/>
          <w:szCs w:val="26"/>
        </w:rPr>
        <w:t xml:space="preserve">, E.S., Mair, J., </w:t>
      </w:r>
      <w:proofErr w:type="spellStart"/>
      <w:r w:rsidRPr="00C42852">
        <w:rPr>
          <w:rFonts w:asciiTheme="majorHAnsi" w:eastAsiaTheme="majorEastAsia" w:hAnsiTheme="majorHAnsi" w:cstheme="majorBidi"/>
          <w:i/>
          <w:iCs/>
          <w:color w:val="000000"/>
          <w:sz w:val="26"/>
          <w:szCs w:val="26"/>
        </w:rPr>
        <w:t>Kostagiolas</w:t>
      </w:r>
      <w:proofErr w:type="spellEnd"/>
      <w:r w:rsidRPr="00C42852">
        <w:rPr>
          <w:rFonts w:asciiTheme="majorHAnsi" w:eastAsiaTheme="majorEastAsia" w:hAnsiTheme="majorHAnsi" w:cstheme="majorBidi"/>
          <w:i/>
          <w:iCs/>
          <w:color w:val="000000"/>
          <w:sz w:val="26"/>
          <w:szCs w:val="26"/>
        </w:rPr>
        <w:t>, P., Johnson, N., Work, F. and Fulton, C. (2023) 'A cross-sectional study of discipline-based self-perceived digital literacy competencies of nursing students', Journal of Documentation, 80(1), pp. 143-172. - Royal College of Nursing (202) Every Nurse an E-Nurse: Digital Capabilities in Nursing Practice. London: Royal College of Nursing. 1</w:t>
      </w:r>
    </w:p>
    <w:p w14:paraId="61BC6997" w14:textId="77777777" w:rsidR="00DC3D6C" w:rsidRPr="00DE3322" w:rsidRDefault="00DC3D6C" w:rsidP="00DC3D6C">
      <w:pPr>
        <w:rPr>
          <w:i/>
          <w:iCs/>
        </w:rPr>
      </w:pPr>
    </w:p>
    <w:p w14:paraId="089D232C" w14:textId="4B3DC1F0" w:rsidR="00E10231" w:rsidRPr="00210D5A" w:rsidRDefault="0000121A" w:rsidP="00577D7B">
      <w:pPr>
        <w:pStyle w:val="Heading1"/>
        <w:rPr>
          <w:rFonts w:ascii="Arial" w:eastAsia="Arial" w:hAnsi="Arial" w:cs="Arial"/>
          <w:i/>
          <w:iCs/>
          <w:sz w:val="22"/>
          <w:szCs w:val="22"/>
        </w:rPr>
      </w:pPr>
      <w:r>
        <w:rPr>
          <w:color w:val="000000"/>
        </w:rPr>
        <w:t xml:space="preserve"> </w:t>
      </w: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272799" w14:textId="77777777" w:rsidR="00B455FC" w:rsidRDefault="00B455FC" w:rsidP="002A1842">
      <w:pPr>
        <w:spacing w:after="0" w:line="240" w:lineRule="auto"/>
      </w:pPr>
      <w:r>
        <w:separator/>
      </w:r>
    </w:p>
  </w:endnote>
  <w:endnote w:type="continuationSeparator" w:id="0">
    <w:p w14:paraId="5EA54822" w14:textId="77777777" w:rsidR="00B455FC" w:rsidRDefault="00B455F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99045C" w14:textId="77777777" w:rsidR="00B455FC" w:rsidRDefault="00B455FC" w:rsidP="002A1842">
      <w:pPr>
        <w:spacing w:after="0" w:line="240" w:lineRule="auto"/>
      </w:pPr>
      <w:r>
        <w:separator/>
      </w:r>
    </w:p>
  </w:footnote>
  <w:footnote w:type="continuationSeparator" w:id="0">
    <w:p w14:paraId="5C77E42F" w14:textId="77777777" w:rsidR="00B455FC" w:rsidRDefault="00B455FC"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21A"/>
    <w:rsid w:val="00015F3F"/>
    <w:rsid w:val="00052743"/>
    <w:rsid w:val="00052EB8"/>
    <w:rsid w:val="00077983"/>
    <w:rsid w:val="000A5CFA"/>
    <w:rsid w:val="000E44D4"/>
    <w:rsid w:val="000F08C6"/>
    <w:rsid w:val="000F3A79"/>
    <w:rsid w:val="000F564E"/>
    <w:rsid w:val="00127B7C"/>
    <w:rsid w:val="00132929"/>
    <w:rsid w:val="0014587C"/>
    <w:rsid w:val="00147644"/>
    <w:rsid w:val="00153DAB"/>
    <w:rsid w:val="00172AD1"/>
    <w:rsid w:val="001813E7"/>
    <w:rsid w:val="0018160C"/>
    <w:rsid w:val="00185DD1"/>
    <w:rsid w:val="001873B5"/>
    <w:rsid w:val="00191B38"/>
    <w:rsid w:val="0019481E"/>
    <w:rsid w:val="00195404"/>
    <w:rsid w:val="001A224F"/>
    <w:rsid w:val="001C0AE9"/>
    <w:rsid w:val="001C3590"/>
    <w:rsid w:val="001E7E6C"/>
    <w:rsid w:val="00207727"/>
    <w:rsid w:val="00210D5A"/>
    <w:rsid w:val="0021583C"/>
    <w:rsid w:val="00222444"/>
    <w:rsid w:val="0023241F"/>
    <w:rsid w:val="00237C56"/>
    <w:rsid w:val="00256DEA"/>
    <w:rsid w:val="0027474C"/>
    <w:rsid w:val="002A1842"/>
    <w:rsid w:val="002A46BB"/>
    <w:rsid w:val="002A7AB6"/>
    <w:rsid w:val="002C416D"/>
    <w:rsid w:val="002D6D0E"/>
    <w:rsid w:val="002F2A77"/>
    <w:rsid w:val="002F6A14"/>
    <w:rsid w:val="00307E5D"/>
    <w:rsid w:val="00322D76"/>
    <w:rsid w:val="00335244"/>
    <w:rsid w:val="00367839"/>
    <w:rsid w:val="00371F92"/>
    <w:rsid w:val="00376E62"/>
    <w:rsid w:val="003855BB"/>
    <w:rsid w:val="00390386"/>
    <w:rsid w:val="003909D5"/>
    <w:rsid w:val="0039658B"/>
    <w:rsid w:val="003B1882"/>
    <w:rsid w:val="003E19E1"/>
    <w:rsid w:val="003E4CDF"/>
    <w:rsid w:val="00405BDF"/>
    <w:rsid w:val="004163CA"/>
    <w:rsid w:val="004271C1"/>
    <w:rsid w:val="004323E3"/>
    <w:rsid w:val="0043358C"/>
    <w:rsid w:val="004468F8"/>
    <w:rsid w:val="00463E2E"/>
    <w:rsid w:val="00476AE9"/>
    <w:rsid w:val="00487145"/>
    <w:rsid w:val="00487818"/>
    <w:rsid w:val="004A2A53"/>
    <w:rsid w:val="004A3960"/>
    <w:rsid w:val="004A7179"/>
    <w:rsid w:val="004B2900"/>
    <w:rsid w:val="004D230D"/>
    <w:rsid w:val="004D4CA4"/>
    <w:rsid w:val="004F4A45"/>
    <w:rsid w:val="00501D44"/>
    <w:rsid w:val="00516457"/>
    <w:rsid w:val="00530E16"/>
    <w:rsid w:val="005442A0"/>
    <w:rsid w:val="0054497A"/>
    <w:rsid w:val="00544ABD"/>
    <w:rsid w:val="00555FA5"/>
    <w:rsid w:val="00577D7B"/>
    <w:rsid w:val="005840A5"/>
    <w:rsid w:val="005847F9"/>
    <w:rsid w:val="00595D1A"/>
    <w:rsid w:val="005D4222"/>
    <w:rsid w:val="00612DCF"/>
    <w:rsid w:val="0061531F"/>
    <w:rsid w:val="00615EA9"/>
    <w:rsid w:val="00625235"/>
    <w:rsid w:val="006255EE"/>
    <w:rsid w:val="006352F8"/>
    <w:rsid w:val="00644DDF"/>
    <w:rsid w:val="00653D29"/>
    <w:rsid w:val="006651F4"/>
    <w:rsid w:val="0067250F"/>
    <w:rsid w:val="00693984"/>
    <w:rsid w:val="006A5329"/>
    <w:rsid w:val="006A6A49"/>
    <w:rsid w:val="006B146B"/>
    <w:rsid w:val="006C66EC"/>
    <w:rsid w:val="00705BAB"/>
    <w:rsid w:val="00711E31"/>
    <w:rsid w:val="00722EFE"/>
    <w:rsid w:val="00725C6A"/>
    <w:rsid w:val="00744553"/>
    <w:rsid w:val="007532AC"/>
    <w:rsid w:val="00755BDB"/>
    <w:rsid w:val="00763771"/>
    <w:rsid w:val="00763C49"/>
    <w:rsid w:val="0078403A"/>
    <w:rsid w:val="007A2630"/>
    <w:rsid w:val="007A787F"/>
    <w:rsid w:val="007B183E"/>
    <w:rsid w:val="007C09FB"/>
    <w:rsid w:val="007C0B82"/>
    <w:rsid w:val="007D6720"/>
    <w:rsid w:val="007E452D"/>
    <w:rsid w:val="0080175A"/>
    <w:rsid w:val="00804E70"/>
    <w:rsid w:val="00814FDF"/>
    <w:rsid w:val="00817079"/>
    <w:rsid w:val="008209AC"/>
    <w:rsid w:val="00824F60"/>
    <w:rsid w:val="00825ABD"/>
    <w:rsid w:val="00835358"/>
    <w:rsid w:val="00853A4C"/>
    <w:rsid w:val="00857503"/>
    <w:rsid w:val="0088328E"/>
    <w:rsid w:val="0088437B"/>
    <w:rsid w:val="008865E1"/>
    <w:rsid w:val="008B4528"/>
    <w:rsid w:val="008C100D"/>
    <w:rsid w:val="008C3A0B"/>
    <w:rsid w:val="00934035"/>
    <w:rsid w:val="009446E9"/>
    <w:rsid w:val="009503BE"/>
    <w:rsid w:val="00950AE7"/>
    <w:rsid w:val="00954C0C"/>
    <w:rsid w:val="00961BC6"/>
    <w:rsid w:val="009676B7"/>
    <w:rsid w:val="009853ED"/>
    <w:rsid w:val="00987EF8"/>
    <w:rsid w:val="009A40C0"/>
    <w:rsid w:val="009B7805"/>
    <w:rsid w:val="009C7A19"/>
    <w:rsid w:val="009E5AA6"/>
    <w:rsid w:val="00A017C7"/>
    <w:rsid w:val="00A10496"/>
    <w:rsid w:val="00A27E39"/>
    <w:rsid w:val="00A319BD"/>
    <w:rsid w:val="00A436CE"/>
    <w:rsid w:val="00A46111"/>
    <w:rsid w:val="00A53192"/>
    <w:rsid w:val="00A548FE"/>
    <w:rsid w:val="00A55335"/>
    <w:rsid w:val="00A75B15"/>
    <w:rsid w:val="00A90CC3"/>
    <w:rsid w:val="00A94109"/>
    <w:rsid w:val="00AB25CA"/>
    <w:rsid w:val="00AB501C"/>
    <w:rsid w:val="00AD468F"/>
    <w:rsid w:val="00AE06EA"/>
    <w:rsid w:val="00B072B4"/>
    <w:rsid w:val="00B11961"/>
    <w:rsid w:val="00B233C0"/>
    <w:rsid w:val="00B27D4C"/>
    <w:rsid w:val="00B455FC"/>
    <w:rsid w:val="00B502C4"/>
    <w:rsid w:val="00B51F34"/>
    <w:rsid w:val="00B64D49"/>
    <w:rsid w:val="00BA28A2"/>
    <w:rsid w:val="00BC1013"/>
    <w:rsid w:val="00BF1A9A"/>
    <w:rsid w:val="00BF2BAC"/>
    <w:rsid w:val="00C3295C"/>
    <w:rsid w:val="00C42852"/>
    <w:rsid w:val="00C87E2E"/>
    <w:rsid w:val="00C94471"/>
    <w:rsid w:val="00CA19F6"/>
    <w:rsid w:val="00CB25EC"/>
    <w:rsid w:val="00CD773B"/>
    <w:rsid w:val="00CF3890"/>
    <w:rsid w:val="00CF650B"/>
    <w:rsid w:val="00D94128"/>
    <w:rsid w:val="00DB1B4C"/>
    <w:rsid w:val="00DC3D6C"/>
    <w:rsid w:val="00DC55BF"/>
    <w:rsid w:val="00DD5518"/>
    <w:rsid w:val="00DE3322"/>
    <w:rsid w:val="00E10231"/>
    <w:rsid w:val="00E11881"/>
    <w:rsid w:val="00E22174"/>
    <w:rsid w:val="00E362A9"/>
    <w:rsid w:val="00E51B89"/>
    <w:rsid w:val="00E64C66"/>
    <w:rsid w:val="00E74D5F"/>
    <w:rsid w:val="00E87960"/>
    <w:rsid w:val="00E979FB"/>
    <w:rsid w:val="00EA1031"/>
    <w:rsid w:val="00EB3824"/>
    <w:rsid w:val="00EE2350"/>
    <w:rsid w:val="00EE23E8"/>
    <w:rsid w:val="00EE65D3"/>
    <w:rsid w:val="00F00316"/>
    <w:rsid w:val="00F00AF9"/>
    <w:rsid w:val="00F02396"/>
    <w:rsid w:val="00F12852"/>
    <w:rsid w:val="00F22006"/>
    <w:rsid w:val="00F26196"/>
    <w:rsid w:val="00F33EA6"/>
    <w:rsid w:val="00F4446C"/>
    <w:rsid w:val="00F52086"/>
    <w:rsid w:val="00F618F2"/>
    <w:rsid w:val="00F65E7F"/>
    <w:rsid w:val="00F7298C"/>
    <w:rsid w:val="00F819D2"/>
    <w:rsid w:val="00FD4C55"/>
    <w:rsid w:val="00FE31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table" w:styleId="TableGrid">
    <w:name w:val="Table Grid"/>
    <w:basedOn w:val="TableNormal"/>
    <w:uiPriority w:val="39"/>
    <w:rsid w:val="008C3A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11961"/>
    <w:pPr>
      <w:spacing w:before="100" w:beforeAutospacing="1" w:after="100" w:afterAutospacing="1" w:line="240" w:lineRule="auto"/>
    </w:pPr>
    <w:rPr>
      <w:rFonts w:ascii="Times New Roman" w:eastAsiaTheme="minorEastAsia" w:hAnsi="Times New Roman" w:cs="Times New Roman"/>
      <w:lang w:val="en-US" w:eastAsia="en-US"/>
    </w:rPr>
  </w:style>
  <w:style w:type="character" w:customStyle="1" w:styleId="apple-converted-space">
    <w:name w:val="apple-converted-space"/>
    <w:basedOn w:val="DefaultParagraphFont"/>
    <w:rsid w:val="00B11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9</Pages>
  <Words>2134</Words>
  <Characters>12169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447832462967</cp:lastModifiedBy>
  <cp:revision>188</cp:revision>
  <dcterms:created xsi:type="dcterms:W3CDTF">2026-08-28T21:11:00Z</dcterms:created>
  <dcterms:modified xsi:type="dcterms:W3CDTF">2026-08-31T06:10:00Z</dcterms:modified>
</cp:coreProperties>
</file>