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4D5B81">
        <w:t xml:space="preserve"> Yes, the ping was successful for PC-A and PC-B</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rsidR="00032A8D" w:rsidRDefault="00032A8D" w:rsidP="007E4AD9">
      <w:pPr>
        <w:pStyle w:val="CMD"/>
      </w:pPr>
      <w:r>
        <w:t>S1(config-</w:t>
      </w:r>
      <w:proofErr w:type="gramStart"/>
      <w:r>
        <w:t>line)#</w:t>
      </w:r>
      <w:proofErr w:type="gramEnd"/>
      <w:r>
        <w:t xml:space="preserve"> </w:t>
      </w:r>
      <w:r w:rsidRPr="00032A8D">
        <w:rPr>
          <w:b/>
        </w:rPr>
        <w:t>login</w:t>
      </w:r>
    </w:p>
    <w:p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w:t>
      </w:r>
      <w:proofErr w:type="gramStart"/>
      <w:r>
        <w:t>other</w:t>
      </w:r>
      <w:proofErr w:type="gramEnd"/>
      <w:r>
        <w:t xml:space="preserve">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B64B09" w:rsidP="00321541">
            <w:pPr>
              <w:pStyle w:val="TableText"/>
              <w:rPr>
                <w:rStyle w:val="AnswerGray"/>
              </w:rPr>
            </w:pPr>
            <w:r>
              <w:rPr>
                <w:rStyle w:val="AnswerGray"/>
              </w:rPr>
              <w:t>Up</w:t>
            </w:r>
          </w:p>
        </w:tc>
        <w:tc>
          <w:tcPr>
            <w:tcW w:w="1978" w:type="dxa"/>
            <w:vAlign w:val="bottom"/>
          </w:tcPr>
          <w:p w:rsidR="00A3456B" w:rsidRPr="00D15466" w:rsidRDefault="00B64B09" w:rsidP="00321541">
            <w:pPr>
              <w:pStyle w:val="TableText"/>
              <w:rPr>
                <w:rStyle w:val="AnswerGray"/>
              </w:rPr>
            </w:pPr>
            <w:r>
              <w:rPr>
                <w:rStyle w:val="AnswerGray"/>
              </w:rPr>
              <w:t>Up</w:t>
            </w:r>
          </w:p>
        </w:tc>
        <w:tc>
          <w:tcPr>
            <w:tcW w:w="1989" w:type="dxa"/>
            <w:vAlign w:val="bottom"/>
          </w:tcPr>
          <w:p w:rsidR="00A3456B" w:rsidRPr="00D15466" w:rsidRDefault="00B64B09" w:rsidP="00321541">
            <w:pPr>
              <w:pStyle w:val="TableText"/>
              <w:rPr>
                <w:rStyle w:val="AnswerGray"/>
              </w:rPr>
            </w:pPr>
            <w:r>
              <w:rPr>
                <w:rStyle w:val="AnswerGray"/>
              </w:rPr>
              <w:t>Up</w:t>
            </w:r>
          </w:p>
        </w:tc>
        <w:tc>
          <w:tcPr>
            <w:tcW w:w="1979" w:type="dxa"/>
            <w:vAlign w:val="bottom"/>
          </w:tcPr>
          <w:p w:rsidR="00A3456B" w:rsidRPr="00D15466" w:rsidRDefault="00B64B09"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B64B09" w:rsidP="00A3456B">
            <w:pPr>
              <w:pStyle w:val="TableText"/>
              <w:rPr>
                <w:rStyle w:val="AnswerGray"/>
              </w:rPr>
            </w:pPr>
            <w:r>
              <w:rPr>
                <w:rStyle w:val="AnswerGray"/>
              </w:rPr>
              <w:t>Up</w:t>
            </w:r>
          </w:p>
        </w:tc>
        <w:tc>
          <w:tcPr>
            <w:tcW w:w="1978" w:type="dxa"/>
            <w:vAlign w:val="bottom"/>
          </w:tcPr>
          <w:p w:rsidR="00A3456B" w:rsidRPr="00D15466" w:rsidRDefault="00B64B09" w:rsidP="00A3456B">
            <w:pPr>
              <w:pStyle w:val="TableText"/>
              <w:rPr>
                <w:rStyle w:val="AnswerGray"/>
              </w:rPr>
            </w:pPr>
            <w:r>
              <w:rPr>
                <w:rStyle w:val="AnswerGray"/>
              </w:rPr>
              <w:t>Up</w:t>
            </w:r>
          </w:p>
        </w:tc>
        <w:tc>
          <w:tcPr>
            <w:tcW w:w="1989" w:type="dxa"/>
            <w:vAlign w:val="bottom"/>
          </w:tcPr>
          <w:p w:rsidR="00A3456B" w:rsidRPr="00D15466" w:rsidRDefault="00B64B09" w:rsidP="00A3456B">
            <w:pPr>
              <w:pStyle w:val="TableText"/>
              <w:rPr>
                <w:rStyle w:val="AnswerGray"/>
              </w:rPr>
            </w:pPr>
            <w:r>
              <w:rPr>
                <w:rStyle w:val="AnswerGray"/>
              </w:rPr>
              <w:t>Down</w:t>
            </w:r>
          </w:p>
        </w:tc>
        <w:tc>
          <w:tcPr>
            <w:tcW w:w="1979" w:type="dxa"/>
            <w:vAlign w:val="bottom"/>
          </w:tcPr>
          <w:p w:rsidR="00A3456B" w:rsidRPr="00D15466" w:rsidRDefault="00B64B09"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B64B09" w:rsidP="00A3456B">
            <w:pPr>
              <w:pStyle w:val="TableText"/>
              <w:rPr>
                <w:rStyle w:val="AnswerGray"/>
              </w:rPr>
            </w:pPr>
            <w:r>
              <w:rPr>
                <w:rStyle w:val="AnswerGray"/>
              </w:rPr>
              <w:t>Down</w:t>
            </w:r>
          </w:p>
        </w:tc>
        <w:tc>
          <w:tcPr>
            <w:tcW w:w="1978" w:type="dxa"/>
            <w:vAlign w:val="bottom"/>
          </w:tcPr>
          <w:p w:rsidR="00A3456B" w:rsidRPr="00D15466" w:rsidRDefault="00B64B09" w:rsidP="00A3456B">
            <w:pPr>
              <w:pStyle w:val="TableText"/>
              <w:rPr>
                <w:rStyle w:val="AnswerGray"/>
              </w:rPr>
            </w:pPr>
            <w:r>
              <w:rPr>
                <w:rStyle w:val="AnswerGray"/>
              </w:rPr>
              <w:t>Down</w:t>
            </w:r>
          </w:p>
        </w:tc>
        <w:tc>
          <w:tcPr>
            <w:tcW w:w="1989" w:type="dxa"/>
            <w:vAlign w:val="bottom"/>
          </w:tcPr>
          <w:p w:rsidR="00A3456B" w:rsidRPr="00D15466" w:rsidRDefault="00B64B09" w:rsidP="00A3456B">
            <w:pPr>
              <w:pStyle w:val="TableText"/>
              <w:rPr>
                <w:rStyle w:val="AnswerGray"/>
              </w:rPr>
            </w:pPr>
            <w:r>
              <w:rPr>
                <w:rStyle w:val="AnswerGray"/>
              </w:rPr>
              <w:t>Up</w:t>
            </w:r>
          </w:p>
        </w:tc>
        <w:tc>
          <w:tcPr>
            <w:tcW w:w="1979" w:type="dxa"/>
            <w:vAlign w:val="bottom"/>
          </w:tcPr>
          <w:p w:rsidR="00A3456B" w:rsidRPr="00D15466" w:rsidRDefault="00B64B09" w:rsidP="00A3456B">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B64B09" w:rsidP="00A3456B">
            <w:pPr>
              <w:pStyle w:val="TableText"/>
              <w:rPr>
                <w:rStyle w:val="AnswerGray"/>
              </w:rPr>
            </w:pPr>
            <w:r>
              <w:rPr>
                <w:rStyle w:val="AnswerGray"/>
              </w:rPr>
              <w:t>Down</w:t>
            </w:r>
          </w:p>
        </w:tc>
        <w:tc>
          <w:tcPr>
            <w:tcW w:w="1978" w:type="dxa"/>
            <w:vAlign w:val="bottom"/>
          </w:tcPr>
          <w:p w:rsidR="00A3456B" w:rsidRPr="00D15466" w:rsidRDefault="00B64B09" w:rsidP="00A3456B">
            <w:pPr>
              <w:pStyle w:val="TableText"/>
              <w:rPr>
                <w:rStyle w:val="AnswerGray"/>
              </w:rPr>
            </w:pPr>
            <w:r>
              <w:rPr>
                <w:rStyle w:val="AnswerGray"/>
              </w:rPr>
              <w:t>Administratively</w:t>
            </w:r>
          </w:p>
        </w:tc>
        <w:tc>
          <w:tcPr>
            <w:tcW w:w="1989" w:type="dxa"/>
            <w:vAlign w:val="bottom"/>
          </w:tcPr>
          <w:p w:rsidR="00A3456B" w:rsidRPr="00D15466" w:rsidRDefault="00B64B09" w:rsidP="00A3456B">
            <w:pPr>
              <w:pStyle w:val="TableText"/>
              <w:rPr>
                <w:rStyle w:val="AnswerGray"/>
              </w:rPr>
            </w:pPr>
            <w:r>
              <w:rPr>
                <w:rStyle w:val="AnswerGray"/>
              </w:rPr>
              <w:t>Down</w:t>
            </w:r>
          </w:p>
        </w:tc>
        <w:tc>
          <w:tcPr>
            <w:tcW w:w="1979" w:type="dxa"/>
            <w:vAlign w:val="bottom"/>
          </w:tcPr>
          <w:p w:rsidR="00A3456B" w:rsidRPr="00D15466" w:rsidRDefault="00B64B09" w:rsidP="00A3456B">
            <w:pPr>
              <w:pStyle w:val="TableText"/>
              <w:rPr>
                <w:rStyle w:val="AnswerGray"/>
              </w:rPr>
            </w:pPr>
            <w:r>
              <w:rPr>
                <w:rStyle w:val="AnswerGray"/>
              </w:rPr>
              <w:t>Administratively</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2C1741" w:rsidRDefault="00B64B09" w:rsidP="00342AC4">
      <w:pPr>
        <w:pStyle w:val="BodyTextL25"/>
      </w:pPr>
      <w:r>
        <w:t xml:space="preserve">The ports on the switched will be down unless there is a cable connected to them. </w:t>
      </w:r>
      <w:r w:rsidR="00837D16">
        <w:t>Ports can also be switched to down by an administrator.</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837D16" w:rsidRDefault="00837D16" w:rsidP="00A6354E">
      <w:pPr>
        <w:pStyle w:val="BodyTextL25"/>
      </w:pPr>
      <w:r>
        <w:t>A ping can be prevented by incorrect IP address entry, the switch being powered off, ports being administratively set to down or a firewall being used on the network.</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837D16" w:rsidRDefault="00837D16" w:rsidP="00D56426">
      <w:pPr>
        <w:pStyle w:val="CMDOutput"/>
        <w:ind w:left="0"/>
        <w:rPr>
          <w:rFonts w:ascii="Arial" w:hAnsi="Arial" w:cs="Arial"/>
          <w:color w:val="FF0000"/>
          <w:sz w:val="22"/>
        </w:rPr>
      </w:pPr>
      <w:r>
        <w:rPr>
          <w:rFonts w:ascii="Arial" w:hAnsi="Arial" w:cs="Arial"/>
          <w:color w:val="FF0000"/>
          <w:sz w:val="22"/>
        </w:rPr>
        <w:t>In this activity, I learned how to configure a switch and how to configure IP addressing on an end device. I also learned how to use the ping command to test the connectivity between two end devices.</w:t>
      </w:r>
    </w:p>
    <w:p w:rsidR="00E0437B" w:rsidRDefault="00E0437B" w:rsidP="00D56426">
      <w:pPr>
        <w:pStyle w:val="CMDOutput"/>
        <w:ind w:left="0"/>
        <w:rPr>
          <w:rFonts w:ascii="Arial" w:hAnsi="Arial" w:cs="Arial"/>
          <w:color w:val="FF0000"/>
          <w:sz w:val="22"/>
        </w:rPr>
      </w:pPr>
    </w:p>
    <w:p w:rsidR="00E0437B" w:rsidRDefault="00E0437B" w:rsidP="00D56426">
      <w:pPr>
        <w:pStyle w:val="CMDOutput"/>
        <w:ind w:left="0"/>
        <w:rPr>
          <w:rFonts w:ascii="Arial" w:hAnsi="Arial" w:cs="Arial"/>
          <w:color w:val="FF0000"/>
          <w:sz w:val="22"/>
        </w:rPr>
      </w:pPr>
      <w:r>
        <w:rPr>
          <w:rFonts w:ascii="Arial" w:hAnsi="Arial" w:cs="Arial"/>
          <w:color w:val="FF0000"/>
          <w:sz w:val="22"/>
        </w:rPr>
        <w:t>I learned that similar devices should be connected using a straight-through cable, and different devices should be connected via a crossover cable.</w:t>
      </w:r>
    </w:p>
    <w:p w:rsidR="00837D16" w:rsidRDefault="00837D16" w:rsidP="00D56426">
      <w:pPr>
        <w:pStyle w:val="CMDOutput"/>
        <w:ind w:left="0"/>
        <w:rPr>
          <w:rFonts w:ascii="Arial" w:hAnsi="Arial" w:cs="Arial"/>
          <w:color w:val="FF0000"/>
          <w:sz w:val="22"/>
        </w:rPr>
      </w:pPr>
    </w:p>
    <w:p w:rsidR="00837D16" w:rsidRDefault="00837D16" w:rsidP="00D56426">
      <w:pPr>
        <w:pStyle w:val="CMDOutput"/>
        <w:ind w:left="0"/>
        <w:rPr>
          <w:rFonts w:ascii="Arial" w:hAnsi="Arial" w:cs="Arial"/>
          <w:color w:val="FF0000"/>
          <w:sz w:val="22"/>
        </w:rPr>
      </w:pPr>
      <w:r>
        <w:rPr>
          <w:rFonts w:ascii="Arial" w:hAnsi="Arial" w:cs="Arial"/>
          <w:color w:val="FF0000"/>
          <w:sz w:val="22"/>
        </w:rPr>
        <w:t>I also learned some basic CLI commands to be able to set up a switch, including how to secure the switch</w:t>
      </w:r>
      <w:r w:rsidR="00E0437B">
        <w:rPr>
          <w:rFonts w:ascii="Arial" w:hAnsi="Arial" w:cs="Arial"/>
          <w:color w:val="FF0000"/>
          <w:sz w:val="22"/>
        </w:rPr>
        <w:t xml:space="preserve"> </w:t>
      </w:r>
      <w:r w:rsidR="00A16B29">
        <w:rPr>
          <w:rFonts w:ascii="Arial" w:hAnsi="Arial" w:cs="Arial"/>
          <w:color w:val="FF0000"/>
          <w:sz w:val="22"/>
        </w:rPr>
        <w:t>using the ‘</w:t>
      </w:r>
      <w:r w:rsidR="00E0437B">
        <w:rPr>
          <w:rFonts w:ascii="Arial" w:hAnsi="Arial" w:cs="Arial"/>
          <w:color w:val="FF0000"/>
          <w:sz w:val="22"/>
        </w:rPr>
        <w:t>password</w:t>
      </w:r>
      <w:r w:rsidR="00A16B29">
        <w:rPr>
          <w:rFonts w:ascii="Arial" w:hAnsi="Arial" w:cs="Arial"/>
          <w:color w:val="FF0000"/>
          <w:sz w:val="22"/>
        </w:rPr>
        <w:t xml:space="preserve">’ and ‘enable </w:t>
      </w:r>
      <w:r w:rsidR="00E0437B">
        <w:rPr>
          <w:rFonts w:ascii="Arial" w:hAnsi="Arial" w:cs="Arial"/>
          <w:color w:val="FF0000"/>
          <w:sz w:val="22"/>
        </w:rPr>
        <w:t>secret</w:t>
      </w:r>
      <w:r w:rsidR="00A16B29">
        <w:rPr>
          <w:rFonts w:ascii="Arial" w:hAnsi="Arial" w:cs="Arial"/>
          <w:color w:val="FF0000"/>
          <w:sz w:val="22"/>
        </w:rPr>
        <w:t>’</w:t>
      </w:r>
      <w:r>
        <w:rPr>
          <w:rFonts w:ascii="Arial" w:hAnsi="Arial" w:cs="Arial"/>
          <w:color w:val="FF0000"/>
          <w:sz w:val="22"/>
        </w:rPr>
        <w:t>, both through a regular password and a secret encrypted password</w:t>
      </w:r>
      <w:r w:rsidR="00A16B29">
        <w:rPr>
          <w:rFonts w:ascii="Arial" w:hAnsi="Arial" w:cs="Arial"/>
          <w:color w:val="FF0000"/>
          <w:sz w:val="22"/>
        </w:rPr>
        <w:t xml:space="preserve"> respectively</w:t>
      </w:r>
      <w:r w:rsidR="00E0437B">
        <w:rPr>
          <w:rFonts w:ascii="Arial" w:hAnsi="Arial" w:cs="Arial"/>
          <w:color w:val="FF0000"/>
          <w:sz w:val="22"/>
        </w:rPr>
        <w:t xml:space="preserve">, as well as stopping unwanted DNS lookups, using the ‘no </w:t>
      </w:r>
      <w:proofErr w:type="spellStart"/>
      <w:r w:rsidR="00E0437B">
        <w:rPr>
          <w:rFonts w:ascii="Arial" w:hAnsi="Arial" w:cs="Arial"/>
          <w:color w:val="FF0000"/>
          <w:sz w:val="22"/>
        </w:rPr>
        <w:t>ip</w:t>
      </w:r>
      <w:proofErr w:type="spellEnd"/>
      <w:r w:rsidR="00E0437B">
        <w:rPr>
          <w:rFonts w:ascii="Arial" w:hAnsi="Arial" w:cs="Arial"/>
          <w:color w:val="FF0000"/>
          <w:sz w:val="22"/>
        </w:rPr>
        <w:t xml:space="preserve"> domain-lookup’ command</w:t>
      </w:r>
      <w:r>
        <w:rPr>
          <w:rFonts w:ascii="Arial" w:hAnsi="Arial" w:cs="Arial"/>
          <w:color w:val="FF0000"/>
          <w:sz w:val="22"/>
        </w:rPr>
        <w:t>.</w:t>
      </w:r>
      <w:r w:rsidR="00E0437B">
        <w:rPr>
          <w:rFonts w:ascii="Arial" w:hAnsi="Arial" w:cs="Arial"/>
          <w:color w:val="FF0000"/>
          <w:sz w:val="22"/>
        </w:rPr>
        <w:t xml:space="preserve"> I can now also set a ‘Message of The Day’ banner using the ‘MOTD #’ command to deter potential threats from </w:t>
      </w:r>
      <w:bookmarkStart w:id="9" w:name="_GoBack"/>
      <w:bookmarkEnd w:id="9"/>
      <w:r w:rsidR="00E0437B">
        <w:rPr>
          <w:rFonts w:ascii="Arial" w:hAnsi="Arial" w:cs="Arial"/>
          <w:color w:val="FF0000"/>
          <w:sz w:val="22"/>
        </w:rPr>
        <w:t>accessing the switch.</w:t>
      </w:r>
      <w:r>
        <w:rPr>
          <w:rFonts w:ascii="Arial" w:hAnsi="Arial" w:cs="Arial"/>
          <w:color w:val="FF0000"/>
          <w:sz w:val="22"/>
        </w:rPr>
        <w:t xml:space="preserve"> I can now change the host name</w:t>
      </w:r>
      <w:r w:rsidR="00E0437B">
        <w:rPr>
          <w:rFonts w:ascii="Arial" w:hAnsi="Arial" w:cs="Arial"/>
          <w:color w:val="FF0000"/>
          <w:sz w:val="22"/>
        </w:rPr>
        <w:t xml:space="preserve"> </w:t>
      </w:r>
      <w:r w:rsidR="00A16B29">
        <w:rPr>
          <w:rFonts w:ascii="Arial" w:hAnsi="Arial" w:cs="Arial"/>
          <w:color w:val="FF0000"/>
          <w:sz w:val="22"/>
        </w:rPr>
        <w:t xml:space="preserve">using the </w:t>
      </w:r>
      <w:r w:rsidR="00E0437B">
        <w:rPr>
          <w:rFonts w:ascii="Arial" w:hAnsi="Arial" w:cs="Arial"/>
          <w:color w:val="FF0000"/>
          <w:sz w:val="22"/>
        </w:rPr>
        <w:t>‘hostname X’ command</w:t>
      </w:r>
      <w:r>
        <w:rPr>
          <w:rFonts w:ascii="Arial" w:hAnsi="Arial" w:cs="Arial"/>
          <w:color w:val="FF0000"/>
          <w:sz w:val="22"/>
        </w:rPr>
        <w:t>, use</w:t>
      </w:r>
      <w:r w:rsidR="00E0437B">
        <w:rPr>
          <w:rFonts w:ascii="Arial" w:hAnsi="Arial" w:cs="Arial"/>
          <w:color w:val="FF0000"/>
          <w:sz w:val="22"/>
        </w:rPr>
        <w:t xml:space="preserve"> CLI</w:t>
      </w:r>
      <w:r>
        <w:rPr>
          <w:rFonts w:ascii="Arial" w:hAnsi="Arial" w:cs="Arial"/>
          <w:color w:val="FF0000"/>
          <w:sz w:val="22"/>
        </w:rPr>
        <w:t xml:space="preserve"> </w:t>
      </w:r>
      <w:r w:rsidR="00566174">
        <w:rPr>
          <w:rFonts w:ascii="Arial" w:hAnsi="Arial" w:cs="Arial"/>
          <w:color w:val="FF0000"/>
          <w:sz w:val="22"/>
        </w:rPr>
        <w:t>commands to change</w:t>
      </w:r>
      <w:r w:rsidR="00E0437B">
        <w:rPr>
          <w:rFonts w:ascii="Arial" w:hAnsi="Arial" w:cs="Arial"/>
          <w:color w:val="FF0000"/>
          <w:sz w:val="22"/>
        </w:rPr>
        <w:t xml:space="preserve"> and view</w:t>
      </w:r>
      <w:r w:rsidR="00566174">
        <w:rPr>
          <w:rFonts w:ascii="Arial" w:hAnsi="Arial" w:cs="Arial"/>
          <w:color w:val="FF0000"/>
          <w:sz w:val="22"/>
        </w:rPr>
        <w:t xml:space="preserve"> the state of ports on a switch</w:t>
      </w:r>
      <w:r w:rsidR="00E0437B">
        <w:rPr>
          <w:rFonts w:ascii="Arial" w:hAnsi="Arial" w:cs="Arial"/>
          <w:color w:val="FF0000"/>
          <w:sz w:val="22"/>
        </w:rPr>
        <w:t xml:space="preserve"> </w:t>
      </w:r>
      <w:r w:rsidR="00A16B29">
        <w:rPr>
          <w:rFonts w:ascii="Arial" w:hAnsi="Arial" w:cs="Arial"/>
          <w:color w:val="FF0000"/>
          <w:sz w:val="22"/>
        </w:rPr>
        <w:t xml:space="preserve">using the </w:t>
      </w:r>
      <w:r w:rsidR="00E0437B">
        <w:rPr>
          <w:rFonts w:ascii="Arial" w:hAnsi="Arial" w:cs="Arial"/>
          <w:color w:val="FF0000"/>
          <w:sz w:val="22"/>
        </w:rPr>
        <w:t xml:space="preserve">‘show </w:t>
      </w:r>
      <w:proofErr w:type="spellStart"/>
      <w:r w:rsidR="00E0437B">
        <w:rPr>
          <w:rFonts w:ascii="Arial" w:hAnsi="Arial" w:cs="Arial"/>
          <w:color w:val="FF0000"/>
          <w:sz w:val="22"/>
        </w:rPr>
        <w:t>ip</w:t>
      </w:r>
      <w:proofErr w:type="spellEnd"/>
      <w:r w:rsidR="00E0437B">
        <w:rPr>
          <w:rFonts w:ascii="Arial" w:hAnsi="Arial" w:cs="Arial"/>
          <w:color w:val="FF0000"/>
          <w:sz w:val="22"/>
        </w:rPr>
        <w:t xml:space="preserve"> interface brief’ command</w:t>
      </w:r>
      <w:r w:rsidR="00566174">
        <w:rPr>
          <w:rFonts w:ascii="Arial" w:hAnsi="Arial" w:cs="Arial"/>
          <w:color w:val="FF0000"/>
          <w:sz w:val="22"/>
        </w:rPr>
        <w:t xml:space="preserve">, </w:t>
      </w:r>
      <w:r w:rsidR="00E0437B">
        <w:rPr>
          <w:rFonts w:ascii="Arial" w:hAnsi="Arial" w:cs="Arial"/>
          <w:color w:val="FF0000"/>
          <w:sz w:val="22"/>
        </w:rPr>
        <w:t>and view the full configuration</w:t>
      </w:r>
      <w:r w:rsidR="00A16B29">
        <w:rPr>
          <w:rFonts w:ascii="Arial" w:hAnsi="Arial" w:cs="Arial"/>
          <w:color w:val="FF0000"/>
          <w:sz w:val="22"/>
        </w:rPr>
        <w:t xml:space="preserve"> and</w:t>
      </w:r>
      <w:r w:rsidR="00E0437B">
        <w:rPr>
          <w:rFonts w:ascii="Arial" w:hAnsi="Arial" w:cs="Arial"/>
          <w:color w:val="FF0000"/>
          <w:sz w:val="22"/>
        </w:rPr>
        <w:t xml:space="preserve"> the IOS version on the switch.</w:t>
      </w:r>
      <w:r w:rsidR="00A16B29">
        <w:rPr>
          <w:rFonts w:ascii="Arial" w:hAnsi="Arial" w:cs="Arial"/>
          <w:color w:val="FF0000"/>
          <w:sz w:val="22"/>
        </w:rPr>
        <w:t xml:space="preserve"> </w:t>
      </w:r>
    </w:p>
    <w:p w:rsidR="00A16B29" w:rsidRDefault="00A16B29" w:rsidP="00D56426">
      <w:pPr>
        <w:pStyle w:val="CMDOutput"/>
        <w:ind w:left="0"/>
        <w:rPr>
          <w:rFonts w:ascii="Arial" w:hAnsi="Arial" w:cs="Arial"/>
          <w:color w:val="FF0000"/>
          <w:sz w:val="22"/>
        </w:rPr>
      </w:pPr>
    </w:p>
    <w:p w:rsidR="00E0437B" w:rsidRPr="007932E6" w:rsidRDefault="00A16B29" w:rsidP="00D56426">
      <w:pPr>
        <w:pStyle w:val="CMDOutput"/>
        <w:ind w:left="0"/>
        <w:rPr>
          <w:rFonts w:ascii="Arial" w:hAnsi="Arial" w:cs="Arial"/>
          <w:color w:val="FF0000"/>
          <w:sz w:val="22"/>
        </w:rPr>
      </w:pPr>
      <w:r>
        <w:rPr>
          <w:rFonts w:ascii="Arial" w:hAnsi="Arial" w:cs="Arial"/>
          <w:color w:val="FF0000"/>
          <w:sz w:val="22"/>
        </w:rPr>
        <w:t>Finally, I learned how to reload the switch to clear a startup configuration if necessary.</w:t>
      </w:r>
    </w:p>
    <w:sectPr w:rsidR="00E0437B"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63A4" w:rsidRDefault="005663A4" w:rsidP="0090659A">
      <w:pPr>
        <w:spacing w:after="0" w:line="240" w:lineRule="auto"/>
      </w:pPr>
      <w:r>
        <w:separator/>
      </w:r>
    </w:p>
    <w:p w:rsidR="005663A4" w:rsidRDefault="005663A4"/>
    <w:p w:rsidR="005663A4" w:rsidRDefault="005663A4"/>
    <w:p w:rsidR="005663A4" w:rsidRDefault="005663A4"/>
    <w:p w:rsidR="005663A4" w:rsidRDefault="005663A4"/>
  </w:endnote>
  <w:endnote w:type="continuationSeparator" w:id="0">
    <w:p w:rsidR="005663A4" w:rsidRDefault="005663A4" w:rsidP="0090659A">
      <w:pPr>
        <w:spacing w:after="0" w:line="240" w:lineRule="auto"/>
      </w:pPr>
      <w:r>
        <w:continuationSeparator/>
      </w:r>
    </w:p>
    <w:p w:rsidR="005663A4" w:rsidRDefault="005663A4"/>
    <w:p w:rsidR="005663A4" w:rsidRDefault="005663A4"/>
    <w:p w:rsidR="005663A4" w:rsidRDefault="005663A4"/>
    <w:p w:rsidR="005663A4" w:rsidRDefault="005663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4D5B81">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63A4" w:rsidRDefault="005663A4" w:rsidP="0090659A">
      <w:pPr>
        <w:spacing w:after="0" w:line="240" w:lineRule="auto"/>
      </w:pPr>
      <w:r>
        <w:separator/>
      </w:r>
    </w:p>
    <w:p w:rsidR="005663A4" w:rsidRDefault="005663A4"/>
    <w:p w:rsidR="005663A4" w:rsidRDefault="005663A4"/>
    <w:p w:rsidR="005663A4" w:rsidRDefault="005663A4"/>
    <w:p w:rsidR="005663A4" w:rsidRDefault="005663A4"/>
  </w:footnote>
  <w:footnote w:type="continuationSeparator" w:id="0">
    <w:p w:rsidR="005663A4" w:rsidRDefault="005663A4" w:rsidP="0090659A">
      <w:pPr>
        <w:spacing w:after="0" w:line="240" w:lineRule="auto"/>
      </w:pPr>
      <w:r>
        <w:continuationSeparator/>
      </w:r>
    </w:p>
    <w:p w:rsidR="005663A4" w:rsidRDefault="005663A4"/>
    <w:p w:rsidR="005663A4" w:rsidRDefault="005663A4"/>
    <w:p w:rsidR="005663A4" w:rsidRDefault="005663A4"/>
    <w:p w:rsidR="005663A4" w:rsidRDefault="005663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5B81"/>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6174"/>
    <w:rsid w:val="005663A4"/>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37D16"/>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16B2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4B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37B"/>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8D551F"/>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99CB15F-4D06-4909-91E8-2C6B52EB8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Curtis Stephens (1903184)</cp:lastModifiedBy>
  <cp:revision>2</cp:revision>
  <cp:lastPrinted>2015-06-11T18:56:00Z</cp:lastPrinted>
  <dcterms:created xsi:type="dcterms:W3CDTF">2019-11-11T13:23:00Z</dcterms:created>
  <dcterms:modified xsi:type="dcterms:W3CDTF">2019-11-11T13:23:00Z</dcterms:modified>
</cp:coreProperties>
</file>