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9FEBC" w14:textId="77777777" w:rsidR="00F5262E" w:rsidRDefault="00F5262E" w:rsidP="005C5174">
      <w:pPr>
        <w:spacing w:before="0" w:after="160" w:line="259" w:lineRule="auto"/>
        <w:ind w:firstLine="0"/>
        <w:jc w:val="center"/>
      </w:pPr>
      <w:r>
        <w:rPr>
          <w:noProof/>
        </w:rPr>
        <w:drawing>
          <wp:anchor distT="0" distB="0" distL="114300" distR="114300" simplePos="0" relativeHeight="251658240" behindDoc="1" locked="0" layoutInCell="1" allowOverlap="1" wp14:anchorId="2642A535" wp14:editId="1F92A323">
            <wp:simplePos x="0" y="0"/>
            <wp:positionH relativeFrom="column">
              <wp:posOffset>381000</wp:posOffset>
            </wp:positionH>
            <wp:positionV relativeFrom="paragraph">
              <wp:posOffset>0</wp:posOffset>
            </wp:positionV>
            <wp:extent cx="5175885" cy="1036320"/>
            <wp:effectExtent l="0" t="0" r="5715" b="0"/>
            <wp:wrapTight wrapText="bothSides">
              <wp:wrapPolygon edited="0">
                <wp:start x="0" y="0"/>
                <wp:lineTo x="0" y="13897"/>
                <wp:lineTo x="715" y="19059"/>
                <wp:lineTo x="874" y="20647"/>
                <wp:lineTo x="2067" y="21044"/>
                <wp:lineTo x="5247" y="21044"/>
                <wp:lineTo x="5803" y="21044"/>
                <wp:lineTo x="21544" y="21044"/>
                <wp:lineTo x="21544" y="15485"/>
                <wp:lineTo x="21226" y="12706"/>
                <wp:lineTo x="21544" y="10324"/>
                <wp:lineTo x="21544" y="2382"/>
                <wp:lineTo x="20829" y="0"/>
                <wp:lineTo x="0" y="0"/>
              </wp:wrapPolygon>
            </wp:wrapTight>
            <wp:docPr id="1917383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75885" cy="103632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00B54082" w14:textId="77777777" w:rsidR="00F5262E" w:rsidRDefault="00F5262E" w:rsidP="005C5174">
      <w:pPr>
        <w:spacing w:before="0" w:after="160" w:line="259" w:lineRule="auto"/>
        <w:ind w:firstLine="0"/>
        <w:jc w:val="center"/>
      </w:pPr>
    </w:p>
    <w:p w14:paraId="5CD6CE92" w14:textId="77777777" w:rsidR="00F5262E" w:rsidRDefault="00F5262E" w:rsidP="005C5174">
      <w:pPr>
        <w:spacing w:before="0" w:after="160" w:line="259" w:lineRule="auto"/>
        <w:ind w:firstLine="0"/>
        <w:jc w:val="center"/>
      </w:pPr>
    </w:p>
    <w:p w14:paraId="0E39F04B" w14:textId="77777777" w:rsidR="00F5262E" w:rsidRDefault="00F5262E" w:rsidP="005C5174">
      <w:pPr>
        <w:spacing w:before="0" w:after="160" w:line="259" w:lineRule="auto"/>
        <w:ind w:firstLine="0"/>
        <w:jc w:val="center"/>
      </w:pPr>
    </w:p>
    <w:p w14:paraId="02DA62DD" w14:textId="77777777" w:rsidR="00F5262E" w:rsidRDefault="00F5262E" w:rsidP="005C5174">
      <w:pPr>
        <w:spacing w:before="0" w:after="160" w:line="259" w:lineRule="auto"/>
        <w:ind w:firstLine="0"/>
        <w:jc w:val="center"/>
      </w:pPr>
    </w:p>
    <w:p w14:paraId="1D07577E" w14:textId="77777777" w:rsidR="00F5262E" w:rsidRDefault="00F5262E" w:rsidP="00F5262E">
      <w:pPr>
        <w:spacing w:before="0" w:after="160" w:line="259" w:lineRule="auto"/>
        <w:ind w:firstLine="0"/>
      </w:pPr>
      <w:proofErr w:type="spellStart"/>
      <w:r>
        <w:t>Nilupa</w:t>
      </w:r>
      <w:proofErr w:type="spellEnd"/>
      <w:r>
        <w:t xml:space="preserve"> Begum - 2114298                          </w:t>
      </w:r>
    </w:p>
    <w:p w14:paraId="45BA0CC4" w14:textId="77777777" w:rsidR="00F5262E" w:rsidRDefault="00F5262E" w:rsidP="00F5262E">
      <w:pPr>
        <w:spacing w:before="0" w:after="160" w:line="259" w:lineRule="auto"/>
        <w:ind w:firstLine="0"/>
      </w:pPr>
    </w:p>
    <w:p w14:paraId="4B299FE9" w14:textId="77777777" w:rsidR="00F5262E" w:rsidRDefault="00F5262E" w:rsidP="00F5262E">
      <w:pPr>
        <w:spacing w:before="0" w:after="160" w:line="259" w:lineRule="auto"/>
        <w:ind w:firstLine="0"/>
      </w:pPr>
    </w:p>
    <w:p w14:paraId="71A83175" w14:textId="77777777" w:rsidR="00F5262E" w:rsidRDefault="00F5262E" w:rsidP="00F5262E">
      <w:pPr>
        <w:spacing w:before="0" w:after="160" w:line="259" w:lineRule="auto"/>
        <w:ind w:firstLine="0"/>
      </w:pPr>
    </w:p>
    <w:p w14:paraId="745D6180" w14:textId="77777777" w:rsidR="00F5262E" w:rsidRDefault="00F5262E" w:rsidP="00F5262E">
      <w:pPr>
        <w:spacing w:before="0" w:after="160" w:line="259" w:lineRule="auto"/>
        <w:ind w:firstLine="0"/>
      </w:pPr>
    </w:p>
    <w:p w14:paraId="677B62A7" w14:textId="77777777" w:rsidR="00F5262E" w:rsidRDefault="00F5262E" w:rsidP="00F5262E">
      <w:pPr>
        <w:spacing w:before="0" w:after="160" w:line="259" w:lineRule="auto"/>
        <w:ind w:firstLine="0"/>
      </w:pPr>
    </w:p>
    <w:p w14:paraId="101F9394" w14:textId="77777777" w:rsidR="00F5262E" w:rsidRDefault="00F5262E" w:rsidP="00F5262E">
      <w:pPr>
        <w:spacing w:before="0" w:after="160" w:line="259" w:lineRule="auto"/>
        <w:ind w:firstLine="0"/>
      </w:pPr>
    </w:p>
    <w:p w14:paraId="497C2411" w14:textId="77777777" w:rsidR="00F5262E" w:rsidRPr="00F5262E" w:rsidRDefault="00F5262E" w:rsidP="00F5262E">
      <w:pPr>
        <w:spacing w:before="0" w:after="160" w:line="259" w:lineRule="auto"/>
        <w:ind w:firstLine="0"/>
        <w:rPr>
          <w:sz w:val="32"/>
          <w:szCs w:val="28"/>
        </w:rPr>
      </w:pPr>
    </w:p>
    <w:p w14:paraId="4ACDA84F" w14:textId="77777777" w:rsidR="00F5262E" w:rsidRDefault="00F5262E" w:rsidP="00F5262E">
      <w:pPr>
        <w:spacing w:before="0" w:after="160" w:line="259" w:lineRule="auto"/>
        <w:ind w:firstLine="0"/>
        <w:jc w:val="center"/>
        <w:rPr>
          <w:sz w:val="32"/>
          <w:szCs w:val="28"/>
        </w:rPr>
      </w:pPr>
      <w:r w:rsidRPr="00F5262E">
        <w:rPr>
          <w:sz w:val="32"/>
          <w:szCs w:val="28"/>
        </w:rPr>
        <w:t>Criminology an</w:t>
      </w:r>
      <w:r>
        <w:rPr>
          <w:sz w:val="32"/>
          <w:szCs w:val="28"/>
        </w:rPr>
        <w:t xml:space="preserve">d Policing </w:t>
      </w:r>
      <w:r w:rsidRPr="00F5262E">
        <w:rPr>
          <w:sz w:val="32"/>
          <w:szCs w:val="28"/>
        </w:rPr>
        <w:t xml:space="preserve"> </w:t>
      </w:r>
      <w:r>
        <w:rPr>
          <w:sz w:val="32"/>
          <w:szCs w:val="28"/>
        </w:rPr>
        <w:t xml:space="preserve">             </w:t>
      </w:r>
    </w:p>
    <w:p w14:paraId="72A927CA" w14:textId="3FD54BB7" w:rsidR="00F5262E" w:rsidRDefault="00F5262E" w:rsidP="00F5262E">
      <w:pPr>
        <w:spacing w:before="0" w:after="160" w:line="259" w:lineRule="auto"/>
        <w:ind w:firstLine="0"/>
        <w:jc w:val="center"/>
        <w:rPr>
          <w:sz w:val="32"/>
          <w:szCs w:val="28"/>
        </w:rPr>
      </w:pPr>
      <w:r w:rsidRPr="00F5262E">
        <w:rPr>
          <w:sz w:val="32"/>
          <w:szCs w:val="28"/>
        </w:rPr>
        <w:t>Gender, Race, Religion and Crime</w:t>
      </w:r>
      <w:r>
        <w:rPr>
          <w:sz w:val="32"/>
          <w:szCs w:val="28"/>
        </w:rPr>
        <w:t xml:space="preserve"> </w:t>
      </w:r>
    </w:p>
    <w:p w14:paraId="64868C4D" w14:textId="77777777" w:rsidR="00F5262E" w:rsidRDefault="00F5262E" w:rsidP="00F5262E">
      <w:pPr>
        <w:spacing w:before="0" w:after="160" w:line="259" w:lineRule="auto"/>
        <w:ind w:firstLine="0"/>
        <w:jc w:val="center"/>
        <w:rPr>
          <w:sz w:val="32"/>
          <w:szCs w:val="28"/>
        </w:rPr>
      </w:pPr>
      <w:r>
        <w:rPr>
          <w:sz w:val="32"/>
          <w:szCs w:val="28"/>
        </w:rPr>
        <w:t xml:space="preserve">BMCP6001 </w:t>
      </w:r>
      <w:r w:rsidRPr="00F5262E">
        <w:rPr>
          <w:sz w:val="32"/>
          <w:szCs w:val="28"/>
        </w:rPr>
        <w:t xml:space="preserve">   </w:t>
      </w:r>
    </w:p>
    <w:p w14:paraId="61982F20" w14:textId="0AC837F6" w:rsidR="005C5174" w:rsidRPr="00F5262E" w:rsidRDefault="00F5262E" w:rsidP="00F5262E">
      <w:pPr>
        <w:spacing w:before="0" w:after="160" w:line="259" w:lineRule="auto"/>
        <w:ind w:firstLine="0"/>
        <w:jc w:val="center"/>
        <w:rPr>
          <w:sz w:val="32"/>
          <w:szCs w:val="28"/>
        </w:rPr>
      </w:pPr>
      <w:r w:rsidRPr="00F5262E">
        <w:rPr>
          <w:sz w:val="28"/>
          <w:szCs w:val="24"/>
        </w:rPr>
        <w:t xml:space="preserve">Critically analyse the effect of UK immigration and criminal behaviours. </w:t>
      </w:r>
      <w:r w:rsidRPr="00F5262E">
        <w:rPr>
          <w:sz w:val="28"/>
          <w:szCs w:val="24"/>
        </w:rPr>
        <w:t xml:space="preserve">2000 words                                                      </w:t>
      </w:r>
      <w:r>
        <w:t xml:space="preserve">  </w:t>
      </w:r>
      <w:r w:rsidR="005C5174">
        <w:br w:type="page"/>
      </w:r>
    </w:p>
    <w:p w14:paraId="2289D5BC" w14:textId="40F72C43" w:rsidR="00D40885" w:rsidRPr="00D40885" w:rsidRDefault="00DD7324" w:rsidP="00D40885">
      <w:r w:rsidRPr="00DD7324">
        <w:lastRenderedPageBreak/>
        <w:t xml:space="preserve">It is necessary to recognise that, in some areas, there may be a significant reciprocal relationship between crime rates and inequality indices. This is a result of the fact that complex social processes have the potential to spread the frequency of a certain </w:t>
      </w:r>
      <w:r w:rsidR="0032094C" w:rsidRPr="00DD7324">
        <w:t>occurrence</w:t>
      </w:r>
      <w:r w:rsidR="0098138A">
        <w:t xml:space="preserve"> (Parmar, 2020)</w:t>
      </w:r>
      <w:r w:rsidRPr="00DD7324">
        <w:t>. The inquiry will concentrate on London and how the degree of social and cultural inequality in the city affects people</w:t>
      </w:r>
      <w:r w:rsidR="00AF3135">
        <w:t>’</w:t>
      </w:r>
      <w:r w:rsidRPr="00DD7324">
        <w:t>s perceptions and experiences of crime</w:t>
      </w:r>
      <w:r w:rsidR="0098138A">
        <w:t xml:space="preserve"> (Joyce and Laverick, 2022)</w:t>
      </w:r>
      <w:r w:rsidRPr="00DD7324">
        <w:t>. The results are indicative of the fact that young and minority groups are disproportionately affected by social and cultural inequalities. In the areas of housing, labour, and education, inequality is particularly evident in the ways it functions; it deprives marginalised communities of opportunities, social networks, and financial assistance</w:t>
      </w:r>
      <w:r w:rsidR="00A50DD1">
        <w:t xml:space="preserve">. This assessment will focus on crime and perception in London, </w:t>
      </w:r>
      <w:proofErr w:type="gramStart"/>
      <w:r w:rsidR="00A50DD1">
        <w:t>facts</w:t>
      </w:r>
      <w:proofErr w:type="gramEnd"/>
      <w:r w:rsidR="00A50DD1">
        <w:t xml:space="preserve"> and statistics on crime in England and Wales, inequality and crime and lastly</w:t>
      </w:r>
      <w:r w:rsidR="003C509C">
        <w:t xml:space="preserve"> an investigation of crimes in England and </w:t>
      </w:r>
      <w:proofErr w:type="spellStart"/>
      <w:r w:rsidR="003C509C">
        <w:t>wales</w:t>
      </w:r>
      <w:proofErr w:type="spellEnd"/>
      <w:r w:rsidR="003C509C">
        <w:t xml:space="preserve"> by Bell et al. (2013).</w:t>
      </w:r>
    </w:p>
    <w:p w14:paraId="18FB9EDF" w14:textId="3D50ED54" w:rsidR="00DD7324" w:rsidRDefault="00DD7324" w:rsidP="00DD7324">
      <w:r>
        <w:t>London, one of the busiest and most populated capital cities in the United Kingdom, has high crime rates</w:t>
      </w:r>
      <w:r w:rsidR="00A31B88">
        <w:t xml:space="preserve"> (</w:t>
      </w:r>
      <w:proofErr w:type="spellStart"/>
      <w:r w:rsidR="00A31B88">
        <w:t>Chouhy</w:t>
      </w:r>
      <w:proofErr w:type="spellEnd"/>
      <w:r w:rsidR="00A31B88">
        <w:t xml:space="preserve"> and Madero-Hernandez, 2020)</w:t>
      </w:r>
      <w:r>
        <w:t>. It is crucial to look at the data itself before talking about the relationships between current crime numbers and social and cultural inequalities, crime perceptions, and the experiences of locals with crime</w:t>
      </w:r>
      <w:r w:rsidR="00A31B88">
        <w:t xml:space="preserve"> (Day and Gill, 2020)</w:t>
      </w:r>
      <w:r>
        <w:t>. According to official statistics from the Metropolitan Police (2021a), motor vehicle offences, theft, and crimes against people have been the most common types of criminal activity during the last two years. During that time, there were 180.87 crimes committed per 1000 people.</w:t>
      </w:r>
    </w:p>
    <w:p w14:paraId="080A9234" w14:textId="4E5322C8" w:rsidR="00DD7324" w:rsidRDefault="00DD7324" w:rsidP="00DD7324">
      <w:r>
        <w:t>Property crimes are essentially more common than violent crimes, with the former ranking higher</w:t>
      </w:r>
      <w:r w:rsidR="00A31B88">
        <w:t xml:space="preserve"> (Kirk and Wakefield, 2018)</w:t>
      </w:r>
      <w:r>
        <w:t>. The official data is also indicative of the fact that crime rates fell in 2020 and 2021 when compared to 2019, however this may be explained by the modifications made since "the nature of reporting and recorded crime has changed significantly since March 2020 due to Coronavirus (COVID-19)," as stated. This suggests that there hasn</w:t>
      </w:r>
      <w:r w:rsidR="00AF3135">
        <w:t>’</w:t>
      </w:r>
      <w:r>
        <w:t>t been a discernible rise or fall in London</w:t>
      </w:r>
      <w:r w:rsidR="00AF3135">
        <w:t>’</w:t>
      </w:r>
      <w:r>
        <w:t>s crime rate</w:t>
      </w:r>
      <w:r w:rsidR="00A31B88">
        <w:t xml:space="preserve"> (Papalia et al., 2018)</w:t>
      </w:r>
      <w:r>
        <w:t>. Over the last three years, there have probably been more modifications to the reporting method than there have been real crime rates.</w:t>
      </w:r>
    </w:p>
    <w:p w14:paraId="1897896B" w14:textId="0DE9ACFB" w:rsidR="00DD7324" w:rsidRDefault="00DD7324" w:rsidP="00DD7324">
      <w:r>
        <w:t>The notion above is further supported by recent gun confiscation instances. As stated, from 366 in the previous fiscal year to 450 in 2020–2021, fewer firearms were confiscated</w:t>
      </w:r>
      <w:r w:rsidR="00A31B88">
        <w:t xml:space="preserve"> (Eberl et al., 2018)</w:t>
      </w:r>
      <w:r>
        <w:t xml:space="preserve">. The trend continues, as shown by the 98 guns captured in the first quarter of the </w:t>
      </w:r>
      <w:r>
        <w:lastRenderedPageBreak/>
        <w:t>current fiscal year compared to the 92 guns seized in the same time last year (Dunne, 2021, para. 3). Put differently, there has been a discernible rise in crime rates in London, particularly with regard to the ownership and storage of firearms. The general crime rate in the city can be indicative of this pattern.</w:t>
      </w:r>
    </w:p>
    <w:p w14:paraId="087F8E03" w14:textId="42540A3F" w:rsidR="00DD7324" w:rsidRDefault="00DD7324" w:rsidP="00DD7324">
      <w:r>
        <w:t>Reputable information sources for the current social perception of crime in London include government agencies and the media</w:t>
      </w:r>
      <w:r w:rsidR="00487D14">
        <w:t xml:space="preserve"> (Bosworth et al., 2018)</w:t>
      </w:r>
      <w:r>
        <w:t>. "One of Britain</w:t>
      </w:r>
      <w:r w:rsidR="00AF3135">
        <w:t>’</w:t>
      </w:r>
      <w:r>
        <w:t>s most senior police chiefs has intervened in the debate about rising crime, saying social inequality is a cause that needs to be tackled and that those arrested and jailed tend to be people with less money and opportunity," stated the magazine.</w:t>
      </w:r>
    </w:p>
    <w:p w14:paraId="75EE811D" w14:textId="4FD9F75B" w:rsidR="00D40885" w:rsidRDefault="00DD7324" w:rsidP="00DD7324">
      <w:r>
        <w:t>In other words, people</w:t>
      </w:r>
      <w:r w:rsidR="00AF3135">
        <w:t>’</w:t>
      </w:r>
      <w:r>
        <w:t>s perception and experience of crime are closely linked to socio-cultural inequalities in the city</w:t>
      </w:r>
      <w:r w:rsidR="00487D14">
        <w:t xml:space="preserve"> (Bowling and Westenra, 2020)</w:t>
      </w:r>
      <w:r>
        <w:t>. Expert study and observations show that there is no positive correlation between cities and crime, despite the fact that some may say differently. The superintendent of the Metropolitan Police Department, Patricia Gallan, says that while the symptoms and effects of crime are being addressed, society as a whole has to think about possible ways to address the root causes of crime. I do not believe that newborns are born with evil intentions. in opposition to my belief (Dodd, 2018, para. 3). As a result, differences in social and cultural experiences and views, as well as the corresponding inequalities, are clearly correlated with the region</w:t>
      </w:r>
      <w:r w:rsidR="00AF3135">
        <w:t>’</w:t>
      </w:r>
      <w:r>
        <w:t>s crime rates.</w:t>
      </w:r>
    </w:p>
    <w:p w14:paraId="1348B555" w14:textId="3D06F4CA" w:rsidR="00036495" w:rsidRDefault="00036495" w:rsidP="00036495">
      <w:r>
        <w:t>In England and Wales, the official measure of crime victimisation is the British Crime Survey (BCS). This information differs from recorded crime statistics since a large number of crimes go unreported to the police</w:t>
      </w:r>
      <w:r w:rsidR="00487D14">
        <w:t xml:space="preserve"> (Stansfield and Stone, 2018)</w:t>
      </w:r>
      <w:r>
        <w:t>. People</w:t>
      </w:r>
      <w:r w:rsidR="00AF3135">
        <w:t>’</w:t>
      </w:r>
      <w:r>
        <w:t>s choice not to report crimes may be influenced by a number of circumstances, including fear of prosecution, a lack of legal standing, or the perception that the crime is not serious enough</w:t>
      </w:r>
      <w:r w:rsidR="00487D14">
        <w:t xml:space="preserve"> (Freedman et al., 2018)</w:t>
      </w:r>
      <w:r>
        <w:t>. Despite the fact that only 1.2 million property crimes in England and Wales were officially reported to the police, the BCS asserts that 2.89 million property crimes took place in 2009 (Marie 2010). However, the long-term trajectories of the two indicators exhibit a remarkable resemblance.</w:t>
      </w:r>
    </w:p>
    <w:p w14:paraId="3013D20C" w14:textId="26249EB9" w:rsidR="00715C4D" w:rsidRDefault="00036495" w:rsidP="00036495">
      <w:r>
        <w:t>The fact that the BCS survey includes a nationality variable makes it possible to conduct research of crime victimisation rates depending on nationality</w:t>
      </w:r>
      <w:r w:rsidR="00487D14">
        <w:t xml:space="preserve"> (Griffiths and Yeo, 2021)</w:t>
      </w:r>
      <w:r>
        <w:t xml:space="preserve">. Even after adjusting for a wide range of individual and community factors, foreign nationals had a </w:t>
      </w:r>
      <w:r>
        <w:lastRenderedPageBreak/>
        <w:t>considerably lower probability of reporting being victims of crime than native British citizens (Bell et al., 2013). Differential victimisation rates or reporting patterns for crimes might account for this discrepancy.</w:t>
      </w:r>
    </w:p>
    <w:p w14:paraId="63C58204" w14:textId="0917E690" w:rsidR="00672D4A" w:rsidRDefault="00D13721" w:rsidP="00D13721">
      <w:pPr>
        <w:ind w:firstLine="0"/>
      </w:pPr>
      <w:r>
        <w:t xml:space="preserve">           </w:t>
      </w:r>
      <w:r w:rsidR="00672D4A">
        <w:t>The experience and perception of crime may be significantly influenced and stimulated by crime activity rates, which serve as markers of inequality. We have enough data and knowledge from the preceding parts to carry out more research. As previously stated, a map showing knife crime surges in 2018 is shown in close proximity to communities with the highest levels of deprivation. High violent crime in London, one of the most unequal cities in the industrialised world, is closely connected with inequality, notably racial inequalities (Press Office, 2018). Instead of being more widely distributed across the city, crime is concentrated in London</w:t>
      </w:r>
      <w:r w:rsidR="00AF3135">
        <w:t>’</w:t>
      </w:r>
      <w:r w:rsidR="00672D4A">
        <w:t>s poorest neighbourhoods, which has the greatest impact on the perceptions and experiences of youth and ethnic minority groups.</w:t>
      </w:r>
    </w:p>
    <w:p w14:paraId="2B19AF77" w14:textId="59EBCE5D" w:rsidR="00672D4A" w:rsidRDefault="00672D4A" w:rsidP="00672D4A">
      <w:r>
        <w:t xml:space="preserve">It is important to keep in mind that inequality promotes crime. According to what is stated, "this finding holds up in many different contexts when looked at using different methodologies and after controlling for other determinants of crime, such as low income, unemployment, and teen birth rates," unequal societies had higher crime </w:t>
      </w:r>
      <w:r w:rsidR="003B7075">
        <w:t>rates</w:t>
      </w:r>
      <w:r w:rsidR="00760935">
        <w:t xml:space="preserve"> (Ousey and </w:t>
      </w:r>
      <w:proofErr w:type="spellStart"/>
      <w:r w:rsidR="00760935">
        <w:t>Kubrin</w:t>
      </w:r>
      <w:proofErr w:type="spellEnd"/>
      <w:r w:rsidR="00760935">
        <w:t>, 2018)</w:t>
      </w:r>
      <w:r w:rsidR="003B7075">
        <w:t>. Theoretically</w:t>
      </w:r>
      <w:r>
        <w:t>, social and cultural inequality have an influence on crime perception and city development for a number of reasons, including the likelihood that unequal societies lack the social skills required to avoid violence and build safe communities. If someone has already experienced emotions of inadequacy, they may be less likely to act in a way that is socially acceptable.</w:t>
      </w:r>
    </w:p>
    <w:p w14:paraId="136D442C" w14:textId="77777777" w:rsidR="00672D4A" w:rsidRDefault="00672D4A" w:rsidP="00672D4A">
      <w:r>
        <w:t>According to The Equality Trust (2019, paragraph 8), this has resulted in higher crime rates and more violent conduct. As a result, the causes of inequality disproportionately affect youth and minority groups, especially when it comes to housing, jobs, and education. This means that these groups are more vulnerable to negative consequences, such lower income, higher costs, and less opportunities, as a result of a lack of qualifications.</w:t>
      </w:r>
    </w:p>
    <w:p w14:paraId="61DCFA97" w14:textId="1DA15F85" w:rsidR="00672D4A" w:rsidRDefault="00672D4A" w:rsidP="00672D4A">
      <w:r>
        <w:t xml:space="preserve">Delinquent groups are forced to see criminal behaviour as a means of livelihood and nourishment, which motivates them to commit crimes due to their strong hostility and lack of resources. This is an example of how denying social aid, opportunities, and advancement to </w:t>
      </w:r>
      <w:r>
        <w:lastRenderedPageBreak/>
        <w:t>vulnerable groups</w:t>
      </w:r>
      <w:r w:rsidR="000B6CB4">
        <w:t xml:space="preserve">, </w:t>
      </w:r>
      <w:proofErr w:type="gramStart"/>
      <w:r>
        <w:t>youth</w:t>
      </w:r>
      <w:proofErr w:type="gramEnd"/>
      <w:r>
        <w:t xml:space="preserve"> and ethnic minorities, for example</w:t>
      </w:r>
      <w:r w:rsidR="000B6CB4">
        <w:t xml:space="preserve"> </w:t>
      </w:r>
      <w:r>
        <w:t>leads to a system where crime is the only feasible alternative. This is the scenario in London.</w:t>
      </w:r>
    </w:p>
    <w:p w14:paraId="75217188" w14:textId="75864BF1" w:rsidR="00D40885" w:rsidRPr="00D40885" w:rsidRDefault="00672D4A" w:rsidP="00672D4A">
      <w:r>
        <w:t>Due to a lack of opportunities and support from these sectors, law enforcement usually treats symptoms and results rather than underlying causes (Atkinson and Millington, 2018). Regulation of social conduct is important in order to deter and prevent crime. Housing, political economy, and governance are important aspects that might help resolve the most problematic locations since they have an impact on how marginalised groups perceive and experience inequality, which in turn has an impact on crime rates.</w:t>
      </w:r>
    </w:p>
    <w:p w14:paraId="79F7ADB6" w14:textId="08661FE3" w:rsidR="00672D4A" w:rsidRDefault="00672D4A" w:rsidP="00035ED8">
      <w:r>
        <w:t>According to Becker</w:t>
      </w:r>
      <w:r w:rsidR="00AF3135">
        <w:t>’</w:t>
      </w:r>
      <w:r>
        <w:t xml:space="preserve">s (1968) conventional economic model of crime, people choose criminal activities over legitimate ones when weighing the expected net advantages associated with each. The essential fact or component of these models is the difference between the benefits of participating in criminal behaviour and the prospective legal profits from work, as well as the probability of getting caught and the consequences that follow. Criminal action is more likely to be perpetrated by people with restricted work opportunities, despite all other circumstances being comparable. For example, compared to seasoned professionals with PhD rates, young males who have dropped out of school are more prone to commit crimes. Machin and </w:t>
      </w:r>
      <w:proofErr w:type="spellStart"/>
      <w:r>
        <w:t>Meghir</w:t>
      </w:r>
      <w:proofErr w:type="spellEnd"/>
      <w:r>
        <w:t xml:space="preserve"> (2004) have shown that a substantial body of evidence supports this important result.</w:t>
      </w:r>
    </w:p>
    <w:p w14:paraId="030BFB80" w14:textId="2DD0125C" w:rsidR="0085496D" w:rsidRDefault="00672D4A" w:rsidP="00035ED8">
      <w:r>
        <w:t>It is important to understand that various migrant groups will almost certainly arrive at cost-benefit analyses that are entirely distinct in order to apply this theory to immigration and crime. Based on three factors, the model forecasts different rates of criminal behaviour: the relative differences between people born in the UK and those born outside. Think about the potential that people born outside of the UK had a perception that the chances of getting caught for a crime were much higher or that the penalties, such deportation, were more severe. If all other circumstances were the same, this would deter criminal activity more in people of foreign origin than in people of British heritage. Because of higher unemployment rates or lower income, immigrants may have much less opportunities on the legal job market than people who were born in the UK. As such, the likelihood of criminal activity among expats would be higher than that of native British residents.</w:t>
      </w:r>
    </w:p>
    <w:p w14:paraId="7CA504D6" w14:textId="7835B398" w:rsidR="004612FE" w:rsidRDefault="004612FE" w:rsidP="004612FE">
      <w:r>
        <w:t xml:space="preserve">The following categories are used to divide up the data: drug-related offences, theft and handling, robberies, fraud and forgeries, and foreign population share. In England and Wales, </w:t>
      </w:r>
      <w:r>
        <w:lastRenderedPageBreak/>
        <w:t xml:space="preserve">property crimes have steadily declined since 2002. A rise in the </w:t>
      </w:r>
      <w:r w:rsidR="00035ED8">
        <w:t>foreign-born</w:t>
      </w:r>
      <w:r>
        <w:t xml:space="preserve"> population share has also occurred over this time period. In fact, there has been a negative association between the number of foreign crimes and the share of crimes committed by foreign people during the course of the period shown in Figure 1. There is no evidence, despite substantial study conducted in many nations, linking the rise in migration to the decrease in crime.</w:t>
      </w:r>
    </w:p>
    <w:p w14:paraId="61B78232" w14:textId="275FBA86" w:rsidR="004612FE" w:rsidRDefault="004612FE" w:rsidP="004612FE">
      <w:r>
        <w:t xml:space="preserve">Bell et al. (2013) </w:t>
      </w:r>
      <w:r w:rsidR="00F5262E">
        <w:t>investigated</w:t>
      </w:r>
      <w:r>
        <w:t xml:space="preserve"> local crime trends in England and Wales from 2002 to 2009 in order to determine if there is a direct association between crime and the rise in the </w:t>
      </w:r>
      <w:proofErr w:type="gramStart"/>
      <w:r>
        <w:t>foreign born</w:t>
      </w:r>
      <w:proofErr w:type="gramEnd"/>
      <w:r>
        <w:t xml:space="preserve"> population. During this period, two notable immigrant groups arrived in the United Kingdom. Asylum seekers first came from the former Yugoslavia and then settled in war-torn countries like Afghanistan and Iraq as refugees. In addition, significant migration flows from the A8 countries—Poland leading the way—have occurred since 2004. The analysis found that causal estimates could be made for both immigrant groups: a rise in property crime was associated with a rise in the population of asylum seekers, while a drop in property crime was associated with an increase in the population of A8 migrants. Within each group, there were no statistically significant variations in violent crime. One may anticipate a 1.1% increase in property crime for every percentage point that the local population</w:t>
      </w:r>
      <w:r w:rsidR="00AF3135">
        <w:t>’</w:t>
      </w:r>
      <w:r>
        <w:t>s share of asylum seekers rises. For every percentage point rise in population in the A8, property crime fell by 0.4%, hence the effect was minimal. Asylum seekers made up just 0.1% of the population.</w:t>
      </w:r>
    </w:p>
    <w:p w14:paraId="2CA09338" w14:textId="365CE7DC" w:rsidR="004612FE" w:rsidRDefault="004612FE" w:rsidP="004D2713">
      <w:r>
        <w:t>According to Bell et al. (2013), there could be a connection between the expected outcomes for A8 migrants and asylum seekers and the differential work opportunities that are accessible to the two groups. A8 migrants arrived in the UK largely in pursuit of job, and their employment rates are higher than those of people who were born in the UK. For a number of reasons, asylum seekers are not allowed to work after they enter the nation and have limited access to humanitarian agencies. It is without dispute that this restriction has resulted in higher relative returns to crime due to the drawn-out process of deciding asylum claims.</w:t>
      </w:r>
    </w:p>
    <w:p w14:paraId="59CBF75A" w14:textId="0501EAE2" w:rsidR="00B10F92" w:rsidRDefault="00582386" w:rsidP="004612FE">
      <w:r>
        <w:t>In conclusion</w:t>
      </w:r>
      <w:r w:rsidR="004612FE">
        <w:t xml:space="preserve">, youth and ethnic minority groups are disproportionately impacted by social and cultural inequalities that have a detrimental impact on their surroundings and income because they lack access to housing, jobs, and educational opportunities. Crime is the sole means of sustenance for many groups because they live in dangerous neighbourhoods and are more </w:t>
      </w:r>
      <w:r w:rsidR="004612FE">
        <w:lastRenderedPageBreak/>
        <w:t>likely to be ostracised. To put it another way, crime perception and experience are directly impacted by social and cultural inequalities, especially in the city of London.</w:t>
      </w:r>
    </w:p>
    <w:p w14:paraId="79117184" w14:textId="77777777" w:rsidR="005C5174" w:rsidRDefault="005C5174" w:rsidP="00D40885"/>
    <w:p w14:paraId="6A30CBB6" w14:textId="24A49889" w:rsidR="005C5174" w:rsidRDefault="005C5174">
      <w:pPr>
        <w:spacing w:before="0" w:after="160" w:line="259" w:lineRule="auto"/>
        <w:ind w:firstLine="0"/>
      </w:pPr>
      <w:r>
        <w:br w:type="page"/>
      </w:r>
    </w:p>
    <w:p w14:paraId="60D92738" w14:textId="47919C5C" w:rsidR="0098138A" w:rsidRPr="005C5174" w:rsidRDefault="005C5174" w:rsidP="0098138A">
      <w:pPr>
        <w:pStyle w:val="Heading1"/>
      </w:pPr>
      <w:bookmarkStart w:id="0" w:name="_Toc154651859"/>
      <w:r>
        <w:lastRenderedPageBreak/>
        <w:t>References</w:t>
      </w:r>
      <w:bookmarkEnd w:id="0"/>
    </w:p>
    <w:p w14:paraId="05C2885B" w14:textId="77777777" w:rsidR="0098138A" w:rsidRPr="005C5174" w:rsidRDefault="0098138A" w:rsidP="005C5174">
      <w:pPr>
        <w:pStyle w:val="NoSpacing"/>
        <w:rPr>
          <w:lang w:val="en-GB"/>
        </w:rPr>
      </w:pPr>
      <w:r w:rsidRPr="005C5174">
        <w:rPr>
          <w:lang w:val="en-GB"/>
        </w:rPr>
        <w:t>Atkinson, R., and Millington, G. (2018) </w:t>
      </w:r>
      <w:r w:rsidRPr="005C5174">
        <w:rPr>
          <w:i/>
          <w:iCs/>
          <w:lang w:val="en-GB"/>
        </w:rPr>
        <w:t>Urban criminology: the city, disorder, harm and social control</w:t>
      </w:r>
      <w:r w:rsidRPr="005C5174">
        <w:rPr>
          <w:lang w:val="en-GB"/>
        </w:rPr>
        <w:t>. Oxfordshire: Routledge.</w:t>
      </w:r>
    </w:p>
    <w:p w14:paraId="12F5CBF3" w14:textId="77777777" w:rsidR="0098138A" w:rsidRDefault="0098138A" w:rsidP="005C5174">
      <w:pPr>
        <w:pStyle w:val="NoSpacing"/>
        <w:rPr>
          <w:lang w:val="en-GB"/>
        </w:rPr>
      </w:pPr>
      <w:r w:rsidRPr="003147EE">
        <w:rPr>
          <w:lang w:val="en-GB"/>
        </w:rPr>
        <w:t xml:space="preserve">Bell, B., </w:t>
      </w:r>
      <w:proofErr w:type="spellStart"/>
      <w:r w:rsidRPr="003147EE">
        <w:rPr>
          <w:lang w:val="en-GB"/>
        </w:rPr>
        <w:t>Fasani</w:t>
      </w:r>
      <w:proofErr w:type="spellEnd"/>
      <w:r w:rsidRPr="003147EE">
        <w:rPr>
          <w:lang w:val="en-GB"/>
        </w:rPr>
        <w:t xml:space="preserve">, F. and Machin, S., </w:t>
      </w:r>
      <w:r>
        <w:rPr>
          <w:lang w:val="en-GB"/>
        </w:rPr>
        <w:t>(</w:t>
      </w:r>
      <w:r w:rsidRPr="003147EE">
        <w:rPr>
          <w:lang w:val="en-GB"/>
        </w:rPr>
        <w:t>2013</w:t>
      </w:r>
      <w:r>
        <w:rPr>
          <w:lang w:val="en-GB"/>
        </w:rPr>
        <w:t>)</w:t>
      </w:r>
      <w:r w:rsidRPr="003147EE">
        <w:rPr>
          <w:lang w:val="en-GB"/>
        </w:rPr>
        <w:t>. Crime and immigration: Evidence from large immigrant waves. </w:t>
      </w:r>
      <w:r w:rsidRPr="003147EE">
        <w:rPr>
          <w:i/>
          <w:iCs/>
          <w:lang w:val="en-GB"/>
        </w:rPr>
        <w:t>Review of Economics and statistics</w:t>
      </w:r>
      <w:r w:rsidRPr="003147EE">
        <w:rPr>
          <w:lang w:val="en-GB"/>
        </w:rPr>
        <w:t>, </w:t>
      </w:r>
      <w:r w:rsidRPr="003147EE">
        <w:rPr>
          <w:i/>
          <w:iCs/>
          <w:lang w:val="en-GB"/>
        </w:rPr>
        <w:t>95</w:t>
      </w:r>
      <w:r w:rsidRPr="003147EE">
        <w:rPr>
          <w:lang w:val="en-GB"/>
        </w:rPr>
        <w:t>(4), pp.1278-1290.</w:t>
      </w:r>
    </w:p>
    <w:p w14:paraId="7A9DE84A" w14:textId="77777777" w:rsidR="0098138A" w:rsidRDefault="0098138A" w:rsidP="005C5174">
      <w:pPr>
        <w:pStyle w:val="NoSpacing"/>
        <w:rPr>
          <w:lang w:val="en-GB"/>
        </w:rPr>
      </w:pPr>
      <w:r w:rsidRPr="00D84279">
        <w:rPr>
          <w:lang w:val="en-GB"/>
        </w:rPr>
        <w:t>Bosworth, M., Parmar, A. and Vázquez, Y. eds., 2018. </w:t>
      </w:r>
      <w:r w:rsidRPr="00D84279">
        <w:rPr>
          <w:i/>
          <w:iCs/>
          <w:lang w:val="en-GB"/>
        </w:rPr>
        <w:t>Race, criminal justice, and migration control: Enforcing the boundaries of belonging</w:t>
      </w:r>
      <w:r w:rsidRPr="00D84279">
        <w:rPr>
          <w:lang w:val="en-GB"/>
        </w:rPr>
        <w:t>. Oxford University Press.</w:t>
      </w:r>
    </w:p>
    <w:p w14:paraId="16E555DF" w14:textId="77777777" w:rsidR="0098138A" w:rsidRDefault="0098138A" w:rsidP="005C5174">
      <w:pPr>
        <w:pStyle w:val="NoSpacing"/>
        <w:rPr>
          <w:lang w:val="en-GB"/>
        </w:rPr>
      </w:pPr>
      <w:r w:rsidRPr="003B7075">
        <w:rPr>
          <w:lang w:val="en-GB"/>
        </w:rPr>
        <w:t xml:space="preserve">Bowling, B. and Westenra, S., 2020. ‘A really hostile environment’: </w:t>
      </w:r>
      <w:proofErr w:type="spellStart"/>
      <w:r w:rsidRPr="003B7075">
        <w:rPr>
          <w:lang w:val="en-GB"/>
        </w:rPr>
        <w:t>Adiaphorization</w:t>
      </w:r>
      <w:proofErr w:type="spellEnd"/>
      <w:r w:rsidRPr="003B7075">
        <w:rPr>
          <w:lang w:val="en-GB"/>
        </w:rPr>
        <w:t xml:space="preserve">, global policing and the </w:t>
      </w:r>
      <w:proofErr w:type="spellStart"/>
      <w:r w:rsidRPr="003B7075">
        <w:rPr>
          <w:lang w:val="en-GB"/>
        </w:rPr>
        <w:t>crimmigration</w:t>
      </w:r>
      <w:proofErr w:type="spellEnd"/>
      <w:r w:rsidRPr="003B7075">
        <w:rPr>
          <w:lang w:val="en-GB"/>
        </w:rPr>
        <w:t xml:space="preserve"> control system. </w:t>
      </w:r>
      <w:r w:rsidRPr="003B7075">
        <w:rPr>
          <w:i/>
          <w:iCs/>
          <w:lang w:val="en-GB"/>
        </w:rPr>
        <w:t>Theoretical criminology</w:t>
      </w:r>
      <w:r w:rsidRPr="003B7075">
        <w:rPr>
          <w:lang w:val="en-GB"/>
        </w:rPr>
        <w:t>, </w:t>
      </w:r>
      <w:r w:rsidRPr="003B7075">
        <w:rPr>
          <w:i/>
          <w:iCs/>
          <w:lang w:val="en-GB"/>
        </w:rPr>
        <w:t>24</w:t>
      </w:r>
      <w:r w:rsidRPr="003B7075">
        <w:rPr>
          <w:lang w:val="en-GB"/>
        </w:rPr>
        <w:t>(2), pp.163-183.</w:t>
      </w:r>
    </w:p>
    <w:p w14:paraId="771C1091" w14:textId="77777777" w:rsidR="0098138A" w:rsidRDefault="0098138A" w:rsidP="005C5174">
      <w:pPr>
        <w:pStyle w:val="NoSpacing"/>
        <w:rPr>
          <w:lang w:val="en-GB"/>
        </w:rPr>
      </w:pPr>
      <w:proofErr w:type="spellStart"/>
      <w:r w:rsidRPr="00D84279">
        <w:rPr>
          <w:lang w:val="en-GB"/>
        </w:rPr>
        <w:t>Chouhy</w:t>
      </w:r>
      <w:proofErr w:type="spellEnd"/>
      <w:r w:rsidRPr="00D84279">
        <w:rPr>
          <w:lang w:val="en-GB"/>
        </w:rPr>
        <w:t>, C. and Madero-Hernandez, A., 2020. “Murderers, rapists, and bad hombres”: Deconstructing the immigration-crime myths. In </w:t>
      </w:r>
      <w:r w:rsidRPr="00D84279">
        <w:rPr>
          <w:i/>
          <w:iCs/>
          <w:lang w:val="en-GB"/>
        </w:rPr>
        <w:t>Crime and justice in the Trump era</w:t>
      </w:r>
      <w:r w:rsidRPr="00D84279">
        <w:rPr>
          <w:lang w:val="en-GB"/>
        </w:rPr>
        <w:t> (pp. 94-123). Routledge.</w:t>
      </w:r>
    </w:p>
    <w:p w14:paraId="0AB49299" w14:textId="77777777" w:rsidR="0098138A" w:rsidRDefault="0098138A" w:rsidP="005C5174">
      <w:pPr>
        <w:pStyle w:val="NoSpacing"/>
        <w:rPr>
          <w:lang w:val="en-GB"/>
        </w:rPr>
      </w:pPr>
      <w:r w:rsidRPr="00D84279">
        <w:rPr>
          <w:lang w:val="en-GB"/>
        </w:rPr>
        <w:t>Day, A.S. and Gill, A.K., 2020. Applying intersectionality to partnerships between women’s organizations and the criminal justice system in relation to domestic violence. </w:t>
      </w:r>
      <w:r w:rsidRPr="00D84279">
        <w:rPr>
          <w:i/>
          <w:iCs/>
          <w:lang w:val="en-GB"/>
        </w:rPr>
        <w:t>The British Journal of Criminology</w:t>
      </w:r>
      <w:r w:rsidRPr="00D84279">
        <w:rPr>
          <w:lang w:val="en-GB"/>
        </w:rPr>
        <w:t>, </w:t>
      </w:r>
      <w:r w:rsidRPr="00D84279">
        <w:rPr>
          <w:i/>
          <w:iCs/>
          <w:lang w:val="en-GB"/>
        </w:rPr>
        <w:t>60</w:t>
      </w:r>
      <w:r w:rsidRPr="00D84279">
        <w:rPr>
          <w:lang w:val="en-GB"/>
        </w:rPr>
        <w:t>(4), pp.830-850.</w:t>
      </w:r>
    </w:p>
    <w:p w14:paraId="4C68BE3D" w14:textId="77777777" w:rsidR="0098138A" w:rsidRPr="005C5174" w:rsidRDefault="0098138A" w:rsidP="001676C5">
      <w:pPr>
        <w:pStyle w:val="NoSpacing"/>
      </w:pPr>
      <w:r w:rsidRPr="001676C5">
        <w:t xml:space="preserve">Dodd, V. (2018) </w:t>
      </w:r>
      <w:r>
        <w:t>‘</w:t>
      </w:r>
      <w:hyperlink r:id="rId6" w:tgtFrame="_blank" w:history="1">
        <w:r w:rsidRPr="001676C5">
          <w:rPr>
            <w:rStyle w:val="Hyperlink"/>
          </w:rPr>
          <w:t>Rising crime is symptom of inequality, says senior Met chief</w:t>
        </w:r>
      </w:hyperlink>
      <w:r>
        <w:t>‘</w:t>
      </w:r>
      <w:r w:rsidRPr="001676C5">
        <w:t>, </w:t>
      </w:r>
      <w:r w:rsidRPr="001676C5">
        <w:rPr>
          <w:i/>
          <w:iCs/>
        </w:rPr>
        <w:t>The Guardian</w:t>
      </w:r>
      <w:r w:rsidRPr="001676C5">
        <w:t>. Web.</w:t>
      </w:r>
    </w:p>
    <w:p w14:paraId="69570F03" w14:textId="77777777" w:rsidR="0098138A" w:rsidRDefault="0098138A" w:rsidP="005C5174">
      <w:pPr>
        <w:pStyle w:val="NoSpacing"/>
        <w:rPr>
          <w:lang w:val="en-GB"/>
        </w:rPr>
      </w:pPr>
      <w:r w:rsidRPr="005C5174">
        <w:rPr>
          <w:lang w:val="en-GB"/>
        </w:rPr>
        <w:t xml:space="preserve">Dunne, J. (2021) </w:t>
      </w:r>
      <w:r>
        <w:rPr>
          <w:lang w:val="en-GB"/>
        </w:rPr>
        <w:t>‘</w:t>
      </w:r>
      <w:r w:rsidRPr="005C5174">
        <w:rPr>
          <w:lang w:val="en-GB"/>
        </w:rPr>
        <w:t>Police seize record number of guns in raids across London</w:t>
      </w:r>
      <w:r>
        <w:rPr>
          <w:lang w:val="en-GB"/>
        </w:rPr>
        <w:t>’</w:t>
      </w:r>
      <w:r w:rsidRPr="005C5174">
        <w:rPr>
          <w:lang w:val="en-GB"/>
        </w:rPr>
        <w:t>, </w:t>
      </w:r>
      <w:r w:rsidRPr="005C5174">
        <w:rPr>
          <w:i/>
          <w:iCs/>
          <w:lang w:val="en-GB"/>
        </w:rPr>
        <w:t>Evening &amp; Standard</w:t>
      </w:r>
      <w:r w:rsidRPr="005C5174">
        <w:rPr>
          <w:lang w:val="en-GB"/>
        </w:rPr>
        <w:t>. Web.</w:t>
      </w:r>
    </w:p>
    <w:p w14:paraId="4BE7D2A9" w14:textId="77777777" w:rsidR="0098138A" w:rsidRDefault="0098138A" w:rsidP="005C5174">
      <w:pPr>
        <w:pStyle w:val="NoSpacing"/>
        <w:rPr>
          <w:lang w:val="en-GB"/>
        </w:rPr>
      </w:pPr>
      <w:r w:rsidRPr="00D84279">
        <w:rPr>
          <w:lang w:val="en-GB"/>
        </w:rPr>
        <w:t xml:space="preserve">Eberl, J.M., Meltzer, C.E., Heidenreich, T., Herrero, B., </w:t>
      </w:r>
      <w:proofErr w:type="spellStart"/>
      <w:r w:rsidRPr="00D84279">
        <w:rPr>
          <w:lang w:val="en-GB"/>
        </w:rPr>
        <w:t>Theorin</w:t>
      </w:r>
      <w:proofErr w:type="spellEnd"/>
      <w:r w:rsidRPr="00D84279">
        <w:rPr>
          <w:lang w:val="en-GB"/>
        </w:rPr>
        <w:t xml:space="preserve">, N., Lind, F., Berganza, R., Boomgaarden, H.G., Schemer, C. and </w:t>
      </w:r>
      <w:proofErr w:type="spellStart"/>
      <w:r w:rsidRPr="00D84279">
        <w:rPr>
          <w:lang w:val="en-GB"/>
        </w:rPr>
        <w:t>Strömbäck</w:t>
      </w:r>
      <w:proofErr w:type="spellEnd"/>
      <w:r w:rsidRPr="00D84279">
        <w:rPr>
          <w:lang w:val="en-GB"/>
        </w:rPr>
        <w:t>, J., 2018. The European media discourse on immigration and its effects: A literature review. </w:t>
      </w:r>
      <w:r w:rsidRPr="00D84279">
        <w:rPr>
          <w:i/>
          <w:iCs/>
          <w:lang w:val="en-GB"/>
        </w:rPr>
        <w:t>Annals of the International Communication Association</w:t>
      </w:r>
      <w:r w:rsidRPr="00D84279">
        <w:rPr>
          <w:lang w:val="en-GB"/>
        </w:rPr>
        <w:t>, </w:t>
      </w:r>
      <w:r w:rsidRPr="00D84279">
        <w:rPr>
          <w:i/>
          <w:iCs/>
          <w:lang w:val="en-GB"/>
        </w:rPr>
        <w:t>42</w:t>
      </w:r>
      <w:r w:rsidRPr="00D84279">
        <w:rPr>
          <w:lang w:val="en-GB"/>
        </w:rPr>
        <w:t>(3), pp.207-223.</w:t>
      </w:r>
    </w:p>
    <w:p w14:paraId="17897ECE" w14:textId="77777777" w:rsidR="0098138A" w:rsidRDefault="0098138A" w:rsidP="005C5174">
      <w:pPr>
        <w:pStyle w:val="NoSpacing"/>
        <w:rPr>
          <w:lang w:val="en-GB"/>
        </w:rPr>
      </w:pPr>
      <w:r w:rsidRPr="003B7075">
        <w:rPr>
          <w:lang w:val="en-GB"/>
        </w:rPr>
        <w:t xml:space="preserve">Freedman, M., Owens, E. and Bohn, S., 2018. Immigration, employment opportunities, and criminal </w:t>
      </w:r>
      <w:proofErr w:type="spellStart"/>
      <w:r w:rsidRPr="003B7075">
        <w:rPr>
          <w:lang w:val="en-GB"/>
        </w:rPr>
        <w:t>behavior</w:t>
      </w:r>
      <w:proofErr w:type="spellEnd"/>
      <w:r w:rsidRPr="003B7075">
        <w:rPr>
          <w:lang w:val="en-GB"/>
        </w:rPr>
        <w:t>. </w:t>
      </w:r>
      <w:r w:rsidRPr="003B7075">
        <w:rPr>
          <w:i/>
          <w:iCs/>
          <w:lang w:val="en-GB"/>
        </w:rPr>
        <w:t>American Economic Journal: Economic Policy</w:t>
      </w:r>
      <w:r w:rsidRPr="003B7075">
        <w:rPr>
          <w:lang w:val="en-GB"/>
        </w:rPr>
        <w:t>, </w:t>
      </w:r>
      <w:r w:rsidRPr="003B7075">
        <w:rPr>
          <w:i/>
          <w:iCs/>
          <w:lang w:val="en-GB"/>
        </w:rPr>
        <w:t>10</w:t>
      </w:r>
      <w:r w:rsidRPr="003B7075">
        <w:rPr>
          <w:lang w:val="en-GB"/>
        </w:rPr>
        <w:t>(2), pp.117-151.</w:t>
      </w:r>
    </w:p>
    <w:p w14:paraId="10D25D69" w14:textId="77777777" w:rsidR="0098138A" w:rsidRDefault="0098138A" w:rsidP="005C5174">
      <w:pPr>
        <w:pStyle w:val="NoSpacing"/>
        <w:rPr>
          <w:lang w:val="en-GB"/>
        </w:rPr>
      </w:pPr>
      <w:r w:rsidRPr="003B7075">
        <w:rPr>
          <w:lang w:val="en-GB"/>
        </w:rPr>
        <w:t>Griffiths, M. and Yeo, C., 2021. The UK’s hostile environment: Deputising immigration control. </w:t>
      </w:r>
      <w:r w:rsidRPr="003B7075">
        <w:rPr>
          <w:i/>
          <w:iCs/>
          <w:lang w:val="en-GB"/>
        </w:rPr>
        <w:t>Critical Social Policy</w:t>
      </w:r>
      <w:r w:rsidRPr="003B7075">
        <w:rPr>
          <w:lang w:val="en-GB"/>
        </w:rPr>
        <w:t>, </w:t>
      </w:r>
      <w:r w:rsidRPr="003B7075">
        <w:rPr>
          <w:i/>
          <w:iCs/>
          <w:lang w:val="en-GB"/>
        </w:rPr>
        <w:t>41</w:t>
      </w:r>
      <w:r w:rsidRPr="003B7075">
        <w:rPr>
          <w:lang w:val="en-GB"/>
        </w:rPr>
        <w:t>(4), pp.521-544.</w:t>
      </w:r>
    </w:p>
    <w:p w14:paraId="71563DF0" w14:textId="77777777" w:rsidR="0098138A" w:rsidRDefault="0098138A" w:rsidP="005C5174">
      <w:pPr>
        <w:pStyle w:val="NoSpacing"/>
        <w:rPr>
          <w:lang w:val="en-GB"/>
        </w:rPr>
      </w:pPr>
      <w:r w:rsidRPr="00D84279">
        <w:rPr>
          <w:lang w:val="en-GB"/>
        </w:rPr>
        <w:t>Joyce, P. and Laverick, W., 2022. </w:t>
      </w:r>
      <w:r w:rsidRPr="00D84279">
        <w:rPr>
          <w:i/>
          <w:iCs/>
          <w:lang w:val="en-GB"/>
        </w:rPr>
        <w:t>Criminal justice: An introduction</w:t>
      </w:r>
      <w:r w:rsidRPr="00D84279">
        <w:rPr>
          <w:lang w:val="en-GB"/>
        </w:rPr>
        <w:t>. Routledge.</w:t>
      </w:r>
    </w:p>
    <w:p w14:paraId="14931441" w14:textId="77777777" w:rsidR="0098138A" w:rsidRDefault="0098138A" w:rsidP="005C5174">
      <w:pPr>
        <w:pStyle w:val="NoSpacing"/>
        <w:rPr>
          <w:lang w:val="en-GB"/>
        </w:rPr>
      </w:pPr>
      <w:r w:rsidRPr="00D84279">
        <w:rPr>
          <w:lang w:val="en-GB"/>
        </w:rPr>
        <w:t>Kirk, D.S. and Wakefield, S., 2018. Collateral consequences of punishment: A critical review and path forward. </w:t>
      </w:r>
      <w:r w:rsidRPr="00D84279">
        <w:rPr>
          <w:i/>
          <w:iCs/>
          <w:lang w:val="en-GB"/>
        </w:rPr>
        <w:t>Annual Review of Criminology</w:t>
      </w:r>
      <w:r w:rsidRPr="00D84279">
        <w:rPr>
          <w:lang w:val="en-GB"/>
        </w:rPr>
        <w:t>, </w:t>
      </w:r>
      <w:r w:rsidRPr="00D84279">
        <w:rPr>
          <w:i/>
          <w:iCs/>
          <w:lang w:val="en-GB"/>
        </w:rPr>
        <w:t>1</w:t>
      </w:r>
      <w:r w:rsidRPr="00D84279">
        <w:rPr>
          <w:lang w:val="en-GB"/>
        </w:rPr>
        <w:t>, pp.171-194.</w:t>
      </w:r>
    </w:p>
    <w:p w14:paraId="697CC306" w14:textId="77777777" w:rsidR="0098138A" w:rsidRPr="005C5174" w:rsidRDefault="0098138A" w:rsidP="005C5174">
      <w:pPr>
        <w:pStyle w:val="NoSpacing"/>
        <w:rPr>
          <w:lang w:val="en-GB"/>
        </w:rPr>
      </w:pPr>
      <w:r w:rsidRPr="005C5174">
        <w:rPr>
          <w:lang w:val="en-GB"/>
        </w:rPr>
        <w:t>Metropolitan Police. (2021a) </w:t>
      </w:r>
      <w:r w:rsidRPr="005C5174">
        <w:rPr>
          <w:i/>
          <w:iCs/>
          <w:lang w:val="en-GB"/>
        </w:rPr>
        <w:t>Offences and detection</w:t>
      </w:r>
      <w:r w:rsidRPr="005C5174">
        <w:rPr>
          <w:lang w:val="en-GB"/>
        </w:rPr>
        <w:t>. Web.</w:t>
      </w:r>
    </w:p>
    <w:p w14:paraId="7252ACF8" w14:textId="77777777" w:rsidR="0098138A" w:rsidRPr="005C5174" w:rsidRDefault="0098138A" w:rsidP="005C5174">
      <w:pPr>
        <w:pStyle w:val="NoSpacing"/>
        <w:rPr>
          <w:lang w:val="en-GB"/>
        </w:rPr>
      </w:pPr>
      <w:r w:rsidRPr="005C5174">
        <w:rPr>
          <w:lang w:val="en-GB"/>
        </w:rPr>
        <w:t>Metropolitan Police. (2021b) </w:t>
      </w:r>
      <w:r w:rsidRPr="005C5174">
        <w:rPr>
          <w:i/>
          <w:iCs/>
          <w:lang w:val="en-GB"/>
        </w:rPr>
        <w:t>MPS FY 2020/21 crime statistics</w:t>
      </w:r>
      <w:r w:rsidRPr="005C5174">
        <w:rPr>
          <w:lang w:val="en-GB"/>
        </w:rPr>
        <w:t>. Web.</w:t>
      </w:r>
    </w:p>
    <w:p w14:paraId="68C2A698" w14:textId="77777777" w:rsidR="0098138A" w:rsidRDefault="0098138A" w:rsidP="005C5174">
      <w:pPr>
        <w:pStyle w:val="NoSpacing"/>
        <w:rPr>
          <w:lang w:val="en-GB"/>
        </w:rPr>
      </w:pPr>
      <w:r w:rsidRPr="003B7075">
        <w:rPr>
          <w:lang w:val="en-GB"/>
        </w:rPr>
        <w:t xml:space="preserve">Ousey, G.C. and </w:t>
      </w:r>
      <w:proofErr w:type="spellStart"/>
      <w:r w:rsidRPr="003B7075">
        <w:rPr>
          <w:lang w:val="en-GB"/>
        </w:rPr>
        <w:t>Kubrin</w:t>
      </w:r>
      <w:proofErr w:type="spellEnd"/>
      <w:r w:rsidRPr="003B7075">
        <w:rPr>
          <w:lang w:val="en-GB"/>
        </w:rPr>
        <w:t>, C.E., 2018. Immigration and crime: Assessing a contentious issue. </w:t>
      </w:r>
      <w:r w:rsidRPr="003B7075">
        <w:rPr>
          <w:i/>
          <w:iCs/>
          <w:lang w:val="en-GB"/>
        </w:rPr>
        <w:t>Annual Review of Criminology</w:t>
      </w:r>
      <w:r w:rsidRPr="003B7075">
        <w:rPr>
          <w:lang w:val="en-GB"/>
        </w:rPr>
        <w:t>, </w:t>
      </w:r>
      <w:r w:rsidRPr="003B7075">
        <w:rPr>
          <w:i/>
          <w:iCs/>
          <w:lang w:val="en-GB"/>
        </w:rPr>
        <w:t>1</w:t>
      </w:r>
      <w:r w:rsidRPr="003B7075">
        <w:rPr>
          <w:lang w:val="en-GB"/>
        </w:rPr>
        <w:t>, pp.63-84.</w:t>
      </w:r>
    </w:p>
    <w:p w14:paraId="0E7E02D8" w14:textId="77777777" w:rsidR="0098138A" w:rsidRDefault="0098138A" w:rsidP="005C5174">
      <w:pPr>
        <w:pStyle w:val="NoSpacing"/>
        <w:rPr>
          <w:lang w:val="en-GB"/>
        </w:rPr>
      </w:pPr>
      <w:r w:rsidRPr="00D84279">
        <w:rPr>
          <w:lang w:val="en-GB"/>
        </w:rPr>
        <w:t xml:space="preserve">Papalia, N., Luebbers, S. and </w:t>
      </w:r>
      <w:proofErr w:type="spellStart"/>
      <w:r w:rsidRPr="00D84279">
        <w:rPr>
          <w:lang w:val="en-GB"/>
        </w:rPr>
        <w:t>Ogloff</w:t>
      </w:r>
      <w:proofErr w:type="spellEnd"/>
      <w:r w:rsidRPr="00D84279">
        <w:rPr>
          <w:lang w:val="en-GB"/>
        </w:rPr>
        <w:t>, J.R., 2018. Child sexual abuse and the propensity to engage in criminal behaviour: A critical review and examination of moderating factors. </w:t>
      </w:r>
      <w:r w:rsidRPr="00D84279">
        <w:rPr>
          <w:i/>
          <w:iCs/>
          <w:lang w:val="en-GB"/>
        </w:rPr>
        <w:t xml:space="preserve">Aggression and violent </w:t>
      </w:r>
      <w:proofErr w:type="spellStart"/>
      <w:r w:rsidRPr="00D84279">
        <w:rPr>
          <w:i/>
          <w:iCs/>
          <w:lang w:val="en-GB"/>
        </w:rPr>
        <w:t>behavior</w:t>
      </w:r>
      <w:proofErr w:type="spellEnd"/>
      <w:r w:rsidRPr="00D84279">
        <w:rPr>
          <w:lang w:val="en-GB"/>
        </w:rPr>
        <w:t>, </w:t>
      </w:r>
      <w:r w:rsidRPr="00D84279">
        <w:rPr>
          <w:i/>
          <w:iCs/>
          <w:lang w:val="en-GB"/>
        </w:rPr>
        <w:t>43</w:t>
      </w:r>
      <w:r w:rsidRPr="00D84279">
        <w:rPr>
          <w:lang w:val="en-GB"/>
        </w:rPr>
        <w:t>, pp.71-89.</w:t>
      </w:r>
    </w:p>
    <w:p w14:paraId="133FC1FB" w14:textId="77777777" w:rsidR="0098138A" w:rsidRPr="005C5174" w:rsidRDefault="0098138A" w:rsidP="005C5174">
      <w:pPr>
        <w:pStyle w:val="NoSpacing"/>
      </w:pPr>
      <w:r w:rsidRPr="00D84279">
        <w:rPr>
          <w:lang w:val="en-GB"/>
        </w:rPr>
        <w:lastRenderedPageBreak/>
        <w:t>Parmar, A., 2020. Borders as mirrors: Racial hierarchies and policing migration. </w:t>
      </w:r>
      <w:r w:rsidRPr="00D84279">
        <w:rPr>
          <w:i/>
          <w:iCs/>
          <w:lang w:val="en-GB"/>
        </w:rPr>
        <w:t>Critical Criminology</w:t>
      </w:r>
      <w:r w:rsidRPr="00D84279">
        <w:rPr>
          <w:lang w:val="en-GB"/>
        </w:rPr>
        <w:t>, </w:t>
      </w:r>
      <w:r w:rsidRPr="00D84279">
        <w:rPr>
          <w:i/>
          <w:iCs/>
          <w:lang w:val="en-GB"/>
        </w:rPr>
        <w:t>28</w:t>
      </w:r>
      <w:r w:rsidRPr="00D84279">
        <w:rPr>
          <w:lang w:val="en-GB"/>
        </w:rPr>
        <w:t>(2), pp.175-192.</w:t>
      </w:r>
    </w:p>
    <w:p w14:paraId="100185CA" w14:textId="77777777" w:rsidR="0098138A" w:rsidRDefault="0098138A" w:rsidP="005C5174">
      <w:pPr>
        <w:pStyle w:val="NoSpacing"/>
        <w:rPr>
          <w:lang w:val="en-GB"/>
        </w:rPr>
      </w:pPr>
      <w:r w:rsidRPr="005C5174">
        <w:rPr>
          <w:lang w:val="en-GB"/>
        </w:rPr>
        <w:t xml:space="preserve">Press Office. (2018) </w:t>
      </w:r>
      <w:r>
        <w:rPr>
          <w:lang w:val="en-GB"/>
        </w:rPr>
        <w:t>‘</w:t>
      </w:r>
      <w:r w:rsidRPr="005C5174">
        <w:rPr>
          <w:lang w:val="en-GB"/>
        </w:rPr>
        <w:t>Inequality must be tackled to stop London crime surge</w:t>
      </w:r>
      <w:r>
        <w:rPr>
          <w:lang w:val="en-GB"/>
        </w:rPr>
        <w:t>’</w:t>
      </w:r>
      <w:r w:rsidRPr="005C5174">
        <w:rPr>
          <w:lang w:val="en-GB"/>
        </w:rPr>
        <w:t>, </w:t>
      </w:r>
      <w:r w:rsidRPr="005C5174">
        <w:rPr>
          <w:i/>
          <w:iCs/>
          <w:lang w:val="en-GB"/>
        </w:rPr>
        <w:t>University of Kent</w:t>
      </w:r>
      <w:r w:rsidRPr="005C5174">
        <w:rPr>
          <w:lang w:val="en-GB"/>
        </w:rPr>
        <w:t>. Web.</w:t>
      </w:r>
    </w:p>
    <w:p w14:paraId="2576546D" w14:textId="77777777" w:rsidR="0098138A" w:rsidRDefault="0098138A" w:rsidP="005C5174">
      <w:pPr>
        <w:pStyle w:val="NoSpacing"/>
        <w:rPr>
          <w:lang w:val="en-GB"/>
        </w:rPr>
      </w:pPr>
      <w:r w:rsidRPr="003B7075">
        <w:rPr>
          <w:lang w:val="en-GB"/>
        </w:rPr>
        <w:t>Stansfield, R. and Stone, B., 2018. Threat perceptions of migrants in Britain and support for policy. </w:t>
      </w:r>
      <w:r w:rsidRPr="003B7075">
        <w:rPr>
          <w:i/>
          <w:iCs/>
          <w:lang w:val="en-GB"/>
        </w:rPr>
        <w:t>Sociological Perspectives</w:t>
      </w:r>
      <w:r w:rsidRPr="003B7075">
        <w:rPr>
          <w:lang w:val="en-GB"/>
        </w:rPr>
        <w:t>, </w:t>
      </w:r>
      <w:r w:rsidRPr="003B7075">
        <w:rPr>
          <w:i/>
          <w:iCs/>
          <w:lang w:val="en-GB"/>
        </w:rPr>
        <w:t>61</w:t>
      </w:r>
      <w:r w:rsidRPr="003B7075">
        <w:rPr>
          <w:lang w:val="en-GB"/>
        </w:rPr>
        <w:t>(4), pp.592-609.</w:t>
      </w:r>
    </w:p>
    <w:p w14:paraId="540FC9AE" w14:textId="77777777" w:rsidR="00FF1B1B" w:rsidRDefault="00FF1B1B"/>
    <w:sectPr w:rsidR="00FF1B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885"/>
    <w:rsid w:val="00035ED8"/>
    <w:rsid w:val="00036495"/>
    <w:rsid w:val="000A02FE"/>
    <w:rsid w:val="000B6CB4"/>
    <w:rsid w:val="001676C5"/>
    <w:rsid w:val="002A4E25"/>
    <w:rsid w:val="003004CB"/>
    <w:rsid w:val="003054A5"/>
    <w:rsid w:val="003147EE"/>
    <w:rsid w:val="0032094C"/>
    <w:rsid w:val="003B2737"/>
    <w:rsid w:val="003B7075"/>
    <w:rsid w:val="003C509C"/>
    <w:rsid w:val="00452D63"/>
    <w:rsid w:val="004612FE"/>
    <w:rsid w:val="00487D14"/>
    <w:rsid w:val="004D2713"/>
    <w:rsid w:val="00582386"/>
    <w:rsid w:val="005C5174"/>
    <w:rsid w:val="005E7F48"/>
    <w:rsid w:val="00672D4A"/>
    <w:rsid w:val="00715C4D"/>
    <w:rsid w:val="00760935"/>
    <w:rsid w:val="0077657A"/>
    <w:rsid w:val="007F6E82"/>
    <w:rsid w:val="008355D4"/>
    <w:rsid w:val="0085496D"/>
    <w:rsid w:val="0098138A"/>
    <w:rsid w:val="00A31B88"/>
    <w:rsid w:val="00A50DD1"/>
    <w:rsid w:val="00AB74D5"/>
    <w:rsid w:val="00AF3135"/>
    <w:rsid w:val="00B10F92"/>
    <w:rsid w:val="00C7392F"/>
    <w:rsid w:val="00D13721"/>
    <w:rsid w:val="00D40885"/>
    <w:rsid w:val="00D8317E"/>
    <w:rsid w:val="00D84279"/>
    <w:rsid w:val="00DD7324"/>
    <w:rsid w:val="00F03E32"/>
    <w:rsid w:val="00F5262E"/>
    <w:rsid w:val="00FF1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5A0F1"/>
  <w15:chartTrackingRefBased/>
  <w15:docId w15:val="{1AD3E22B-AC00-41E7-B79F-2F430035D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4A5"/>
    <w:pPr>
      <w:spacing w:before="120" w:after="120" w:line="360" w:lineRule="auto"/>
      <w:ind w:firstLine="720"/>
    </w:pPr>
    <w:rPr>
      <w:rFonts w:ascii="Times New Roman" w:hAnsi="Times New Roman"/>
      <w:sz w:val="24"/>
      <w:lang w:val="en-GB"/>
    </w:rPr>
  </w:style>
  <w:style w:type="paragraph" w:styleId="Heading1">
    <w:name w:val="heading 1"/>
    <w:basedOn w:val="Normal"/>
    <w:next w:val="Normal"/>
    <w:link w:val="Heading1Char"/>
    <w:uiPriority w:val="9"/>
    <w:qFormat/>
    <w:rsid w:val="003054A5"/>
    <w:pPr>
      <w:keepNext/>
      <w:keepLines/>
      <w:ind w:firstLine="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3054A5"/>
    <w:pPr>
      <w:keepNext/>
      <w:keepLines/>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3054A5"/>
    <w:pPr>
      <w:keepNext/>
      <w:keepLines/>
      <w:ind w:firstLine="0"/>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054A5"/>
    <w:pPr>
      <w:spacing w:before="120" w:after="120" w:line="240" w:lineRule="auto"/>
      <w:ind w:left="720" w:hanging="720"/>
    </w:pPr>
    <w:rPr>
      <w:rFonts w:ascii="Times New Roman" w:hAnsi="Times New Roman"/>
      <w:sz w:val="24"/>
    </w:rPr>
  </w:style>
  <w:style w:type="character" w:customStyle="1" w:styleId="Heading1Char">
    <w:name w:val="Heading 1 Char"/>
    <w:basedOn w:val="DefaultParagraphFont"/>
    <w:link w:val="Heading1"/>
    <w:uiPriority w:val="9"/>
    <w:rsid w:val="003054A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3054A5"/>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3054A5"/>
    <w:rPr>
      <w:rFonts w:ascii="Times New Roman" w:eastAsiaTheme="majorEastAsia" w:hAnsi="Times New Roman" w:cstheme="majorBidi"/>
      <w:i/>
      <w:color w:val="000000" w:themeColor="text1"/>
      <w:sz w:val="24"/>
      <w:szCs w:val="24"/>
    </w:rPr>
  </w:style>
  <w:style w:type="character" w:styleId="Hyperlink">
    <w:name w:val="Hyperlink"/>
    <w:basedOn w:val="DefaultParagraphFont"/>
    <w:uiPriority w:val="99"/>
    <w:unhideWhenUsed/>
    <w:rsid w:val="00D40885"/>
    <w:rPr>
      <w:color w:val="0563C1" w:themeColor="hyperlink"/>
      <w:u w:val="single"/>
    </w:rPr>
  </w:style>
  <w:style w:type="character" w:styleId="UnresolvedMention">
    <w:name w:val="Unresolved Mention"/>
    <w:basedOn w:val="DefaultParagraphFont"/>
    <w:uiPriority w:val="99"/>
    <w:semiHidden/>
    <w:unhideWhenUsed/>
    <w:rsid w:val="00D40885"/>
    <w:rPr>
      <w:color w:val="605E5C"/>
      <w:shd w:val="clear" w:color="auto" w:fill="E1DFDD"/>
    </w:rPr>
  </w:style>
  <w:style w:type="paragraph" w:styleId="TOCHeading">
    <w:name w:val="TOC Heading"/>
    <w:basedOn w:val="Heading1"/>
    <w:next w:val="Normal"/>
    <w:uiPriority w:val="39"/>
    <w:unhideWhenUsed/>
    <w:qFormat/>
    <w:rsid w:val="000A02FE"/>
    <w:pPr>
      <w:spacing w:before="240"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A02FE"/>
    <w:pPr>
      <w:spacing w:after="100"/>
    </w:pPr>
  </w:style>
  <w:style w:type="paragraph" w:styleId="TOC2">
    <w:name w:val="toc 2"/>
    <w:basedOn w:val="Normal"/>
    <w:next w:val="Normal"/>
    <w:autoRedefine/>
    <w:uiPriority w:val="39"/>
    <w:unhideWhenUsed/>
    <w:rsid w:val="000A02FE"/>
    <w:pPr>
      <w:spacing w:after="100"/>
      <w:ind w:left="240"/>
    </w:pPr>
  </w:style>
  <w:style w:type="paragraph" w:styleId="Caption">
    <w:name w:val="caption"/>
    <w:basedOn w:val="Normal"/>
    <w:next w:val="Normal"/>
    <w:uiPriority w:val="35"/>
    <w:unhideWhenUsed/>
    <w:qFormat/>
    <w:rsid w:val="003004CB"/>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509354">
      <w:bodyDiv w:val="1"/>
      <w:marLeft w:val="0"/>
      <w:marRight w:val="0"/>
      <w:marTop w:val="0"/>
      <w:marBottom w:val="0"/>
      <w:divBdr>
        <w:top w:val="none" w:sz="0" w:space="0" w:color="auto"/>
        <w:left w:val="none" w:sz="0" w:space="0" w:color="auto"/>
        <w:bottom w:val="none" w:sz="0" w:space="0" w:color="auto"/>
        <w:right w:val="none" w:sz="0" w:space="0" w:color="auto"/>
      </w:divBdr>
    </w:div>
    <w:div w:id="967393236">
      <w:bodyDiv w:val="1"/>
      <w:marLeft w:val="0"/>
      <w:marRight w:val="0"/>
      <w:marTop w:val="0"/>
      <w:marBottom w:val="0"/>
      <w:divBdr>
        <w:top w:val="none" w:sz="0" w:space="0" w:color="auto"/>
        <w:left w:val="none" w:sz="0" w:space="0" w:color="auto"/>
        <w:bottom w:val="none" w:sz="0" w:space="0" w:color="auto"/>
        <w:right w:val="none" w:sz="0" w:space="0" w:color="auto"/>
      </w:divBdr>
      <w:divsChild>
        <w:div w:id="1444111644">
          <w:marLeft w:val="0"/>
          <w:marRight w:val="0"/>
          <w:marTop w:val="0"/>
          <w:marBottom w:val="0"/>
          <w:divBdr>
            <w:top w:val="single" w:sz="12" w:space="0" w:color="D9F0EE"/>
            <w:left w:val="single" w:sz="12" w:space="0" w:color="D9F0EE"/>
            <w:bottom w:val="single" w:sz="12" w:space="0" w:color="D9F0EE"/>
            <w:right w:val="single" w:sz="12" w:space="0" w:color="D9F0EE"/>
          </w:divBdr>
          <w:divsChild>
            <w:div w:id="1126892094">
              <w:marLeft w:val="0"/>
              <w:marRight w:val="0"/>
              <w:marTop w:val="100"/>
              <w:marBottom w:val="100"/>
              <w:divBdr>
                <w:top w:val="none" w:sz="0" w:space="0" w:color="auto"/>
                <w:left w:val="none" w:sz="0" w:space="0" w:color="auto"/>
                <w:bottom w:val="none" w:sz="0" w:space="0" w:color="auto"/>
                <w:right w:val="none" w:sz="0" w:space="0" w:color="auto"/>
              </w:divBdr>
              <w:divsChild>
                <w:div w:id="1899706995">
                  <w:marLeft w:val="0"/>
                  <w:marRight w:val="0"/>
                  <w:marTop w:val="0"/>
                  <w:marBottom w:val="0"/>
                  <w:divBdr>
                    <w:top w:val="none" w:sz="0" w:space="0" w:color="auto"/>
                    <w:left w:val="none" w:sz="0" w:space="0" w:color="auto"/>
                    <w:bottom w:val="none" w:sz="0" w:space="0" w:color="auto"/>
                    <w:right w:val="none" w:sz="0" w:space="0" w:color="auto"/>
                  </w:divBdr>
                </w:div>
                <w:div w:id="88739993">
                  <w:marLeft w:val="0"/>
                  <w:marRight w:val="0"/>
                  <w:marTop w:val="0"/>
                  <w:marBottom w:val="0"/>
                  <w:divBdr>
                    <w:top w:val="none" w:sz="0" w:space="0" w:color="auto"/>
                    <w:left w:val="none" w:sz="0" w:space="0" w:color="auto"/>
                    <w:bottom w:val="none" w:sz="0" w:space="0" w:color="auto"/>
                    <w:right w:val="none" w:sz="0" w:space="0" w:color="auto"/>
                  </w:divBdr>
                  <w:divsChild>
                    <w:div w:id="149726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893654">
              <w:marLeft w:val="0"/>
              <w:marRight w:val="0"/>
              <w:marTop w:val="0"/>
              <w:marBottom w:val="0"/>
              <w:divBdr>
                <w:top w:val="none" w:sz="0" w:space="0" w:color="auto"/>
                <w:left w:val="none" w:sz="0" w:space="0" w:color="auto"/>
                <w:bottom w:val="none" w:sz="0" w:space="0" w:color="auto"/>
                <w:right w:val="none" w:sz="0" w:space="0" w:color="auto"/>
              </w:divBdr>
            </w:div>
          </w:divsChild>
        </w:div>
        <w:div w:id="627080516">
          <w:marLeft w:val="0"/>
          <w:marRight w:val="0"/>
          <w:marTop w:val="0"/>
          <w:marBottom w:val="0"/>
          <w:divBdr>
            <w:top w:val="single" w:sz="12" w:space="0" w:color="CFE7E5"/>
            <w:left w:val="single" w:sz="12" w:space="0" w:color="CFE7E5"/>
            <w:bottom w:val="single" w:sz="12" w:space="0" w:color="CFE7E5"/>
            <w:right w:val="single" w:sz="12" w:space="0" w:color="CFE7E5"/>
          </w:divBdr>
          <w:divsChild>
            <w:div w:id="1282104509">
              <w:marLeft w:val="0"/>
              <w:marRight w:val="0"/>
              <w:marTop w:val="100"/>
              <w:marBottom w:val="100"/>
              <w:divBdr>
                <w:top w:val="none" w:sz="0" w:space="0" w:color="auto"/>
                <w:left w:val="none" w:sz="0" w:space="0" w:color="auto"/>
                <w:bottom w:val="none" w:sz="0" w:space="0" w:color="auto"/>
                <w:right w:val="none" w:sz="0" w:space="0" w:color="auto"/>
              </w:divBdr>
              <w:divsChild>
                <w:div w:id="2047440860">
                  <w:marLeft w:val="0"/>
                  <w:marRight w:val="0"/>
                  <w:marTop w:val="0"/>
                  <w:marBottom w:val="0"/>
                  <w:divBdr>
                    <w:top w:val="none" w:sz="0" w:space="0" w:color="auto"/>
                    <w:left w:val="none" w:sz="0" w:space="0" w:color="auto"/>
                    <w:bottom w:val="none" w:sz="0" w:space="0" w:color="auto"/>
                    <w:right w:val="none" w:sz="0" w:space="0" w:color="auto"/>
                  </w:divBdr>
                </w:div>
                <w:div w:id="1887915382">
                  <w:marLeft w:val="0"/>
                  <w:marRight w:val="0"/>
                  <w:marTop w:val="0"/>
                  <w:marBottom w:val="0"/>
                  <w:divBdr>
                    <w:top w:val="none" w:sz="0" w:space="0" w:color="auto"/>
                    <w:left w:val="none" w:sz="0" w:space="0" w:color="auto"/>
                    <w:bottom w:val="none" w:sz="0" w:space="0" w:color="auto"/>
                    <w:right w:val="none" w:sz="0" w:space="0" w:color="auto"/>
                  </w:divBdr>
                </w:div>
              </w:divsChild>
            </w:div>
            <w:div w:id="1952781898">
              <w:marLeft w:val="0"/>
              <w:marRight w:val="0"/>
              <w:marTop w:val="0"/>
              <w:marBottom w:val="0"/>
              <w:divBdr>
                <w:top w:val="none" w:sz="0" w:space="0" w:color="auto"/>
                <w:left w:val="none" w:sz="0" w:space="0" w:color="auto"/>
                <w:bottom w:val="none" w:sz="0" w:space="0" w:color="auto"/>
                <w:right w:val="none" w:sz="0" w:space="0" w:color="auto"/>
              </w:divBdr>
            </w:div>
          </w:divsChild>
        </w:div>
        <w:div w:id="354231344">
          <w:marLeft w:val="0"/>
          <w:marRight w:val="0"/>
          <w:marTop w:val="0"/>
          <w:marBottom w:val="0"/>
          <w:divBdr>
            <w:top w:val="single" w:sz="12" w:space="0" w:color="CFE7E5"/>
            <w:left w:val="single" w:sz="12" w:space="0" w:color="CFE7E5"/>
            <w:bottom w:val="single" w:sz="12" w:space="0" w:color="CFE7E5"/>
            <w:right w:val="single" w:sz="12" w:space="0" w:color="CFE7E5"/>
          </w:divBdr>
          <w:divsChild>
            <w:div w:id="2087531324">
              <w:marLeft w:val="0"/>
              <w:marRight w:val="0"/>
              <w:marTop w:val="100"/>
              <w:marBottom w:val="100"/>
              <w:divBdr>
                <w:top w:val="none" w:sz="0" w:space="0" w:color="auto"/>
                <w:left w:val="none" w:sz="0" w:space="0" w:color="auto"/>
                <w:bottom w:val="none" w:sz="0" w:space="0" w:color="auto"/>
                <w:right w:val="none" w:sz="0" w:space="0" w:color="auto"/>
              </w:divBdr>
              <w:divsChild>
                <w:div w:id="1421100386">
                  <w:marLeft w:val="0"/>
                  <w:marRight w:val="0"/>
                  <w:marTop w:val="0"/>
                  <w:marBottom w:val="0"/>
                  <w:divBdr>
                    <w:top w:val="none" w:sz="0" w:space="0" w:color="auto"/>
                    <w:left w:val="none" w:sz="0" w:space="0" w:color="auto"/>
                    <w:bottom w:val="none" w:sz="0" w:space="0" w:color="auto"/>
                    <w:right w:val="none" w:sz="0" w:space="0" w:color="auto"/>
                  </w:divBdr>
                </w:div>
                <w:div w:id="1489707497">
                  <w:marLeft w:val="0"/>
                  <w:marRight w:val="0"/>
                  <w:marTop w:val="0"/>
                  <w:marBottom w:val="0"/>
                  <w:divBdr>
                    <w:top w:val="none" w:sz="0" w:space="0" w:color="auto"/>
                    <w:left w:val="none" w:sz="0" w:space="0" w:color="auto"/>
                    <w:bottom w:val="none" w:sz="0" w:space="0" w:color="auto"/>
                    <w:right w:val="none" w:sz="0" w:space="0" w:color="auto"/>
                  </w:divBdr>
                </w:div>
              </w:divsChild>
            </w:div>
            <w:div w:id="215435383">
              <w:marLeft w:val="0"/>
              <w:marRight w:val="0"/>
              <w:marTop w:val="0"/>
              <w:marBottom w:val="0"/>
              <w:divBdr>
                <w:top w:val="none" w:sz="0" w:space="0" w:color="auto"/>
                <w:left w:val="none" w:sz="0" w:space="0" w:color="auto"/>
                <w:bottom w:val="none" w:sz="0" w:space="0" w:color="auto"/>
                <w:right w:val="none" w:sz="0" w:space="0" w:color="auto"/>
              </w:divBdr>
            </w:div>
          </w:divsChild>
        </w:div>
        <w:div w:id="1652100485">
          <w:marLeft w:val="0"/>
          <w:marRight w:val="0"/>
          <w:marTop w:val="0"/>
          <w:marBottom w:val="0"/>
          <w:divBdr>
            <w:top w:val="single" w:sz="12" w:space="0" w:color="CFE7E5"/>
            <w:left w:val="single" w:sz="12" w:space="0" w:color="CFE7E5"/>
            <w:bottom w:val="single" w:sz="12" w:space="0" w:color="CFE7E5"/>
            <w:right w:val="single" w:sz="12" w:space="0" w:color="CFE7E5"/>
          </w:divBdr>
          <w:divsChild>
            <w:div w:id="1542552838">
              <w:marLeft w:val="0"/>
              <w:marRight w:val="0"/>
              <w:marTop w:val="0"/>
              <w:marBottom w:val="0"/>
              <w:divBdr>
                <w:top w:val="none" w:sz="0" w:space="0" w:color="auto"/>
                <w:left w:val="none" w:sz="0" w:space="0" w:color="auto"/>
                <w:bottom w:val="none" w:sz="0" w:space="0" w:color="auto"/>
                <w:right w:val="none" w:sz="0" w:space="0" w:color="auto"/>
              </w:divBdr>
              <w:divsChild>
                <w:div w:id="1743025443">
                  <w:marLeft w:val="0"/>
                  <w:marRight w:val="0"/>
                  <w:marTop w:val="0"/>
                  <w:marBottom w:val="0"/>
                  <w:divBdr>
                    <w:top w:val="none" w:sz="0" w:space="0" w:color="auto"/>
                    <w:left w:val="none" w:sz="0" w:space="0" w:color="auto"/>
                    <w:bottom w:val="none" w:sz="0" w:space="0" w:color="auto"/>
                    <w:right w:val="none" w:sz="0" w:space="0" w:color="auto"/>
                  </w:divBdr>
                </w:div>
              </w:divsChild>
            </w:div>
            <w:div w:id="56827069">
              <w:marLeft w:val="0"/>
              <w:marRight w:val="0"/>
              <w:marTop w:val="0"/>
              <w:marBottom w:val="0"/>
              <w:divBdr>
                <w:top w:val="none" w:sz="0" w:space="0" w:color="auto"/>
                <w:left w:val="none" w:sz="0" w:space="0" w:color="auto"/>
                <w:bottom w:val="none" w:sz="0" w:space="0" w:color="auto"/>
                <w:right w:val="none" w:sz="0" w:space="0" w:color="auto"/>
              </w:divBdr>
              <w:divsChild>
                <w:div w:id="896937150">
                  <w:marLeft w:val="0"/>
                  <w:marRight w:val="0"/>
                  <w:marTop w:val="0"/>
                  <w:marBottom w:val="0"/>
                  <w:divBdr>
                    <w:top w:val="none" w:sz="0" w:space="0" w:color="auto"/>
                    <w:left w:val="none" w:sz="0" w:space="0" w:color="auto"/>
                    <w:bottom w:val="none" w:sz="0" w:space="0" w:color="auto"/>
                    <w:right w:val="none" w:sz="0" w:space="0" w:color="auto"/>
                  </w:divBdr>
                  <w:divsChild>
                    <w:div w:id="7563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20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60676">
      <w:bodyDiv w:val="1"/>
      <w:marLeft w:val="0"/>
      <w:marRight w:val="0"/>
      <w:marTop w:val="0"/>
      <w:marBottom w:val="0"/>
      <w:divBdr>
        <w:top w:val="none" w:sz="0" w:space="0" w:color="auto"/>
        <w:left w:val="none" w:sz="0" w:space="0" w:color="auto"/>
        <w:bottom w:val="none" w:sz="0" w:space="0" w:color="auto"/>
        <w:right w:val="none" w:sz="0" w:space="0" w:color="auto"/>
      </w:divBdr>
    </w:div>
    <w:div w:id="1626427494">
      <w:bodyDiv w:val="1"/>
      <w:marLeft w:val="0"/>
      <w:marRight w:val="0"/>
      <w:marTop w:val="0"/>
      <w:marBottom w:val="0"/>
      <w:divBdr>
        <w:top w:val="none" w:sz="0" w:space="0" w:color="auto"/>
        <w:left w:val="none" w:sz="0" w:space="0" w:color="auto"/>
        <w:bottom w:val="none" w:sz="0" w:space="0" w:color="auto"/>
        <w:right w:val="none" w:sz="0" w:space="0" w:color="auto"/>
      </w:divBdr>
    </w:div>
    <w:div w:id="168913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heguardian.com/uk-news/2018/jun/14/rising-is-symptom-of-inequality-says-senior-met-chie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3BB7A-AC4B-4BDD-9276-9BCB6BCEF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2508</Words>
  <Characters>13788</Characters>
  <Application>Microsoft Office Word</Application>
  <DocSecurity>0</DocSecurity>
  <Lines>214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dc:creator>
  <cp:keywords/>
  <dc:description/>
  <cp:lastModifiedBy>nilufa begum</cp:lastModifiedBy>
  <cp:revision>6</cp:revision>
  <dcterms:created xsi:type="dcterms:W3CDTF">2024-01-07T21:13:00Z</dcterms:created>
  <dcterms:modified xsi:type="dcterms:W3CDTF">2024-01-07T21:24:00Z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d1ecf2a7c86d2e643eca2a2c8f3c3afad24cd9c7e197989cdacaf48d1ed356ef</vt:lpwstr>
  </property>
</Properties>
</file>