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6D357" w14:textId="77777777" w:rsidR="005E50CF" w:rsidRPr="00FD276A" w:rsidRDefault="005E50CF" w:rsidP="00FD276A">
      <w:pPr>
        <w:spacing w:line="360" w:lineRule="auto"/>
        <w:ind w:right="100"/>
        <w:jc w:val="both"/>
        <w:rPr>
          <w:rFonts w:ascii="Arial" w:hAnsi="Arial" w:cs="Arial"/>
          <w:b/>
          <w:bCs/>
          <w:sz w:val="28"/>
          <w:szCs w:val="28"/>
        </w:rPr>
      </w:pPr>
    </w:p>
    <w:p w14:paraId="11807242" w14:textId="77777777" w:rsidR="00DC28E9" w:rsidRDefault="00DC28E9" w:rsidP="007B0926">
      <w:pPr>
        <w:spacing w:line="360" w:lineRule="auto"/>
        <w:ind w:right="100"/>
        <w:jc w:val="center"/>
        <w:rPr>
          <w:rFonts w:ascii="Arial" w:hAnsi="Arial" w:cs="Arial"/>
          <w:b/>
          <w:bCs/>
          <w:sz w:val="32"/>
          <w:szCs w:val="32"/>
        </w:rPr>
      </w:pPr>
    </w:p>
    <w:p w14:paraId="080706E4" w14:textId="6D87E59C" w:rsidR="007B0926" w:rsidRPr="004352E7" w:rsidRDefault="003E46ED" w:rsidP="007B0926">
      <w:pPr>
        <w:spacing w:line="360" w:lineRule="auto"/>
        <w:ind w:right="100"/>
        <w:jc w:val="center"/>
        <w:rPr>
          <w:rFonts w:ascii="Arial" w:hAnsi="Arial" w:cs="Arial"/>
          <w:b/>
          <w:bCs/>
          <w:sz w:val="32"/>
          <w:szCs w:val="32"/>
        </w:rPr>
      </w:pPr>
      <w:r w:rsidRPr="004352E7">
        <w:rPr>
          <w:rFonts w:ascii="Arial" w:hAnsi="Arial" w:cs="Arial"/>
          <w:b/>
          <w:bCs/>
          <w:sz w:val="32"/>
          <w:szCs w:val="32"/>
        </w:rPr>
        <w:t>Social Epidemiology and Public Health Development</w:t>
      </w:r>
    </w:p>
    <w:p w14:paraId="161A57AA" w14:textId="4B9FBB27" w:rsidR="003E46ED" w:rsidRPr="004352E7" w:rsidRDefault="0084517B" w:rsidP="007B0926">
      <w:pPr>
        <w:spacing w:line="360" w:lineRule="auto"/>
        <w:ind w:right="100"/>
        <w:jc w:val="center"/>
        <w:rPr>
          <w:rFonts w:ascii="Arial" w:hAnsi="Arial" w:cs="Arial"/>
          <w:sz w:val="32"/>
          <w:szCs w:val="32"/>
        </w:rPr>
      </w:pPr>
      <w:r w:rsidRPr="004352E7">
        <w:rPr>
          <w:rStyle w:val="Strong"/>
          <w:rFonts w:ascii="Arial" w:hAnsi="Arial" w:cs="Arial"/>
          <w:color w:val="000000" w:themeColor="text1"/>
          <w:sz w:val="32"/>
          <w:szCs w:val="32"/>
        </w:rPr>
        <w:t xml:space="preserve">Module: </w:t>
      </w:r>
      <w:r w:rsidRPr="004352E7">
        <w:rPr>
          <w:rFonts w:ascii="Arial" w:hAnsi="Arial" w:cs="Arial"/>
          <w:b/>
          <w:bCs/>
          <w:sz w:val="32"/>
          <w:szCs w:val="32"/>
        </w:rPr>
        <w:t>LCHS7000_LON</w:t>
      </w:r>
    </w:p>
    <w:p w14:paraId="36962062" w14:textId="327CCEB6" w:rsidR="0084517B" w:rsidRPr="004352E7" w:rsidRDefault="0084517B" w:rsidP="007B0926">
      <w:pPr>
        <w:spacing w:line="360" w:lineRule="auto"/>
        <w:ind w:right="100"/>
        <w:jc w:val="center"/>
        <w:rPr>
          <w:rFonts w:ascii="Arial" w:hAnsi="Arial" w:cs="Arial"/>
          <w:b/>
          <w:bCs/>
          <w:color w:val="00B050"/>
          <w:sz w:val="32"/>
          <w:szCs w:val="32"/>
        </w:rPr>
      </w:pPr>
      <w:r w:rsidRPr="004352E7">
        <w:rPr>
          <w:rFonts w:ascii="Arial" w:hAnsi="Arial" w:cs="Arial"/>
          <w:b/>
          <w:bCs/>
          <w:color w:val="00B050"/>
          <w:sz w:val="32"/>
          <w:szCs w:val="32"/>
          <w:lang w:val="en-US"/>
        </w:rPr>
        <w:t>Module Leader:</w:t>
      </w:r>
      <w:r w:rsidRPr="004352E7">
        <w:rPr>
          <w:rFonts w:ascii="Arial" w:hAnsi="Arial" w:cs="Arial"/>
          <w:b/>
          <w:bCs/>
          <w:color w:val="00B050"/>
          <w:sz w:val="32"/>
          <w:szCs w:val="32"/>
          <w:lang w:val="en-US"/>
        </w:rPr>
        <w:tab/>
        <w:t xml:space="preserve">Dr </w:t>
      </w:r>
      <w:proofErr w:type="spellStart"/>
      <w:r w:rsidRPr="004352E7">
        <w:rPr>
          <w:rFonts w:ascii="Arial" w:hAnsi="Arial" w:cs="Arial"/>
          <w:b/>
          <w:bCs/>
          <w:color w:val="00B050"/>
          <w:sz w:val="32"/>
          <w:szCs w:val="32"/>
          <w:lang w:val="en-US"/>
        </w:rPr>
        <w:t>Itse</w:t>
      </w:r>
      <w:proofErr w:type="spellEnd"/>
      <w:r w:rsidRPr="004352E7">
        <w:rPr>
          <w:rFonts w:ascii="Arial" w:hAnsi="Arial" w:cs="Arial"/>
          <w:b/>
          <w:bCs/>
          <w:color w:val="00B050"/>
          <w:sz w:val="32"/>
          <w:szCs w:val="32"/>
          <w:lang w:val="en-US"/>
        </w:rPr>
        <w:t xml:space="preserve"> Olaoye</w:t>
      </w:r>
    </w:p>
    <w:p w14:paraId="0AB3D048" w14:textId="77777777" w:rsidR="004352E7" w:rsidRDefault="00203674" w:rsidP="00FD276A">
      <w:pPr>
        <w:spacing w:line="360" w:lineRule="auto"/>
        <w:ind w:right="100"/>
        <w:jc w:val="center"/>
        <w:rPr>
          <w:rFonts w:ascii="Arial" w:hAnsi="Arial" w:cs="Arial"/>
          <w:b/>
          <w:bCs/>
          <w:sz w:val="32"/>
          <w:szCs w:val="32"/>
        </w:rPr>
      </w:pPr>
      <w:r w:rsidRPr="00FD276A">
        <w:rPr>
          <w:rFonts w:ascii="Arial" w:hAnsi="Arial" w:cs="Arial"/>
          <w:b/>
          <w:bCs/>
          <w:sz w:val="32"/>
          <w:szCs w:val="32"/>
        </w:rPr>
        <w:t xml:space="preserve"> </w:t>
      </w:r>
    </w:p>
    <w:p w14:paraId="5FBB3811" w14:textId="426BC033" w:rsidR="005D4D28" w:rsidRDefault="00523935" w:rsidP="00FD276A">
      <w:pPr>
        <w:spacing w:line="360" w:lineRule="auto"/>
        <w:ind w:right="100"/>
        <w:jc w:val="center"/>
        <w:rPr>
          <w:rFonts w:ascii="Arial" w:hAnsi="Arial" w:cs="Arial"/>
          <w:b/>
          <w:bCs/>
          <w:sz w:val="32"/>
          <w:szCs w:val="32"/>
        </w:rPr>
      </w:pPr>
      <w:r>
        <w:rPr>
          <w:noProof/>
        </w:rPr>
        <w:drawing>
          <wp:inline distT="0" distB="0" distL="0" distR="0" wp14:anchorId="6224B94B" wp14:editId="35AA9E4E">
            <wp:extent cx="2652895" cy="2256649"/>
            <wp:effectExtent l="0" t="0" r="0" b="0"/>
            <wp:docPr id="1565636217" name="Picture 1" descr="3rd International Conference on Epidemiology and Public Health (Epidemiology  2024) - Kindcong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rd International Conference on Epidemiology and Public Health (Epidemiology  2024) - Kindcongress"/>
                    <pic:cNvPicPr>
                      <a:picLocks noChangeAspect="1" noChangeArrowheads="1"/>
                    </pic:cNvPicPr>
                  </pic:nvPicPr>
                  <pic:blipFill rotWithShape="1">
                    <a:blip r:embed="rId7">
                      <a:extLst>
                        <a:ext uri="{28A0092B-C50C-407E-A947-70E740481C1C}">
                          <a14:useLocalDpi xmlns:a14="http://schemas.microsoft.com/office/drawing/2010/main" val="0"/>
                        </a:ext>
                      </a:extLst>
                    </a:blip>
                    <a:srcRect l="2540" t="1778" r="2946" b="41901"/>
                    <a:stretch>
                      <a:fillRect/>
                    </a:stretch>
                  </pic:blipFill>
                  <pic:spPr bwMode="auto">
                    <a:xfrm>
                      <a:off x="0" y="0"/>
                      <a:ext cx="2678556" cy="2278477"/>
                    </a:xfrm>
                    <a:prstGeom prst="rect">
                      <a:avLst/>
                    </a:prstGeom>
                    <a:noFill/>
                    <a:ln>
                      <a:noFill/>
                    </a:ln>
                    <a:extLst>
                      <a:ext uri="{53640926-AAD7-44D8-BBD7-CCE9431645EC}">
                        <a14:shadowObscured xmlns:a14="http://schemas.microsoft.com/office/drawing/2010/main"/>
                      </a:ext>
                    </a:extLst>
                  </pic:spPr>
                </pic:pic>
              </a:graphicData>
            </a:graphic>
          </wp:inline>
        </w:drawing>
      </w:r>
    </w:p>
    <w:p w14:paraId="7D6B4E0B" w14:textId="77777777" w:rsidR="00A17117" w:rsidRDefault="00A17117" w:rsidP="00A17117">
      <w:pPr>
        <w:spacing w:line="360" w:lineRule="auto"/>
        <w:ind w:right="100"/>
        <w:jc w:val="both"/>
        <w:rPr>
          <w:rFonts w:ascii="Arial" w:hAnsi="Arial" w:cs="Arial"/>
          <w:sz w:val="24"/>
          <w:szCs w:val="24"/>
        </w:rPr>
      </w:pPr>
    </w:p>
    <w:p w14:paraId="4005954C" w14:textId="77777777" w:rsidR="00A17117" w:rsidRDefault="00A17117" w:rsidP="00A17117">
      <w:pPr>
        <w:spacing w:line="360" w:lineRule="auto"/>
        <w:ind w:right="100"/>
        <w:jc w:val="both"/>
        <w:rPr>
          <w:rFonts w:ascii="Arial" w:hAnsi="Arial" w:cs="Arial"/>
          <w:sz w:val="24"/>
          <w:szCs w:val="24"/>
        </w:rPr>
      </w:pPr>
    </w:p>
    <w:p w14:paraId="189E0A83" w14:textId="77777777" w:rsidR="00A17117" w:rsidRDefault="00A17117" w:rsidP="00A17117">
      <w:pPr>
        <w:spacing w:line="360" w:lineRule="auto"/>
        <w:jc w:val="both"/>
        <w:rPr>
          <w:rStyle w:val="Strong"/>
          <w:rFonts w:ascii="Arial" w:hAnsi="Arial" w:cs="Arial"/>
          <w:color w:val="000000" w:themeColor="text1"/>
          <w:sz w:val="24"/>
          <w:szCs w:val="24"/>
        </w:rPr>
      </w:pPr>
      <w:r w:rsidRPr="00FD276A">
        <w:rPr>
          <w:rFonts w:ascii="Arial" w:hAnsi="Arial" w:cs="Arial"/>
          <w:b/>
          <w:bCs/>
          <w:color w:val="000000" w:themeColor="text1"/>
          <w:sz w:val="24"/>
          <w:szCs w:val="24"/>
        </w:rPr>
        <w:t xml:space="preserve">Component 2: </w:t>
      </w:r>
      <w:r w:rsidRPr="00FD276A">
        <w:rPr>
          <w:rFonts w:ascii="Arial" w:hAnsi="Arial" w:cs="Arial"/>
          <w:b/>
          <w:bCs/>
          <w:color w:val="000000" w:themeColor="text1"/>
          <w:sz w:val="24"/>
          <w:szCs w:val="24"/>
        </w:rPr>
        <w:tab/>
      </w:r>
      <w:r w:rsidRPr="00FD276A">
        <w:rPr>
          <w:rFonts w:ascii="Arial" w:hAnsi="Arial" w:cs="Arial"/>
          <w:b/>
          <w:bCs/>
          <w:color w:val="000000" w:themeColor="text1"/>
          <w:sz w:val="24"/>
          <w:szCs w:val="24"/>
        </w:rPr>
        <w:tab/>
        <w:t>Written Assignment (Report)</w:t>
      </w:r>
      <w:r w:rsidRPr="00FD276A">
        <w:rPr>
          <w:rStyle w:val="Strong"/>
          <w:rFonts w:ascii="Arial" w:hAnsi="Arial" w:cs="Arial"/>
          <w:color w:val="000000" w:themeColor="text1"/>
          <w:sz w:val="24"/>
          <w:szCs w:val="24"/>
        </w:rPr>
        <w:t xml:space="preserve"> </w:t>
      </w:r>
    </w:p>
    <w:p w14:paraId="020609A7" w14:textId="77777777" w:rsidR="00A17117" w:rsidRPr="00FD276A" w:rsidRDefault="00A17117" w:rsidP="00A17117">
      <w:pPr>
        <w:spacing w:line="360" w:lineRule="auto"/>
        <w:jc w:val="both"/>
        <w:rPr>
          <w:rStyle w:val="Strong"/>
          <w:rFonts w:ascii="Arial" w:hAnsi="Arial" w:cs="Arial"/>
          <w:color w:val="000000" w:themeColor="text1"/>
          <w:sz w:val="24"/>
          <w:szCs w:val="24"/>
        </w:rPr>
      </w:pPr>
      <w:r w:rsidRPr="00FD276A">
        <w:rPr>
          <w:rStyle w:val="Strong"/>
          <w:rFonts w:ascii="Arial" w:hAnsi="Arial" w:cs="Arial"/>
          <w:color w:val="000000" w:themeColor="text1"/>
          <w:sz w:val="24"/>
          <w:szCs w:val="24"/>
        </w:rPr>
        <w:t xml:space="preserve">Student name: </w:t>
      </w:r>
      <w:r w:rsidRPr="00FD276A">
        <w:rPr>
          <w:rStyle w:val="Strong"/>
          <w:rFonts w:ascii="Arial" w:hAnsi="Arial" w:cs="Arial"/>
          <w:color w:val="000000" w:themeColor="text1"/>
          <w:sz w:val="24"/>
          <w:szCs w:val="24"/>
        </w:rPr>
        <w:tab/>
      </w:r>
      <w:r w:rsidRPr="00FD276A">
        <w:rPr>
          <w:rStyle w:val="Strong"/>
          <w:rFonts w:ascii="Arial" w:hAnsi="Arial" w:cs="Arial"/>
          <w:color w:val="000000" w:themeColor="text1"/>
          <w:sz w:val="24"/>
          <w:szCs w:val="24"/>
        </w:rPr>
        <w:tab/>
        <w:t>Rehana Intisar</w:t>
      </w:r>
    </w:p>
    <w:p w14:paraId="3CACF8C6" w14:textId="77777777" w:rsidR="00A17117" w:rsidRPr="00FD276A" w:rsidRDefault="00A17117" w:rsidP="00A17117">
      <w:pPr>
        <w:spacing w:line="360" w:lineRule="auto"/>
        <w:jc w:val="both"/>
        <w:rPr>
          <w:rStyle w:val="Strong"/>
          <w:rFonts w:ascii="Arial" w:hAnsi="Arial" w:cs="Arial"/>
          <w:color w:val="000000" w:themeColor="text1"/>
          <w:sz w:val="24"/>
          <w:szCs w:val="24"/>
        </w:rPr>
      </w:pPr>
      <w:r w:rsidRPr="00FD276A">
        <w:rPr>
          <w:rStyle w:val="Strong"/>
          <w:rFonts w:ascii="Arial" w:hAnsi="Arial" w:cs="Arial"/>
          <w:color w:val="000000" w:themeColor="text1"/>
          <w:sz w:val="24"/>
          <w:szCs w:val="24"/>
        </w:rPr>
        <w:t>Student number:</w:t>
      </w:r>
      <w:r w:rsidRPr="00FD276A">
        <w:rPr>
          <w:rStyle w:val="Strong"/>
          <w:rFonts w:ascii="Arial" w:hAnsi="Arial" w:cs="Arial"/>
          <w:color w:val="000000" w:themeColor="text1"/>
          <w:sz w:val="24"/>
          <w:szCs w:val="24"/>
        </w:rPr>
        <w:tab/>
      </w:r>
      <w:r w:rsidRPr="00FD276A">
        <w:rPr>
          <w:rStyle w:val="Strong"/>
          <w:rFonts w:ascii="Arial" w:hAnsi="Arial" w:cs="Arial"/>
          <w:color w:val="000000" w:themeColor="text1"/>
          <w:sz w:val="24"/>
          <w:szCs w:val="24"/>
        </w:rPr>
        <w:tab/>
        <w:t xml:space="preserve">2234706 </w:t>
      </w:r>
    </w:p>
    <w:p w14:paraId="680E5859" w14:textId="77777777" w:rsidR="005D4D28" w:rsidRDefault="005D4D28" w:rsidP="00FD276A">
      <w:pPr>
        <w:spacing w:line="360" w:lineRule="auto"/>
        <w:ind w:right="100"/>
        <w:jc w:val="center"/>
        <w:rPr>
          <w:rFonts w:ascii="Arial" w:hAnsi="Arial" w:cs="Arial"/>
          <w:b/>
          <w:bCs/>
          <w:sz w:val="32"/>
          <w:szCs w:val="32"/>
        </w:rPr>
      </w:pPr>
    </w:p>
    <w:p w14:paraId="71D54EF3" w14:textId="3F3D1FFE" w:rsidR="00D009E7" w:rsidRPr="00FD276A" w:rsidRDefault="00D009E7" w:rsidP="00FD276A">
      <w:pPr>
        <w:spacing w:line="360" w:lineRule="auto"/>
        <w:ind w:right="100"/>
        <w:jc w:val="center"/>
        <w:rPr>
          <w:rFonts w:ascii="Arial" w:hAnsi="Arial" w:cs="Arial"/>
          <w:b/>
          <w:bCs/>
          <w:color w:val="17365D" w:themeColor="text2" w:themeShade="BF"/>
          <w:sz w:val="36"/>
          <w:szCs w:val="36"/>
        </w:rPr>
      </w:pPr>
    </w:p>
    <w:p w14:paraId="4AF85A78" w14:textId="77777777" w:rsidR="00B96F78" w:rsidRPr="00FD276A" w:rsidRDefault="00B96F78" w:rsidP="00FD276A">
      <w:pPr>
        <w:spacing w:line="360" w:lineRule="auto"/>
        <w:ind w:right="100"/>
        <w:jc w:val="both"/>
        <w:rPr>
          <w:rFonts w:ascii="Arial" w:hAnsi="Arial" w:cs="Arial"/>
          <w:sz w:val="22"/>
          <w:szCs w:val="22"/>
        </w:rPr>
      </w:pPr>
    </w:p>
    <w:p w14:paraId="49400F65" w14:textId="6CF970FF" w:rsidR="00071A16" w:rsidRPr="00FD276A" w:rsidRDefault="00071A16" w:rsidP="00FD276A">
      <w:pPr>
        <w:spacing w:after="200" w:line="360" w:lineRule="auto"/>
        <w:rPr>
          <w:rFonts w:ascii="Arial" w:hAnsi="Arial" w:cs="Arial"/>
          <w:sz w:val="22"/>
          <w:szCs w:val="22"/>
        </w:rPr>
      </w:pPr>
      <w:r w:rsidRPr="00FD276A">
        <w:rPr>
          <w:rFonts w:ascii="Arial" w:hAnsi="Arial" w:cs="Arial"/>
          <w:sz w:val="22"/>
          <w:szCs w:val="22"/>
        </w:rPr>
        <w:br w:type="page"/>
      </w:r>
    </w:p>
    <w:p w14:paraId="510E93E6" w14:textId="77777777" w:rsidR="00596760" w:rsidRPr="00FD276A" w:rsidRDefault="00596760" w:rsidP="00FD276A">
      <w:pPr>
        <w:spacing w:line="360" w:lineRule="auto"/>
        <w:jc w:val="center"/>
        <w:rPr>
          <w:rFonts w:ascii="Arial" w:hAnsi="Arial" w:cs="Arial"/>
          <w:b/>
          <w:color w:val="000000" w:themeColor="text1"/>
          <w:sz w:val="36"/>
          <w:szCs w:val="36"/>
        </w:rPr>
      </w:pPr>
    </w:p>
    <w:p w14:paraId="17787347" w14:textId="77777777" w:rsidR="00596760" w:rsidRPr="00FD276A" w:rsidRDefault="00596760" w:rsidP="00FD276A">
      <w:pPr>
        <w:spacing w:line="360" w:lineRule="auto"/>
        <w:jc w:val="center"/>
        <w:rPr>
          <w:rFonts w:ascii="Arial" w:hAnsi="Arial" w:cs="Arial"/>
          <w:b/>
          <w:color w:val="000000" w:themeColor="text1"/>
          <w:sz w:val="36"/>
          <w:szCs w:val="36"/>
        </w:rPr>
      </w:pPr>
    </w:p>
    <w:p w14:paraId="5D4C23C0" w14:textId="374CC6EE" w:rsidR="00071A16" w:rsidRPr="00FD276A" w:rsidRDefault="00071A16" w:rsidP="00FD276A">
      <w:pPr>
        <w:spacing w:line="360" w:lineRule="auto"/>
        <w:jc w:val="center"/>
        <w:rPr>
          <w:rFonts w:ascii="Arial" w:hAnsi="Arial" w:cs="Arial"/>
          <w:b/>
          <w:color w:val="000000" w:themeColor="text1"/>
          <w:sz w:val="36"/>
          <w:szCs w:val="36"/>
        </w:rPr>
      </w:pPr>
      <w:r w:rsidRPr="00FD276A">
        <w:rPr>
          <w:rFonts w:ascii="Arial" w:hAnsi="Arial" w:cs="Arial"/>
          <w:b/>
          <w:color w:val="000000" w:themeColor="text1"/>
          <w:sz w:val="36"/>
          <w:szCs w:val="36"/>
        </w:rPr>
        <w:t>Acknowledgement</w:t>
      </w:r>
    </w:p>
    <w:p w14:paraId="4D04589D" w14:textId="77777777" w:rsidR="00071A16" w:rsidRPr="00FD276A" w:rsidRDefault="00071A16" w:rsidP="00FD276A">
      <w:pPr>
        <w:spacing w:line="360" w:lineRule="auto"/>
        <w:jc w:val="both"/>
        <w:rPr>
          <w:rFonts w:ascii="Arial" w:hAnsi="Arial" w:cs="Arial"/>
          <w:color w:val="000000" w:themeColor="text1"/>
        </w:rPr>
      </w:pPr>
    </w:p>
    <w:p w14:paraId="3AC84D09" w14:textId="4E684750" w:rsidR="00071A16" w:rsidRPr="00FD276A" w:rsidRDefault="00071A16" w:rsidP="00FD276A">
      <w:pPr>
        <w:spacing w:line="360" w:lineRule="auto"/>
        <w:jc w:val="both"/>
        <w:rPr>
          <w:rFonts w:ascii="Arial" w:hAnsi="Arial" w:cs="Arial"/>
          <w:color w:val="000000" w:themeColor="text1"/>
          <w:sz w:val="28"/>
          <w:szCs w:val="28"/>
        </w:rPr>
      </w:pPr>
      <w:r w:rsidRPr="00FD276A">
        <w:rPr>
          <w:rFonts w:ascii="Arial" w:hAnsi="Arial" w:cs="Arial"/>
          <w:color w:val="000000" w:themeColor="text1"/>
          <w:sz w:val="28"/>
          <w:szCs w:val="28"/>
        </w:rPr>
        <w:t>I confirm that I did not use any AI technologies throughout the research and preparation of this assignment. I confirm that I did not offer any AI-generated items as my own. I confirm that I have copies of my drafts, notes, and other resources</w:t>
      </w:r>
      <w:r w:rsidR="0087372D">
        <w:rPr>
          <w:rFonts w:ascii="Arial" w:hAnsi="Arial" w:cs="Arial"/>
          <w:color w:val="000000" w:themeColor="text1"/>
          <w:sz w:val="28"/>
          <w:szCs w:val="28"/>
        </w:rPr>
        <w:t xml:space="preserve"> that I may be required to provide</w:t>
      </w:r>
      <w:r w:rsidRPr="00FD276A">
        <w:rPr>
          <w:rFonts w:ascii="Arial" w:hAnsi="Arial" w:cs="Arial"/>
          <w:color w:val="000000" w:themeColor="text1"/>
          <w:sz w:val="28"/>
          <w:szCs w:val="28"/>
        </w:rPr>
        <w:t xml:space="preserve"> as proof.</w:t>
      </w:r>
    </w:p>
    <w:p w14:paraId="31402F7B" w14:textId="77777777" w:rsidR="00071A16" w:rsidRPr="00FD276A" w:rsidRDefault="00071A16" w:rsidP="00FD276A">
      <w:pPr>
        <w:spacing w:line="360" w:lineRule="auto"/>
        <w:jc w:val="both"/>
        <w:rPr>
          <w:rFonts w:ascii="Arial" w:hAnsi="Arial" w:cs="Arial"/>
          <w:color w:val="000000" w:themeColor="text1"/>
        </w:rPr>
      </w:pPr>
    </w:p>
    <w:p w14:paraId="066A5A07" w14:textId="77777777" w:rsidR="00071A16" w:rsidRPr="00FD276A" w:rsidRDefault="00071A16" w:rsidP="00FD276A">
      <w:pPr>
        <w:spacing w:line="360" w:lineRule="auto"/>
        <w:rPr>
          <w:rFonts w:ascii="Arial" w:hAnsi="Arial" w:cs="Arial"/>
          <w:color w:val="000000" w:themeColor="text1"/>
        </w:rPr>
      </w:pPr>
      <w:r w:rsidRPr="00FD276A">
        <w:rPr>
          <w:rFonts w:ascii="Arial" w:hAnsi="Arial" w:cs="Arial"/>
          <w:color w:val="000000" w:themeColor="text1"/>
        </w:rPr>
        <w:br w:type="page"/>
      </w:r>
    </w:p>
    <w:p w14:paraId="68E36206" w14:textId="77777777" w:rsidR="00B96F78" w:rsidRPr="00FD276A" w:rsidRDefault="00B96F78" w:rsidP="00FD276A">
      <w:pPr>
        <w:spacing w:line="360" w:lineRule="auto"/>
        <w:ind w:right="100"/>
        <w:jc w:val="both"/>
        <w:rPr>
          <w:rFonts w:ascii="Arial" w:hAnsi="Arial" w:cs="Arial"/>
          <w:b/>
          <w:bCs/>
          <w:color w:val="000000" w:themeColor="text1"/>
          <w:sz w:val="32"/>
          <w:szCs w:val="32"/>
        </w:rPr>
      </w:pPr>
    </w:p>
    <w:p w14:paraId="1165A580" w14:textId="77777777" w:rsidR="000E319F" w:rsidRDefault="00712CDA" w:rsidP="00FD276A">
      <w:pPr>
        <w:spacing w:line="360" w:lineRule="auto"/>
        <w:ind w:right="100"/>
        <w:jc w:val="both"/>
        <w:rPr>
          <w:rFonts w:ascii="Arial" w:hAnsi="Arial" w:cs="Arial"/>
          <w:b/>
          <w:bCs/>
          <w:color w:val="000000" w:themeColor="text1"/>
          <w:sz w:val="32"/>
          <w:szCs w:val="32"/>
        </w:rPr>
      </w:pPr>
      <w:r w:rsidRPr="00FD276A">
        <w:rPr>
          <w:rFonts w:ascii="Arial" w:hAnsi="Arial" w:cs="Arial"/>
          <w:b/>
          <w:bCs/>
          <w:color w:val="000000" w:themeColor="text1"/>
          <w:sz w:val="32"/>
          <w:szCs w:val="32"/>
        </w:rPr>
        <w:t xml:space="preserve">Table </w:t>
      </w:r>
      <w:r w:rsidR="000E319F" w:rsidRPr="00FD276A">
        <w:rPr>
          <w:rFonts w:ascii="Arial" w:hAnsi="Arial" w:cs="Arial"/>
          <w:b/>
          <w:bCs/>
          <w:color w:val="000000" w:themeColor="text1"/>
          <w:sz w:val="32"/>
          <w:szCs w:val="32"/>
        </w:rPr>
        <w:t>of Contents:</w:t>
      </w:r>
    </w:p>
    <w:p w14:paraId="2DE648B2" w14:textId="7C3384C9" w:rsidR="00B60F4C" w:rsidRPr="009C65DF" w:rsidRDefault="00CA55E2" w:rsidP="00CA55E2">
      <w:pPr>
        <w:spacing w:line="360" w:lineRule="auto"/>
        <w:ind w:right="100"/>
        <w:jc w:val="right"/>
        <w:rPr>
          <w:rFonts w:ascii="Arial" w:hAnsi="Arial" w:cs="Arial"/>
          <w:b/>
          <w:bCs/>
          <w:color w:val="000000" w:themeColor="text1"/>
          <w:sz w:val="22"/>
          <w:szCs w:val="22"/>
        </w:rPr>
      </w:pPr>
      <w:r w:rsidRPr="009C65DF">
        <w:rPr>
          <w:rFonts w:ascii="Arial" w:hAnsi="Arial" w:cs="Arial"/>
          <w:b/>
          <w:bCs/>
          <w:color w:val="000000" w:themeColor="text1"/>
          <w:sz w:val="22"/>
          <w:szCs w:val="22"/>
        </w:rPr>
        <w:t>Pages</w:t>
      </w:r>
    </w:p>
    <w:p w14:paraId="0F4F9711" w14:textId="07131C69" w:rsidR="00412F24" w:rsidRPr="009C65DF" w:rsidRDefault="00412F24" w:rsidP="00FD276A">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Introduction:</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15209B" w:rsidRPr="009C65DF">
        <w:rPr>
          <w:rFonts w:ascii="Arial" w:hAnsi="Arial" w:cs="Arial"/>
          <w:color w:val="000000" w:themeColor="text1"/>
          <w:sz w:val="22"/>
          <w:szCs w:val="22"/>
        </w:rPr>
        <w:tab/>
      </w:r>
      <w:r w:rsidR="00CA55E2" w:rsidRPr="009C65DF">
        <w:rPr>
          <w:rFonts w:ascii="Arial" w:hAnsi="Arial" w:cs="Arial"/>
          <w:color w:val="000000" w:themeColor="text1"/>
          <w:sz w:val="22"/>
          <w:szCs w:val="22"/>
        </w:rPr>
        <w:t>4</w:t>
      </w:r>
    </w:p>
    <w:p w14:paraId="04DF9148" w14:textId="1AA3C515" w:rsidR="00294FAB" w:rsidRPr="009C65DF" w:rsidRDefault="00294FAB" w:rsidP="00831F4F">
      <w:pPr>
        <w:spacing w:line="360" w:lineRule="auto"/>
        <w:jc w:val="both"/>
        <w:rPr>
          <w:rFonts w:ascii="Arial" w:hAnsi="Arial" w:cs="Arial"/>
          <w:color w:val="000000" w:themeColor="text1"/>
          <w:sz w:val="22"/>
          <w:szCs w:val="22"/>
        </w:rPr>
      </w:pPr>
      <w:r w:rsidRPr="009C65DF">
        <w:rPr>
          <w:rFonts w:ascii="Arial" w:hAnsi="Arial" w:cs="Arial"/>
          <w:color w:val="000000" w:themeColor="text1"/>
          <w:sz w:val="22"/>
          <w:szCs w:val="22"/>
        </w:rPr>
        <w:t>Higher Rates of Mental Illness.</w:t>
      </w:r>
      <w:r w:rsidR="00831F4F" w:rsidRPr="009C65DF">
        <w:rPr>
          <w:rFonts w:ascii="Arial" w:hAnsi="Arial" w:cs="Arial"/>
          <w:color w:val="000000" w:themeColor="text1"/>
          <w:sz w:val="22"/>
          <w:szCs w:val="22"/>
        </w:rPr>
        <w:tab/>
      </w:r>
      <w:r w:rsidR="00831F4F" w:rsidRPr="009C65DF">
        <w:rPr>
          <w:rFonts w:ascii="Arial" w:hAnsi="Arial" w:cs="Arial"/>
          <w:color w:val="000000" w:themeColor="text1"/>
          <w:sz w:val="22"/>
          <w:szCs w:val="22"/>
        </w:rPr>
        <w:tab/>
      </w:r>
      <w:r w:rsidR="00831F4F" w:rsidRPr="009C65DF">
        <w:rPr>
          <w:rFonts w:ascii="Arial" w:hAnsi="Arial" w:cs="Arial"/>
          <w:color w:val="000000" w:themeColor="text1"/>
          <w:sz w:val="22"/>
          <w:szCs w:val="22"/>
        </w:rPr>
        <w:tab/>
      </w:r>
      <w:r w:rsidR="00831F4F" w:rsidRPr="009C65DF">
        <w:rPr>
          <w:rFonts w:ascii="Arial" w:hAnsi="Arial" w:cs="Arial"/>
          <w:color w:val="000000" w:themeColor="text1"/>
          <w:sz w:val="22"/>
          <w:szCs w:val="22"/>
        </w:rPr>
        <w:tab/>
      </w:r>
      <w:r w:rsidR="00831F4F" w:rsidRPr="009C65DF">
        <w:rPr>
          <w:rFonts w:ascii="Arial" w:hAnsi="Arial" w:cs="Arial"/>
          <w:color w:val="000000" w:themeColor="text1"/>
          <w:sz w:val="22"/>
          <w:szCs w:val="22"/>
        </w:rPr>
        <w:tab/>
      </w:r>
      <w:r w:rsidR="00831F4F" w:rsidRPr="009C65DF">
        <w:rPr>
          <w:rFonts w:ascii="Arial" w:hAnsi="Arial" w:cs="Arial"/>
          <w:color w:val="000000" w:themeColor="text1"/>
          <w:sz w:val="22"/>
          <w:szCs w:val="22"/>
        </w:rPr>
        <w:tab/>
      </w:r>
      <w:r w:rsidR="00831F4F" w:rsidRPr="009C65DF">
        <w:rPr>
          <w:rFonts w:ascii="Arial" w:hAnsi="Arial" w:cs="Arial"/>
          <w:color w:val="000000" w:themeColor="text1"/>
          <w:sz w:val="22"/>
          <w:szCs w:val="22"/>
        </w:rPr>
        <w:tab/>
      </w:r>
      <w:r w:rsidR="00831F4F" w:rsidRPr="009C65DF">
        <w:rPr>
          <w:rFonts w:ascii="Arial" w:hAnsi="Arial" w:cs="Arial"/>
          <w:color w:val="000000" w:themeColor="text1"/>
          <w:sz w:val="22"/>
          <w:szCs w:val="22"/>
        </w:rPr>
        <w:tab/>
        <w:t>4</w:t>
      </w:r>
    </w:p>
    <w:p w14:paraId="549761CD" w14:textId="77777777" w:rsidR="00EF7C2B" w:rsidRPr="009C65DF" w:rsidRDefault="00A823C0" w:rsidP="00FD276A">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Lower Rates of Access to Healthcare</w:t>
      </w:r>
      <w:r w:rsidR="00237900" w:rsidRPr="009C65DF">
        <w:rPr>
          <w:rFonts w:ascii="Arial" w:hAnsi="Arial" w:cs="Arial"/>
          <w:color w:val="000000" w:themeColor="text1"/>
          <w:sz w:val="22"/>
          <w:szCs w:val="22"/>
        </w:rPr>
        <w:t>:</w:t>
      </w:r>
      <w:r w:rsidR="00237900" w:rsidRPr="009C65DF">
        <w:rPr>
          <w:rFonts w:ascii="Arial" w:hAnsi="Arial" w:cs="Arial"/>
          <w:color w:val="000000" w:themeColor="text1"/>
          <w:sz w:val="22"/>
          <w:szCs w:val="22"/>
        </w:rPr>
        <w:tab/>
      </w:r>
      <w:r w:rsidR="00237900" w:rsidRPr="009C65DF">
        <w:rPr>
          <w:rFonts w:ascii="Arial" w:hAnsi="Arial" w:cs="Arial"/>
          <w:color w:val="000000" w:themeColor="text1"/>
          <w:sz w:val="22"/>
          <w:szCs w:val="22"/>
        </w:rPr>
        <w:tab/>
      </w:r>
      <w:r w:rsidR="00237900" w:rsidRPr="009C65DF">
        <w:rPr>
          <w:rFonts w:ascii="Arial" w:hAnsi="Arial" w:cs="Arial"/>
          <w:color w:val="000000" w:themeColor="text1"/>
          <w:sz w:val="22"/>
          <w:szCs w:val="22"/>
        </w:rPr>
        <w:tab/>
      </w:r>
      <w:r w:rsidR="00237900" w:rsidRPr="009C65DF">
        <w:rPr>
          <w:rFonts w:ascii="Arial" w:hAnsi="Arial" w:cs="Arial"/>
          <w:color w:val="000000" w:themeColor="text1"/>
          <w:sz w:val="22"/>
          <w:szCs w:val="22"/>
        </w:rPr>
        <w:tab/>
      </w:r>
      <w:r w:rsidR="00237900" w:rsidRPr="009C65DF">
        <w:rPr>
          <w:rFonts w:ascii="Arial" w:hAnsi="Arial" w:cs="Arial"/>
          <w:color w:val="000000" w:themeColor="text1"/>
          <w:sz w:val="22"/>
          <w:szCs w:val="22"/>
        </w:rPr>
        <w:tab/>
      </w:r>
      <w:r w:rsidR="00237900" w:rsidRPr="009C65DF">
        <w:rPr>
          <w:rFonts w:ascii="Arial" w:hAnsi="Arial" w:cs="Arial"/>
          <w:color w:val="000000" w:themeColor="text1"/>
          <w:sz w:val="22"/>
          <w:szCs w:val="22"/>
        </w:rPr>
        <w:tab/>
      </w:r>
      <w:r w:rsidR="00237900" w:rsidRPr="009C65DF">
        <w:rPr>
          <w:rFonts w:ascii="Arial" w:hAnsi="Arial" w:cs="Arial"/>
          <w:color w:val="000000" w:themeColor="text1"/>
          <w:sz w:val="22"/>
          <w:szCs w:val="22"/>
        </w:rPr>
        <w:tab/>
        <w:t>5</w:t>
      </w:r>
    </w:p>
    <w:p w14:paraId="1F171276" w14:textId="5D15907E" w:rsidR="00213683" w:rsidRPr="009C65DF" w:rsidRDefault="00213683" w:rsidP="00213683">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Mortality Rates Among Older Adults:</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D3128A"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t>6</w:t>
      </w:r>
    </w:p>
    <w:p w14:paraId="3DEF766D" w14:textId="77777777" w:rsidR="0001725F" w:rsidRPr="009C65DF" w:rsidRDefault="009856A2" w:rsidP="0001725F">
      <w:pPr>
        <w:spacing w:line="360" w:lineRule="auto"/>
        <w:jc w:val="both"/>
        <w:rPr>
          <w:rFonts w:ascii="Arial" w:hAnsi="Arial" w:cs="Arial"/>
          <w:color w:val="000000" w:themeColor="text1"/>
          <w:sz w:val="22"/>
          <w:szCs w:val="22"/>
        </w:rPr>
      </w:pPr>
      <w:r w:rsidRPr="009C65DF">
        <w:rPr>
          <w:rFonts w:ascii="Arial" w:hAnsi="Arial" w:cs="Arial"/>
          <w:color w:val="000000" w:themeColor="text1"/>
          <w:sz w:val="22"/>
          <w:szCs w:val="22"/>
        </w:rPr>
        <w:t>Social Isolation and Loneliness</w:t>
      </w:r>
      <w:r w:rsidR="0001725F" w:rsidRPr="009C65DF">
        <w:rPr>
          <w:rFonts w:ascii="Arial" w:hAnsi="Arial" w:cs="Arial"/>
          <w:color w:val="000000" w:themeColor="text1"/>
          <w:sz w:val="22"/>
          <w:szCs w:val="22"/>
        </w:rPr>
        <w:t>:</w:t>
      </w:r>
      <w:r w:rsidR="0001725F" w:rsidRPr="009C65DF">
        <w:rPr>
          <w:rFonts w:ascii="Arial" w:hAnsi="Arial" w:cs="Arial"/>
          <w:color w:val="000000" w:themeColor="text1"/>
          <w:sz w:val="22"/>
          <w:szCs w:val="22"/>
        </w:rPr>
        <w:tab/>
      </w:r>
      <w:r w:rsidR="0001725F" w:rsidRPr="009C65DF">
        <w:rPr>
          <w:rFonts w:ascii="Arial" w:hAnsi="Arial" w:cs="Arial"/>
          <w:color w:val="000000" w:themeColor="text1"/>
          <w:sz w:val="22"/>
          <w:szCs w:val="22"/>
        </w:rPr>
        <w:tab/>
      </w:r>
      <w:r w:rsidR="0001725F" w:rsidRPr="009C65DF">
        <w:rPr>
          <w:rFonts w:ascii="Arial" w:hAnsi="Arial" w:cs="Arial"/>
          <w:color w:val="000000" w:themeColor="text1"/>
          <w:sz w:val="22"/>
          <w:szCs w:val="22"/>
        </w:rPr>
        <w:tab/>
      </w:r>
      <w:r w:rsidR="0001725F" w:rsidRPr="009C65DF">
        <w:rPr>
          <w:rFonts w:ascii="Arial" w:hAnsi="Arial" w:cs="Arial"/>
          <w:color w:val="000000" w:themeColor="text1"/>
          <w:sz w:val="22"/>
          <w:szCs w:val="22"/>
        </w:rPr>
        <w:tab/>
      </w:r>
      <w:r w:rsidR="0001725F" w:rsidRPr="009C65DF">
        <w:rPr>
          <w:rFonts w:ascii="Arial" w:hAnsi="Arial" w:cs="Arial"/>
          <w:color w:val="000000" w:themeColor="text1"/>
          <w:sz w:val="22"/>
          <w:szCs w:val="22"/>
        </w:rPr>
        <w:tab/>
      </w:r>
      <w:r w:rsidR="0001725F" w:rsidRPr="009C65DF">
        <w:rPr>
          <w:rFonts w:ascii="Arial" w:hAnsi="Arial" w:cs="Arial"/>
          <w:color w:val="000000" w:themeColor="text1"/>
          <w:sz w:val="22"/>
          <w:szCs w:val="22"/>
        </w:rPr>
        <w:tab/>
      </w:r>
      <w:r w:rsidR="0001725F" w:rsidRPr="009C65DF">
        <w:rPr>
          <w:rFonts w:ascii="Arial" w:hAnsi="Arial" w:cs="Arial"/>
          <w:color w:val="000000" w:themeColor="text1"/>
          <w:sz w:val="22"/>
          <w:szCs w:val="22"/>
        </w:rPr>
        <w:tab/>
      </w:r>
      <w:r w:rsidR="0001725F" w:rsidRPr="009C65DF">
        <w:rPr>
          <w:rFonts w:ascii="Arial" w:hAnsi="Arial" w:cs="Arial"/>
          <w:color w:val="000000" w:themeColor="text1"/>
          <w:sz w:val="22"/>
          <w:szCs w:val="22"/>
        </w:rPr>
        <w:tab/>
        <w:t>6</w:t>
      </w:r>
    </w:p>
    <w:p w14:paraId="3CAF4E6C" w14:textId="3B837EBC" w:rsidR="00A823C0" w:rsidRPr="009C65DF" w:rsidRDefault="00BA6557" w:rsidP="0001725F">
      <w:pPr>
        <w:spacing w:line="360" w:lineRule="auto"/>
        <w:jc w:val="both"/>
        <w:rPr>
          <w:rFonts w:ascii="Arial" w:hAnsi="Arial" w:cs="Arial"/>
          <w:color w:val="000000" w:themeColor="text1"/>
          <w:sz w:val="22"/>
          <w:szCs w:val="22"/>
        </w:rPr>
      </w:pPr>
      <w:r w:rsidRPr="009C65DF">
        <w:rPr>
          <w:rFonts w:ascii="Arial" w:hAnsi="Arial" w:cs="Arial"/>
          <w:color w:val="000000" w:themeColor="text1"/>
          <w:sz w:val="22"/>
          <w:szCs w:val="22"/>
        </w:rPr>
        <w:t>Poverty:</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t>7</w:t>
      </w:r>
    </w:p>
    <w:p w14:paraId="3EFE6174" w14:textId="1A37A685" w:rsidR="0010309A" w:rsidRPr="009C65DF" w:rsidRDefault="0010309A" w:rsidP="0001725F">
      <w:pPr>
        <w:spacing w:line="360" w:lineRule="auto"/>
        <w:jc w:val="both"/>
        <w:rPr>
          <w:rFonts w:ascii="Arial" w:hAnsi="Arial" w:cs="Arial"/>
          <w:color w:val="000000" w:themeColor="text1"/>
          <w:sz w:val="22"/>
          <w:szCs w:val="22"/>
        </w:rPr>
      </w:pPr>
      <w:r w:rsidRPr="009C65DF">
        <w:rPr>
          <w:rFonts w:ascii="Arial" w:hAnsi="Arial" w:cs="Arial"/>
          <w:color w:val="000000" w:themeColor="text1"/>
          <w:sz w:val="22"/>
          <w:szCs w:val="22"/>
        </w:rPr>
        <w:t>Housing:</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t>7</w:t>
      </w:r>
    </w:p>
    <w:p w14:paraId="106C7BA2" w14:textId="47EAAFAC" w:rsidR="0010309A" w:rsidRPr="00C9159E" w:rsidRDefault="0010309A" w:rsidP="0010309A">
      <w:pPr>
        <w:spacing w:line="360" w:lineRule="auto"/>
        <w:ind w:right="100"/>
        <w:jc w:val="both"/>
        <w:rPr>
          <w:rFonts w:ascii="Arial" w:hAnsi="Arial" w:cs="Arial"/>
          <w:color w:val="000000" w:themeColor="text1"/>
          <w:sz w:val="22"/>
          <w:szCs w:val="22"/>
        </w:rPr>
      </w:pPr>
      <w:r w:rsidRPr="00C9159E">
        <w:rPr>
          <w:rFonts w:ascii="Arial" w:hAnsi="Arial" w:cs="Arial"/>
          <w:color w:val="000000" w:themeColor="text1"/>
          <w:sz w:val="22"/>
          <w:szCs w:val="22"/>
        </w:rPr>
        <w:t>National Responses to Reduce Health Inequalities</w:t>
      </w:r>
      <w:r w:rsidR="00CD42D4" w:rsidRPr="00C9159E">
        <w:rPr>
          <w:rFonts w:ascii="Arial" w:hAnsi="Arial" w:cs="Arial"/>
          <w:color w:val="000000" w:themeColor="text1"/>
          <w:sz w:val="22"/>
          <w:szCs w:val="22"/>
        </w:rPr>
        <w:t>:</w:t>
      </w:r>
      <w:r w:rsidR="00CD42D4" w:rsidRPr="00C9159E">
        <w:rPr>
          <w:rFonts w:ascii="Arial" w:hAnsi="Arial" w:cs="Arial"/>
          <w:color w:val="000000" w:themeColor="text1"/>
          <w:sz w:val="22"/>
          <w:szCs w:val="22"/>
        </w:rPr>
        <w:tab/>
      </w:r>
      <w:r w:rsidR="00CD42D4" w:rsidRPr="00C9159E">
        <w:rPr>
          <w:rFonts w:ascii="Arial" w:hAnsi="Arial" w:cs="Arial"/>
          <w:color w:val="000000" w:themeColor="text1"/>
          <w:sz w:val="22"/>
          <w:szCs w:val="22"/>
        </w:rPr>
        <w:tab/>
      </w:r>
      <w:r w:rsidR="007613EA" w:rsidRPr="00C9159E">
        <w:rPr>
          <w:rFonts w:ascii="Arial" w:hAnsi="Arial" w:cs="Arial"/>
          <w:color w:val="000000" w:themeColor="text1"/>
          <w:sz w:val="22"/>
          <w:szCs w:val="22"/>
        </w:rPr>
        <w:tab/>
      </w:r>
      <w:r w:rsidR="00CD42D4" w:rsidRPr="00C9159E">
        <w:rPr>
          <w:rFonts w:ascii="Arial" w:hAnsi="Arial" w:cs="Arial"/>
          <w:color w:val="000000" w:themeColor="text1"/>
          <w:sz w:val="22"/>
          <w:szCs w:val="22"/>
        </w:rPr>
        <w:tab/>
      </w:r>
      <w:r w:rsidR="00CD42D4" w:rsidRPr="00C9159E">
        <w:rPr>
          <w:rFonts w:ascii="Arial" w:hAnsi="Arial" w:cs="Arial"/>
          <w:color w:val="000000" w:themeColor="text1"/>
          <w:sz w:val="22"/>
          <w:szCs w:val="22"/>
        </w:rPr>
        <w:tab/>
      </w:r>
      <w:r w:rsidR="00CD42D4" w:rsidRPr="00C9159E">
        <w:rPr>
          <w:rFonts w:ascii="Arial" w:hAnsi="Arial" w:cs="Arial"/>
          <w:color w:val="000000" w:themeColor="text1"/>
          <w:sz w:val="22"/>
          <w:szCs w:val="22"/>
        </w:rPr>
        <w:tab/>
        <w:t>8</w:t>
      </w:r>
    </w:p>
    <w:p w14:paraId="7C0A2DAC" w14:textId="1F469F71" w:rsidR="00C6215F" w:rsidRPr="00C9159E" w:rsidRDefault="00C9159E" w:rsidP="0010309A">
      <w:pPr>
        <w:spacing w:line="360" w:lineRule="auto"/>
        <w:ind w:right="100"/>
        <w:jc w:val="both"/>
        <w:rPr>
          <w:rFonts w:ascii="Arial" w:hAnsi="Arial" w:cs="Arial"/>
          <w:color w:val="000000" w:themeColor="text1"/>
          <w:sz w:val="22"/>
          <w:szCs w:val="22"/>
        </w:rPr>
      </w:pPr>
      <w:r w:rsidRPr="00C9159E">
        <w:rPr>
          <w:rFonts w:ascii="Arial" w:hAnsi="Arial" w:cs="Arial"/>
          <w:color w:val="000000" w:themeColor="text1"/>
          <w:sz w:val="22"/>
          <w:szCs w:val="22"/>
        </w:rPr>
        <w:t>Organisations that support chosen groups</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sidR="005E41E1">
        <w:rPr>
          <w:rFonts w:ascii="Arial" w:hAnsi="Arial" w:cs="Arial"/>
          <w:color w:val="000000" w:themeColor="text1"/>
          <w:sz w:val="22"/>
          <w:szCs w:val="22"/>
        </w:rPr>
        <w:t>8</w:t>
      </w:r>
    </w:p>
    <w:p w14:paraId="3F124D2D" w14:textId="5B89DF86" w:rsidR="00CD42D4" w:rsidRPr="009C65DF" w:rsidRDefault="00CD42D4" w:rsidP="0010309A">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C</w:t>
      </w:r>
      <w:r w:rsidR="00215F87" w:rsidRPr="009C65DF">
        <w:rPr>
          <w:rFonts w:ascii="Arial" w:hAnsi="Arial" w:cs="Arial"/>
          <w:color w:val="000000" w:themeColor="text1"/>
          <w:sz w:val="22"/>
          <w:szCs w:val="22"/>
        </w:rPr>
        <w:t>onclusion:</w:t>
      </w:r>
      <w:r w:rsidR="00215F87" w:rsidRPr="009C65DF">
        <w:rPr>
          <w:rFonts w:ascii="Arial" w:hAnsi="Arial" w:cs="Arial"/>
          <w:color w:val="000000" w:themeColor="text1"/>
          <w:sz w:val="22"/>
          <w:szCs w:val="22"/>
        </w:rPr>
        <w:tab/>
      </w:r>
      <w:r w:rsidR="00215F87" w:rsidRPr="009C65DF">
        <w:rPr>
          <w:rFonts w:ascii="Arial" w:hAnsi="Arial" w:cs="Arial"/>
          <w:color w:val="000000" w:themeColor="text1"/>
          <w:sz w:val="22"/>
          <w:szCs w:val="22"/>
        </w:rPr>
        <w:tab/>
      </w:r>
      <w:r w:rsidR="00215F87" w:rsidRPr="009C65DF">
        <w:rPr>
          <w:rFonts w:ascii="Arial" w:hAnsi="Arial" w:cs="Arial"/>
          <w:color w:val="000000" w:themeColor="text1"/>
          <w:sz w:val="22"/>
          <w:szCs w:val="22"/>
        </w:rPr>
        <w:tab/>
      </w:r>
      <w:r w:rsidR="00215F87" w:rsidRPr="009C65DF">
        <w:rPr>
          <w:rFonts w:ascii="Arial" w:hAnsi="Arial" w:cs="Arial"/>
          <w:color w:val="000000" w:themeColor="text1"/>
          <w:sz w:val="22"/>
          <w:szCs w:val="22"/>
        </w:rPr>
        <w:tab/>
      </w:r>
      <w:r w:rsidR="00215F87" w:rsidRPr="009C65DF">
        <w:rPr>
          <w:rFonts w:ascii="Arial" w:hAnsi="Arial" w:cs="Arial"/>
          <w:color w:val="000000" w:themeColor="text1"/>
          <w:sz w:val="22"/>
          <w:szCs w:val="22"/>
        </w:rPr>
        <w:tab/>
      </w:r>
      <w:r w:rsidR="00215F87" w:rsidRPr="009C65DF">
        <w:rPr>
          <w:rFonts w:ascii="Arial" w:hAnsi="Arial" w:cs="Arial"/>
          <w:color w:val="000000" w:themeColor="text1"/>
          <w:sz w:val="22"/>
          <w:szCs w:val="22"/>
        </w:rPr>
        <w:tab/>
      </w:r>
      <w:r w:rsidR="00215F87" w:rsidRPr="009C65DF">
        <w:rPr>
          <w:rFonts w:ascii="Arial" w:hAnsi="Arial" w:cs="Arial"/>
          <w:color w:val="000000" w:themeColor="text1"/>
          <w:sz w:val="22"/>
          <w:szCs w:val="22"/>
        </w:rPr>
        <w:tab/>
      </w:r>
      <w:r w:rsidR="00215F87" w:rsidRPr="009C65DF">
        <w:rPr>
          <w:rFonts w:ascii="Arial" w:hAnsi="Arial" w:cs="Arial"/>
          <w:color w:val="000000" w:themeColor="text1"/>
          <w:sz w:val="22"/>
          <w:szCs w:val="22"/>
        </w:rPr>
        <w:tab/>
      </w:r>
      <w:r w:rsidR="00215F87" w:rsidRPr="009C65DF">
        <w:rPr>
          <w:rFonts w:ascii="Arial" w:hAnsi="Arial" w:cs="Arial"/>
          <w:color w:val="000000" w:themeColor="text1"/>
          <w:sz w:val="22"/>
          <w:szCs w:val="22"/>
        </w:rPr>
        <w:tab/>
      </w:r>
      <w:r w:rsidR="00215F87" w:rsidRPr="009C65DF">
        <w:rPr>
          <w:rFonts w:ascii="Arial" w:hAnsi="Arial" w:cs="Arial"/>
          <w:color w:val="000000" w:themeColor="text1"/>
          <w:sz w:val="22"/>
          <w:szCs w:val="22"/>
        </w:rPr>
        <w:tab/>
      </w:r>
      <w:r w:rsidR="00215F87" w:rsidRPr="009C65DF">
        <w:rPr>
          <w:rFonts w:ascii="Arial" w:hAnsi="Arial" w:cs="Arial"/>
          <w:color w:val="000000" w:themeColor="text1"/>
          <w:sz w:val="22"/>
          <w:szCs w:val="22"/>
        </w:rPr>
        <w:tab/>
        <w:t>9</w:t>
      </w:r>
    </w:p>
    <w:p w14:paraId="55FC8FF5" w14:textId="449BAF15" w:rsidR="0010309A" w:rsidRPr="009C65DF" w:rsidRDefault="00FD0FC2" w:rsidP="0001725F">
      <w:pPr>
        <w:spacing w:line="360" w:lineRule="auto"/>
        <w:jc w:val="both"/>
        <w:rPr>
          <w:rFonts w:ascii="Arial" w:hAnsi="Arial" w:cs="Arial"/>
          <w:color w:val="000000" w:themeColor="text1"/>
          <w:sz w:val="22"/>
          <w:szCs w:val="22"/>
        </w:rPr>
      </w:pPr>
      <w:r w:rsidRPr="009C65DF">
        <w:rPr>
          <w:rFonts w:ascii="Arial" w:hAnsi="Arial" w:cs="Arial"/>
          <w:color w:val="000000" w:themeColor="text1"/>
          <w:sz w:val="22"/>
          <w:szCs w:val="22"/>
        </w:rPr>
        <w:t xml:space="preserve">Epidemiological Analysis </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916986">
        <w:rPr>
          <w:rFonts w:ascii="Arial" w:hAnsi="Arial" w:cs="Arial"/>
          <w:color w:val="000000" w:themeColor="text1"/>
          <w:sz w:val="22"/>
          <w:szCs w:val="22"/>
        </w:rPr>
        <w:t>10</w:t>
      </w:r>
    </w:p>
    <w:p w14:paraId="617CB521" w14:textId="14430CAC" w:rsidR="00A823C0" w:rsidRPr="009C65DF" w:rsidRDefault="00EB3A06" w:rsidP="00706BC5">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Introduction:</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8B3507" w:rsidRPr="009C65DF">
        <w:rPr>
          <w:rFonts w:ascii="Arial" w:hAnsi="Arial" w:cs="Arial"/>
          <w:color w:val="000000" w:themeColor="text1"/>
          <w:sz w:val="22"/>
          <w:szCs w:val="22"/>
        </w:rPr>
        <w:tab/>
      </w:r>
      <w:r w:rsidR="008B3507" w:rsidRPr="009C65DF">
        <w:rPr>
          <w:rFonts w:ascii="Arial" w:hAnsi="Arial" w:cs="Arial"/>
          <w:color w:val="000000" w:themeColor="text1"/>
          <w:sz w:val="22"/>
          <w:szCs w:val="22"/>
        </w:rPr>
        <w:tab/>
      </w:r>
      <w:r w:rsidR="008B3507" w:rsidRPr="009C65DF">
        <w:rPr>
          <w:rFonts w:ascii="Arial" w:hAnsi="Arial" w:cs="Arial"/>
          <w:color w:val="000000" w:themeColor="text1"/>
          <w:sz w:val="22"/>
          <w:szCs w:val="22"/>
        </w:rPr>
        <w:tab/>
      </w:r>
      <w:r w:rsidR="008B3507" w:rsidRPr="009C65DF">
        <w:rPr>
          <w:rFonts w:ascii="Arial" w:hAnsi="Arial" w:cs="Arial"/>
          <w:color w:val="000000" w:themeColor="text1"/>
          <w:sz w:val="22"/>
          <w:szCs w:val="22"/>
        </w:rPr>
        <w:tab/>
      </w:r>
      <w:r w:rsidR="008B3507" w:rsidRPr="009C65DF">
        <w:rPr>
          <w:rFonts w:ascii="Arial" w:hAnsi="Arial" w:cs="Arial"/>
          <w:color w:val="000000" w:themeColor="text1"/>
          <w:sz w:val="22"/>
          <w:szCs w:val="22"/>
        </w:rPr>
        <w:tab/>
      </w:r>
      <w:r w:rsidR="008B3507" w:rsidRPr="009C65DF">
        <w:rPr>
          <w:rFonts w:ascii="Arial" w:hAnsi="Arial" w:cs="Arial"/>
          <w:color w:val="000000" w:themeColor="text1"/>
          <w:sz w:val="22"/>
          <w:szCs w:val="22"/>
        </w:rPr>
        <w:tab/>
      </w:r>
      <w:r w:rsidR="008B3507" w:rsidRPr="009C65DF">
        <w:rPr>
          <w:rFonts w:ascii="Arial" w:hAnsi="Arial" w:cs="Arial"/>
          <w:color w:val="000000" w:themeColor="text1"/>
          <w:sz w:val="22"/>
          <w:szCs w:val="22"/>
        </w:rPr>
        <w:tab/>
      </w:r>
      <w:r w:rsidR="008B3507" w:rsidRPr="009C65DF">
        <w:rPr>
          <w:rFonts w:ascii="Arial" w:hAnsi="Arial" w:cs="Arial"/>
          <w:color w:val="000000" w:themeColor="text1"/>
          <w:sz w:val="22"/>
          <w:szCs w:val="22"/>
        </w:rPr>
        <w:tab/>
      </w:r>
      <w:r w:rsidR="008B3507" w:rsidRPr="009C65DF">
        <w:rPr>
          <w:rFonts w:ascii="Arial" w:hAnsi="Arial" w:cs="Arial"/>
          <w:color w:val="000000" w:themeColor="text1"/>
          <w:sz w:val="22"/>
          <w:szCs w:val="22"/>
        </w:rPr>
        <w:tab/>
      </w:r>
      <w:r w:rsidR="00916986">
        <w:rPr>
          <w:rFonts w:ascii="Arial" w:hAnsi="Arial" w:cs="Arial"/>
          <w:color w:val="000000" w:themeColor="text1"/>
          <w:sz w:val="22"/>
          <w:szCs w:val="22"/>
        </w:rPr>
        <w:t>10</w:t>
      </w:r>
    </w:p>
    <w:p w14:paraId="07AA5195" w14:textId="7C3A4018" w:rsidR="008B3507" w:rsidRPr="009C65DF" w:rsidRDefault="00D3155B" w:rsidP="00706BC5">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Public Health Measures:</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t>1</w:t>
      </w:r>
      <w:r w:rsidR="00CD4CF6">
        <w:rPr>
          <w:rFonts w:ascii="Arial" w:hAnsi="Arial" w:cs="Arial"/>
          <w:color w:val="000000" w:themeColor="text1"/>
          <w:sz w:val="22"/>
          <w:szCs w:val="22"/>
        </w:rPr>
        <w:t>1</w:t>
      </w:r>
    </w:p>
    <w:p w14:paraId="29B94C65" w14:textId="162D8F43" w:rsidR="00FE7868" w:rsidRPr="009C65DF" w:rsidRDefault="00890B7C" w:rsidP="00706BC5">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Prevention</w:t>
      </w:r>
      <w:r w:rsidR="002C1A50">
        <w:rPr>
          <w:rFonts w:ascii="Arial" w:hAnsi="Arial" w:cs="Arial"/>
          <w:color w:val="000000" w:themeColor="text1"/>
          <w:sz w:val="22"/>
          <w:szCs w:val="22"/>
        </w:rPr>
        <w:t>.</w:t>
      </w:r>
      <w:r w:rsidRPr="009C65DF">
        <w:rPr>
          <w:rFonts w:ascii="Arial" w:hAnsi="Arial" w:cs="Arial"/>
          <w:color w:val="000000" w:themeColor="text1"/>
          <w:sz w:val="22"/>
          <w:szCs w:val="22"/>
        </w:rPr>
        <w:tab/>
      </w:r>
      <w:r w:rsidR="002C5C15"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D53F96" w:rsidRPr="009C65DF">
        <w:rPr>
          <w:rFonts w:ascii="Arial" w:hAnsi="Arial" w:cs="Arial"/>
          <w:color w:val="000000" w:themeColor="text1"/>
          <w:sz w:val="22"/>
          <w:szCs w:val="22"/>
        </w:rPr>
        <w:t>1</w:t>
      </w:r>
      <w:r w:rsidR="00C830E3">
        <w:rPr>
          <w:rFonts w:ascii="Arial" w:hAnsi="Arial" w:cs="Arial"/>
          <w:color w:val="000000" w:themeColor="text1"/>
          <w:sz w:val="22"/>
          <w:szCs w:val="22"/>
        </w:rPr>
        <w:t>1</w:t>
      </w:r>
    </w:p>
    <w:p w14:paraId="5E35F502" w14:textId="6CDDC365" w:rsidR="00D53F96" w:rsidRPr="009C65DF" w:rsidRDefault="00D53F96" w:rsidP="00706BC5">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Protection</w:t>
      </w:r>
      <w:r w:rsidR="002C1A50">
        <w:rPr>
          <w:rFonts w:ascii="Arial" w:hAnsi="Arial" w:cs="Arial"/>
          <w:color w:val="000000" w:themeColor="text1"/>
          <w:sz w:val="22"/>
          <w:szCs w:val="22"/>
        </w:rPr>
        <w:t>.</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2C5C15"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t>1</w:t>
      </w:r>
      <w:r w:rsidR="00C830E3">
        <w:rPr>
          <w:rFonts w:ascii="Arial" w:hAnsi="Arial" w:cs="Arial"/>
          <w:color w:val="000000" w:themeColor="text1"/>
          <w:sz w:val="22"/>
          <w:szCs w:val="22"/>
        </w:rPr>
        <w:t>1</w:t>
      </w:r>
    </w:p>
    <w:p w14:paraId="5C302EE6" w14:textId="129DF387" w:rsidR="00FE7868" w:rsidRPr="009C65DF" w:rsidRDefault="003A0A14" w:rsidP="00706BC5">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Promotion</w:t>
      </w:r>
      <w:r w:rsidR="002C1A50">
        <w:rPr>
          <w:rFonts w:ascii="Arial" w:hAnsi="Arial" w:cs="Arial"/>
          <w:color w:val="000000" w:themeColor="text1"/>
          <w:sz w:val="22"/>
          <w:szCs w:val="22"/>
        </w:rPr>
        <w:t>.</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2C5C15"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9B685D" w:rsidRPr="009C65DF">
        <w:rPr>
          <w:rFonts w:ascii="Arial" w:hAnsi="Arial" w:cs="Arial"/>
          <w:color w:val="000000" w:themeColor="text1"/>
          <w:sz w:val="22"/>
          <w:szCs w:val="22"/>
        </w:rPr>
        <w:t>1</w:t>
      </w:r>
      <w:r w:rsidR="00947EE5">
        <w:rPr>
          <w:rFonts w:ascii="Arial" w:hAnsi="Arial" w:cs="Arial"/>
          <w:color w:val="000000" w:themeColor="text1"/>
          <w:sz w:val="22"/>
          <w:szCs w:val="22"/>
        </w:rPr>
        <w:t>1</w:t>
      </w:r>
    </w:p>
    <w:p w14:paraId="4E35883C" w14:textId="2A33C4E1" w:rsidR="00FE7868" w:rsidRPr="009C65DF" w:rsidRDefault="00507957" w:rsidP="00706BC5">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Risk Factors:</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AF3533" w:rsidRPr="009C65DF">
        <w:rPr>
          <w:rFonts w:ascii="Arial" w:hAnsi="Arial" w:cs="Arial"/>
          <w:color w:val="000000" w:themeColor="text1"/>
          <w:sz w:val="22"/>
          <w:szCs w:val="22"/>
        </w:rPr>
        <w:t>1</w:t>
      </w:r>
      <w:r w:rsidR="00947EE5">
        <w:rPr>
          <w:rFonts w:ascii="Arial" w:hAnsi="Arial" w:cs="Arial"/>
          <w:color w:val="000000" w:themeColor="text1"/>
          <w:sz w:val="22"/>
          <w:szCs w:val="22"/>
        </w:rPr>
        <w:t>2</w:t>
      </w:r>
    </w:p>
    <w:p w14:paraId="37C06F6C" w14:textId="1E32AB8E" w:rsidR="00605D07" w:rsidRPr="009C65DF" w:rsidRDefault="00513110" w:rsidP="00706BC5">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Health Needs Assessment:</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31682D" w:rsidRPr="009C65DF">
        <w:rPr>
          <w:rFonts w:ascii="Arial" w:hAnsi="Arial" w:cs="Arial"/>
          <w:color w:val="000000" w:themeColor="text1"/>
          <w:sz w:val="22"/>
          <w:szCs w:val="22"/>
        </w:rPr>
        <w:t>1</w:t>
      </w:r>
      <w:r w:rsidR="00DA47AF">
        <w:rPr>
          <w:rFonts w:ascii="Arial" w:hAnsi="Arial" w:cs="Arial"/>
          <w:color w:val="000000" w:themeColor="text1"/>
          <w:sz w:val="22"/>
          <w:szCs w:val="22"/>
        </w:rPr>
        <w:t>2</w:t>
      </w:r>
    </w:p>
    <w:p w14:paraId="70D69082" w14:textId="7A1F19CC" w:rsidR="009424EB" w:rsidRPr="009C65DF" w:rsidRDefault="00BA5E25" w:rsidP="00706BC5">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Epidemiological Studies</w:t>
      </w:r>
      <w:r w:rsidR="002C1A50">
        <w:rPr>
          <w:rFonts w:ascii="Arial" w:hAnsi="Arial" w:cs="Arial"/>
          <w:color w:val="000000" w:themeColor="text1"/>
          <w:sz w:val="22"/>
          <w:szCs w:val="22"/>
        </w:rPr>
        <w:t>:</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D858F7" w:rsidRPr="009C65DF">
        <w:rPr>
          <w:rFonts w:ascii="Arial" w:hAnsi="Arial" w:cs="Arial"/>
          <w:color w:val="000000" w:themeColor="text1"/>
          <w:sz w:val="22"/>
          <w:szCs w:val="22"/>
        </w:rPr>
        <w:t>1</w:t>
      </w:r>
      <w:r w:rsidR="00335D97">
        <w:rPr>
          <w:rFonts w:ascii="Arial" w:hAnsi="Arial" w:cs="Arial"/>
          <w:color w:val="000000" w:themeColor="text1"/>
          <w:sz w:val="22"/>
          <w:szCs w:val="22"/>
        </w:rPr>
        <w:t>2</w:t>
      </w:r>
    </w:p>
    <w:p w14:paraId="687CDA52" w14:textId="6C69DF6F" w:rsidR="00604691" w:rsidRDefault="00563CA5" w:rsidP="00706BC5">
      <w:pPr>
        <w:spacing w:line="360" w:lineRule="auto"/>
        <w:ind w:right="100"/>
        <w:jc w:val="both"/>
        <w:rPr>
          <w:rFonts w:ascii="Arial" w:hAnsi="Arial" w:cs="Arial"/>
          <w:color w:val="000000" w:themeColor="text1"/>
          <w:sz w:val="22"/>
          <w:szCs w:val="22"/>
        </w:rPr>
      </w:pPr>
      <w:r>
        <w:rPr>
          <w:rFonts w:ascii="Arial" w:hAnsi="Arial" w:cs="Arial"/>
          <w:color w:val="000000" w:themeColor="text1"/>
          <w:sz w:val="22"/>
          <w:szCs w:val="22"/>
        </w:rPr>
        <w:t>H</w:t>
      </w:r>
      <w:r w:rsidR="00B3650B">
        <w:rPr>
          <w:rFonts w:ascii="Arial" w:hAnsi="Arial" w:cs="Arial"/>
          <w:color w:val="000000" w:themeColor="text1"/>
          <w:sz w:val="22"/>
          <w:szCs w:val="22"/>
        </w:rPr>
        <w:t xml:space="preserve">ealth </w:t>
      </w:r>
      <w:r w:rsidR="009424EB" w:rsidRPr="009C65DF">
        <w:rPr>
          <w:rFonts w:ascii="Arial" w:hAnsi="Arial" w:cs="Arial"/>
          <w:color w:val="000000" w:themeColor="text1"/>
          <w:sz w:val="22"/>
          <w:szCs w:val="22"/>
        </w:rPr>
        <w:t>Intervention Programme, Evaluation</w:t>
      </w:r>
      <w:r w:rsidR="00851136">
        <w:rPr>
          <w:rFonts w:ascii="Arial" w:hAnsi="Arial" w:cs="Arial"/>
          <w:color w:val="000000" w:themeColor="text1"/>
          <w:sz w:val="22"/>
          <w:szCs w:val="22"/>
        </w:rPr>
        <w:t xml:space="preserve">, </w:t>
      </w:r>
      <w:r w:rsidR="00604691" w:rsidRPr="009C65DF">
        <w:rPr>
          <w:rFonts w:ascii="Arial" w:hAnsi="Arial" w:cs="Arial"/>
          <w:color w:val="000000" w:themeColor="text1"/>
          <w:sz w:val="22"/>
          <w:szCs w:val="22"/>
        </w:rPr>
        <w:t>Monitoring and Surveillance</w:t>
      </w:r>
      <w:r w:rsidR="00D75566" w:rsidRPr="009C65DF">
        <w:rPr>
          <w:rFonts w:ascii="Arial" w:hAnsi="Arial" w:cs="Arial"/>
          <w:color w:val="000000" w:themeColor="text1"/>
          <w:sz w:val="22"/>
          <w:szCs w:val="22"/>
        </w:rPr>
        <w:t>:</w:t>
      </w:r>
      <w:r w:rsidR="00D75566" w:rsidRPr="009C65DF">
        <w:rPr>
          <w:rFonts w:ascii="Arial" w:hAnsi="Arial" w:cs="Arial"/>
          <w:color w:val="000000" w:themeColor="text1"/>
          <w:sz w:val="22"/>
          <w:szCs w:val="22"/>
        </w:rPr>
        <w:tab/>
      </w:r>
      <w:r w:rsidR="00D75566" w:rsidRPr="009C65DF">
        <w:rPr>
          <w:rFonts w:ascii="Arial" w:hAnsi="Arial" w:cs="Arial"/>
          <w:color w:val="000000" w:themeColor="text1"/>
          <w:sz w:val="22"/>
          <w:szCs w:val="22"/>
        </w:rPr>
        <w:tab/>
      </w:r>
      <w:r w:rsidR="00A16944" w:rsidRPr="009C65DF">
        <w:rPr>
          <w:rFonts w:ascii="Arial" w:hAnsi="Arial" w:cs="Arial"/>
          <w:color w:val="000000" w:themeColor="text1"/>
          <w:sz w:val="22"/>
          <w:szCs w:val="22"/>
        </w:rPr>
        <w:tab/>
      </w:r>
      <w:r w:rsidR="00D75566" w:rsidRPr="009C65DF">
        <w:rPr>
          <w:rFonts w:ascii="Arial" w:hAnsi="Arial" w:cs="Arial"/>
          <w:color w:val="000000" w:themeColor="text1"/>
          <w:sz w:val="22"/>
          <w:szCs w:val="22"/>
        </w:rPr>
        <w:t>1</w:t>
      </w:r>
      <w:r w:rsidR="00D74C4B">
        <w:rPr>
          <w:rFonts w:ascii="Arial" w:hAnsi="Arial" w:cs="Arial"/>
          <w:color w:val="000000" w:themeColor="text1"/>
          <w:sz w:val="22"/>
          <w:szCs w:val="22"/>
        </w:rPr>
        <w:t>3</w:t>
      </w:r>
    </w:p>
    <w:p w14:paraId="1897D404" w14:textId="4A786E09" w:rsidR="00A23CA7" w:rsidRDefault="00A23CA7" w:rsidP="00706BC5">
      <w:pPr>
        <w:spacing w:line="360" w:lineRule="auto"/>
        <w:jc w:val="both"/>
        <w:rPr>
          <w:rFonts w:ascii="Arial" w:hAnsi="Arial" w:cs="Arial"/>
          <w:color w:val="000000" w:themeColor="text1"/>
          <w:sz w:val="22"/>
          <w:szCs w:val="22"/>
        </w:rPr>
      </w:pPr>
      <w:r w:rsidRPr="002C1A50">
        <w:rPr>
          <w:rFonts w:ascii="Arial" w:hAnsi="Arial" w:cs="Arial"/>
          <w:color w:val="000000" w:themeColor="text1"/>
          <w:sz w:val="22"/>
          <w:szCs w:val="22"/>
        </w:rPr>
        <w:t>Public health impact/short- and long-term consequences</w:t>
      </w:r>
      <w:r w:rsidR="002C1A50">
        <w:rPr>
          <w:rFonts w:ascii="Arial" w:hAnsi="Arial" w:cs="Arial"/>
          <w:color w:val="000000" w:themeColor="text1"/>
          <w:sz w:val="22"/>
          <w:szCs w:val="22"/>
        </w:rPr>
        <w:t>:</w:t>
      </w:r>
      <w:r w:rsidR="002C1A50">
        <w:rPr>
          <w:rFonts w:ascii="Arial" w:hAnsi="Arial" w:cs="Arial"/>
          <w:color w:val="000000" w:themeColor="text1"/>
          <w:sz w:val="22"/>
          <w:szCs w:val="22"/>
        </w:rPr>
        <w:tab/>
      </w:r>
      <w:r w:rsidR="002C1A50">
        <w:rPr>
          <w:rFonts w:ascii="Arial" w:hAnsi="Arial" w:cs="Arial"/>
          <w:color w:val="000000" w:themeColor="text1"/>
          <w:sz w:val="22"/>
          <w:szCs w:val="22"/>
        </w:rPr>
        <w:tab/>
      </w:r>
      <w:r w:rsidR="002C1A50">
        <w:rPr>
          <w:rFonts w:ascii="Arial" w:hAnsi="Arial" w:cs="Arial"/>
          <w:color w:val="000000" w:themeColor="text1"/>
          <w:sz w:val="22"/>
          <w:szCs w:val="22"/>
        </w:rPr>
        <w:tab/>
      </w:r>
      <w:r w:rsidR="002C1A50">
        <w:rPr>
          <w:rFonts w:ascii="Arial" w:hAnsi="Arial" w:cs="Arial"/>
          <w:color w:val="000000" w:themeColor="text1"/>
          <w:sz w:val="22"/>
          <w:szCs w:val="22"/>
        </w:rPr>
        <w:tab/>
      </w:r>
      <w:r w:rsidR="002C1A50">
        <w:rPr>
          <w:rFonts w:ascii="Arial" w:hAnsi="Arial" w:cs="Arial"/>
          <w:color w:val="000000" w:themeColor="text1"/>
          <w:sz w:val="22"/>
          <w:szCs w:val="22"/>
        </w:rPr>
        <w:tab/>
        <w:t>13</w:t>
      </w:r>
    </w:p>
    <w:p w14:paraId="72F24E3F" w14:textId="00BD32B9" w:rsidR="002C1A50" w:rsidRPr="002C1A50" w:rsidRDefault="002C1A50" w:rsidP="00706BC5">
      <w:pPr>
        <w:spacing w:line="360" w:lineRule="auto"/>
        <w:jc w:val="both"/>
        <w:rPr>
          <w:rFonts w:ascii="Arial" w:hAnsi="Arial" w:cs="Arial"/>
          <w:color w:val="000000" w:themeColor="text1"/>
          <w:sz w:val="22"/>
          <w:szCs w:val="22"/>
        </w:rPr>
      </w:pPr>
      <w:r w:rsidRPr="002C1A50">
        <w:rPr>
          <w:rFonts w:ascii="Arial" w:hAnsi="Arial" w:cs="Arial"/>
          <w:color w:val="000000" w:themeColor="text1"/>
          <w:sz w:val="22"/>
          <w:szCs w:val="22"/>
        </w:rPr>
        <w:t>Health Intervention Programme and Evaluation of Its Impact</w:t>
      </w:r>
      <w:r>
        <w:rPr>
          <w:rFonts w:ascii="Arial" w:hAnsi="Arial" w:cs="Arial"/>
          <w:color w:val="000000" w:themeColor="text1"/>
          <w:sz w:val="22"/>
          <w:szCs w:val="22"/>
        </w:rPr>
        <w:t>:</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sidR="000E7049">
        <w:rPr>
          <w:rFonts w:ascii="Arial" w:hAnsi="Arial" w:cs="Arial"/>
          <w:color w:val="000000" w:themeColor="text1"/>
          <w:sz w:val="22"/>
          <w:szCs w:val="22"/>
        </w:rPr>
        <w:t>14</w:t>
      </w:r>
    </w:p>
    <w:p w14:paraId="3F31C228" w14:textId="03AD79AE" w:rsidR="002C1A50" w:rsidRPr="000E7049" w:rsidRDefault="000E7049" w:rsidP="00706BC5">
      <w:pPr>
        <w:spacing w:line="360" w:lineRule="auto"/>
        <w:jc w:val="both"/>
        <w:rPr>
          <w:rFonts w:ascii="Arial" w:hAnsi="Arial" w:cs="Arial"/>
          <w:color w:val="000000" w:themeColor="text1"/>
          <w:sz w:val="22"/>
          <w:szCs w:val="22"/>
        </w:rPr>
      </w:pPr>
      <w:r w:rsidRPr="000E7049">
        <w:rPr>
          <w:rFonts w:ascii="Arial" w:hAnsi="Arial" w:cs="Arial"/>
          <w:color w:val="000000" w:themeColor="text1"/>
          <w:sz w:val="22"/>
          <w:szCs w:val="22"/>
        </w:rPr>
        <w:t>Strengths and Weaknesses of the Epidemiological Approach</w:t>
      </w:r>
      <w:r w:rsidR="003D6F8F">
        <w:rPr>
          <w:rFonts w:ascii="Arial" w:hAnsi="Arial" w:cs="Arial"/>
          <w:color w:val="000000" w:themeColor="text1"/>
          <w:sz w:val="22"/>
          <w:szCs w:val="22"/>
        </w:rPr>
        <w:tab/>
      </w:r>
      <w:r w:rsidR="003D6F8F">
        <w:rPr>
          <w:rFonts w:ascii="Arial" w:hAnsi="Arial" w:cs="Arial"/>
          <w:color w:val="000000" w:themeColor="text1"/>
          <w:sz w:val="22"/>
          <w:szCs w:val="22"/>
        </w:rPr>
        <w:tab/>
      </w:r>
      <w:r w:rsidR="003D6F8F">
        <w:rPr>
          <w:rFonts w:ascii="Arial" w:hAnsi="Arial" w:cs="Arial"/>
          <w:color w:val="000000" w:themeColor="text1"/>
          <w:sz w:val="22"/>
          <w:szCs w:val="22"/>
        </w:rPr>
        <w:tab/>
      </w:r>
      <w:r w:rsidR="003D6F8F">
        <w:rPr>
          <w:rFonts w:ascii="Arial" w:hAnsi="Arial" w:cs="Arial"/>
          <w:color w:val="000000" w:themeColor="text1"/>
          <w:sz w:val="22"/>
          <w:szCs w:val="22"/>
        </w:rPr>
        <w:tab/>
        <w:t>14</w:t>
      </w:r>
    </w:p>
    <w:p w14:paraId="50DDB22C" w14:textId="74725465" w:rsidR="00604691" w:rsidRPr="009C65DF" w:rsidRDefault="00886FF6" w:rsidP="00706BC5">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Conclusion:</w:t>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Pr="009C65DF">
        <w:rPr>
          <w:rFonts w:ascii="Arial" w:hAnsi="Arial" w:cs="Arial"/>
          <w:color w:val="000000" w:themeColor="text1"/>
          <w:sz w:val="22"/>
          <w:szCs w:val="22"/>
        </w:rPr>
        <w:tab/>
      </w:r>
      <w:r w:rsidR="00B37EC6" w:rsidRPr="009C65DF">
        <w:rPr>
          <w:rFonts w:ascii="Arial" w:hAnsi="Arial" w:cs="Arial"/>
          <w:color w:val="000000" w:themeColor="text1"/>
          <w:sz w:val="22"/>
          <w:szCs w:val="22"/>
        </w:rPr>
        <w:t>1</w:t>
      </w:r>
      <w:r w:rsidR="003D6F8F">
        <w:rPr>
          <w:rFonts w:ascii="Arial" w:hAnsi="Arial" w:cs="Arial"/>
          <w:color w:val="000000" w:themeColor="text1"/>
          <w:sz w:val="22"/>
          <w:szCs w:val="22"/>
        </w:rPr>
        <w:t>4</w:t>
      </w:r>
    </w:p>
    <w:p w14:paraId="7CEF6503" w14:textId="0C2D3B7B" w:rsidR="0031682D" w:rsidRPr="009C65DF" w:rsidRDefault="00860C69" w:rsidP="00706BC5">
      <w:pPr>
        <w:spacing w:line="360" w:lineRule="auto"/>
        <w:ind w:right="100"/>
        <w:jc w:val="both"/>
        <w:rPr>
          <w:rFonts w:ascii="Arial" w:hAnsi="Arial" w:cs="Arial"/>
          <w:color w:val="000000" w:themeColor="text1"/>
          <w:sz w:val="22"/>
          <w:szCs w:val="22"/>
        </w:rPr>
      </w:pPr>
      <w:r w:rsidRPr="009C65DF">
        <w:rPr>
          <w:rFonts w:ascii="Arial" w:hAnsi="Arial" w:cs="Arial"/>
          <w:color w:val="000000" w:themeColor="text1"/>
          <w:sz w:val="22"/>
          <w:szCs w:val="22"/>
        </w:rPr>
        <w:t>References:</w:t>
      </w:r>
      <w:r w:rsidR="005C0B66" w:rsidRPr="009C65DF">
        <w:rPr>
          <w:rFonts w:ascii="Arial" w:hAnsi="Arial" w:cs="Arial"/>
          <w:color w:val="000000" w:themeColor="text1"/>
          <w:sz w:val="22"/>
          <w:szCs w:val="22"/>
        </w:rPr>
        <w:tab/>
      </w:r>
      <w:r w:rsidR="005C0B66" w:rsidRPr="009C65DF">
        <w:rPr>
          <w:rFonts w:ascii="Arial" w:hAnsi="Arial" w:cs="Arial"/>
          <w:color w:val="000000" w:themeColor="text1"/>
          <w:sz w:val="22"/>
          <w:szCs w:val="22"/>
        </w:rPr>
        <w:tab/>
      </w:r>
      <w:r w:rsidR="005C0B66" w:rsidRPr="009C65DF">
        <w:rPr>
          <w:rFonts w:ascii="Arial" w:hAnsi="Arial" w:cs="Arial"/>
          <w:color w:val="000000" w:themeColor="text1"/>
          <w:sz w:val="22"/>
          <w:szCs w:val="22"/>
        </w:rPr>
        <w:tab/>
      </w:r>
      <w:r w:rsidR="005C0B66" w:rsidRPr="009C65DF">
        <w:rPr>
          <w:rFonts w:ascii="Arial" w:hAnsi="Arial" w:cs="Arial"/>
          <w:color w:val="000000" w:themeColor="text1"/>
          <w:sz w:val="22"/>
          <w:szCs w:val="22"/>
        </w:rPr>
        <w:tab/>
      </w:r>
      <w:r w:rsidR="005C0B66" w:rsidRPr="009C65DF">
        <w:rPr>
          <w:rFonts w:ascii="Arial" w:hAnsi="Arial" w:cs="Arial"/>
          <w:color w:val="000000" w:themeColor="text1"/>
          <w:sz w:val="22"/>
          <w:szCs w:val="22"/>
        </w:rPr>
        <w:tab/>
      </w:r>
      <w:r w:rsidR="005C0B66" w:rsidRPr="009C65DF">
        <w:rPr>
          <w:rFonts w:ascii="Arial" w:hAnsi="Arial" w:cs="Arial"/>
          <w:color w:val="000000" w:themeColor="text1"/>
          <w:sz w:val="22"/>
          <w:szCs w:val="22"/>
        </w:rPr>
        <w:tab/>
      </w:r>
      <w:r w:rsidR="005C0B66" w:rsidRPr="009C65DF">
        <w:rPr>
          <w:rFonts w:ascii="Arial" w:hAnsi="Arial" w:cs="Arial"/>
          <w:color w:val="000000" w:themeColor="text1"/>
          <w:sz w:val="22"/>
          <w:szCs w:val="22"/>
        </w:rPr>
        <w:tab/>
      </w:r>
      <w:r w:rsidR="005C0B66" w:rsidRPr="009C65DF">
        <w:rPr>
          <w:rFonts w:ascii="Arial" w:hAnsi="Arial" w:cs="Arial"/>
          <w:color w:val="000000" w:themeColor="text1"/>
          <w:sz w:val="22"/>
          <w:szCs w:val="22"/>
        </w:rPr>
        <w:tab/>
      </w:r>
      <w:r w:rsidR="005C0B66" w:rsidRPr="009C65DF">
        <w:rPr>
          <w:rFonts w:ascii="Arial" w:hAnsi="Arial" w:cs="Arial"/>
          <w:color w:val="000000" w:themeColor="text1"/>
          <w:sz w:val="22"/>
          <w:szCs w:val="22"/>
        </w:rPr>
        <w:tab/>
      </w:r>
      <w:r w:rsidR="005C0B66" w:rsidRPr="009C65DF">
        <w:rPr>
          <w:rFonts w:ascii="Arial" w:hAnsi="Arial" w:cs="Arial"/>
          <w:color w:val="000000" w:themeColor="text1"/>
          <w:sz w:val="22"/>
          <w:szCs w:val="22"/>
        </w:rPr>
        <w:tab/>
      </w:r>
      <w:r w:rsidR="005C0B66" w:rsidRPr="009C65DF">
        <w:rPr>
          <w:rFonts w:ascii="Arial" w:hAnsi="Arial" w:cs="Arial"/>
          <w:color w:val="000000" w:themeColor="text1"/>
          <w:sz w:val="22"/>
          <w:szCs w:val="22"/>
        </w:rPr>
        <w:tab/>
        <w:t>1</w:t>
      </w:r>
      <w:r w:rsidR="00AF23B2">
        <w:rPr>
          <w:rFonts w:ascii="Arial" w:hAnsi="Arial" w:cs="Arial"/>
          <w:color w:val="000000" w:themeColor="text1"/>
          <w:sz w:val="22"/>
          <w:szCs w:val="22"/>
        </w:rPr>
        <w:t>5</w:t>
      </w:r>
    </w:p>
    <w:p w14:paraId="1626199D" w14:textId="4EB15402" w:rsidR="00FE7868" w:rsidRPr="009C65DF" w:rsidRDefault="00FE7868" w:rsidP="00FD276A">
      <w:pPr>
        <w:spacing w:after="200" w:line="360" w:lineRule="auto"/>
        <w:rPr>
          <w:rFonts w:ascii="Arial" w:hAnsi="Arial" w:cs="Arial"/>
          <w:b/>
          <w:bCs/>
          <w:color w:val="000000" w:themeColor="text1"/>
          <w:sz w:val="22"/>
          <w:szCs w:val="22"/>
        </w:rPr>
      </w:pPr>
      <w:r w:rsidRPr="009C65DF">
        <w:rPr>
          <w:rFonts w:ascii="Arial" w:hAnsi="Arial" w:cs="Arial"/>
          <w:b/>
          <w:bCs/>
          <w:color w:val="000000" w:themeColor="text1"/>
          <w:sz w:val="22"/>
          <w:szCs w:val="22"/>
        </w:rPr>
        <w:br w:type="page"/>
      </w:r>
    </w:p>
    <w:p w14:paraId="22689640" w14:textId="66BE3E3A" w:rsidR="00F65598" w:rsidRDefault="00147164" w:rsidP="00F65598">
      <w:pPr>
        <w:spacing w:line="360" w:lineRule="auto"/>
        <w:ind w:right="100"/>
        <w:jc w:val="center"/>
        <w:rPr>
          <w:rFonts w:ascii="Arial" w:hAnsi="Arial" w:cs="Arial"/>
          <w:b/>
          <w:bCs/>
          <w:sz w:val="32"/>
          <w:szCs w:val="32"/>
        </w:rPr>
      </w:pPr>
      <w:r>
        <w:rPr>
          <w:rFonts w:ascii="Arial" w:hAnsi="Arial" w:cs="Arial"/>
          <w:b/>
          <w:bCs/>
          <w:sz w:val="32"/>
          <w:szCs w:val="32"/>
        </w:rPr>
        <w:lastRenderedPageBreak/>
        <w:t xml:space="preserve">Task 1 </w:t>
      </w:r>
      <w:r w:rsidR="00F65598" w:rsidRPr="00FD276A">
        <w:rPr>
          <w:rFonts w:ascii="Arial" w:hAnsi="Arial" w:cs="Arial"/>
          <w:b/>
          <w:bCs/>
          <w:sz w:val="32"/>
          <w:szCs w:val="32"/>
        </w:rPr>
        <w:t>Social Epidemiological Analysis:</w:t>
      </w:r>
    </w:p>
    <w:p w14:paraId="2158CC66" w14:textId="7FEE2869" w:rsidR="00F65598" w:rsidRDefault="00F65598" w:rsidP="00F65598">
      <w:pPr>
        <w:spacing w:line="360" w:lineRule="auto"/>
        <w:ind w:right="100"/>
        <w:jc w:val="center"/>
        <w:rPr>
          <w:rFonts w:ascii="Arial" w:hAnsi="Arial" w:cs="Arial"/>
          <w:b/>
          <w:bCs/>
          <w:color w:val="17365D" w:themeColor="text2" w:themeShade="BF"/>
          <w:sz w:val="36"/>
          <w:szCs w:val="36"/>
        </w:rPr>
      </w:pPr>
      <w:r w:rsidRPr="00FD276A">
        <w:rPr>
          <w:rFonts w:ascii="Arial" w:hAnsi="Arial" w:cs="Arial"/>
          <w:b/>
          <w:bCs/>
          <w:color w:val="17365D" w:themeColor="text2" w:themeShade="BF"/>
          <w:sz w:val="36"/>
          <w:szCs w:val="36"/>
        </w:rPr>
        <w:t>Health Inequalities Among Older Adults (Aged 65+) Living in the United Kingdom</w:t>
      </w:r>
      <w:r>
        <w:rPr>
          <w:rFonts w:ascii="Arial" w:hAnsi="Arial" w:cs="Arial"/>
          <w:b/>
          <w:bCs/>
          <w:color w:val="17365D" w:themeColor="text2" w:themeShade="BF"/>
          <w:sz w:val="36"/>
          <w:szCs w:val="36"/>
        </w:rPr>
        <w:t>.</w:t>
      </w:r>
    </w:p>
    <w:p w14:paraId="5D23F16F" w14:textId="4C0924B4" w:rsidR="00712CDA" w:rsidRDefault="00712CDA" w:rsidP="002E408E">
      <w:pPr>
        <w:spacing w:line="360" w:lineRule="auto"/>
        <w:ind w:right="100"/>
        <w:jc w:val="center"/>
        <w:rPr>
          <w:rFonts w:ascii="Arial" w:hAnsi="Arial" w:cs="Arial"/>
          <w:b/>
          <w:bCs/>
          <w:color w:val="000000" w:themeColor="text1"/>
          <w:sz w:val="32"/>
          <w:szCs w:val="32"/>
        </w:rPr>
      </w:pPr>
    </w:p>
    <w:p w14:paraId="1371BEF4" w14:textId="6696BC1E" w:rsidR="005E50CF" w:rsidRPr="00075F14" w:rsidRDefault="005E50CF" w:rsidP="00FD276A">
      <w:pPr>
        <w:spacing w:line="360" w:lineRule="auto"/>
        <w:ind w:right="100"/>
        <w:jc w:val="both"/>
        <w:rPr>
          <w:rFonts w:ascii="Arial" w:hAnsi="Arial" w:cs="Arial"/>
          <w:b/>
          <w:bCs/>
          <w:color w:val="000000" w:themeColor="text1"/>
          <w:sz w:val="28"/>
          <w:szCs w:val="28"/>
        </w:rPr>
      </w:pPr>
      <w:r w:rsidRPr="00075F14">
        <w:rPr>
          <w:rFonts w:ascii="Arial" w:hAnsi="Arial" w:cs="Arial"/>
          <w:b/>
          <w:bCs/>
          <w:color w:val="000000" w:themeColor="text1"/>
          <w:sz w:val="28"/>
          <w:szCs w:val="28"/>
        </w:rPr>
        <w:t>Introduction</w:t>
      </w:r>
    </w:p>
    <w:p w14:paraId="2C08756C" w14:textId="77777777" w:rsidR="00E8414C" w:rsidRPr="00E33DC4" w:rsidRDefault="00E8414C" w:rsidP="00D755DC">
      <w:pPr>
        <w:spacing w:line="360" w:lineRule="auto"/>
        <w:jc w:val="both"/>
        <w:rPr>
          <w:rFonts w:ascii="Arial" w:hAnsi="Arial" w:cs="Arial"/>
          <w:color w:val="000000" w:themeColor="text1"/>
          <w:sz w:val="22"/>
          <w:szCs w:val="22"/>
        </w:rPr>
      </w:pPr>
    </w:p>
    <w:p w14:paraId="47CE8BEB" w14:textId="14A84C9C" w:rsidR="00A35DE2" w:rsidRPr="00E33DC4" w:rsidRDefault="00AE3A1D"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T</w:t>
      </w:r>
      <w:r w:rsidR="00D35AD9" w:rsidRPr="00E33DC4">
        <w:rPr>
          <w:rFonts w:ascii="Arial" w:hAnsi="Arial" w:cs="Arial"/>
          <w:color w:val="000000" w:themeColor="text1"/>
          <w:sz w:val="22"/>
          <w:szCs w:val="22"/>
        </w:rPr>
        <w:t>his report</w:t>
      </w:r>
      <w:r w:rsidRPr="00E33DC4">
        <w:rPr>
          <w:rFonts w:ascii="Arial" w:hAnsi="Arial" w:cs="Arial"/>
          <w:color w:val="000000" w:themeColor="text1"/>
          <w:sz w:val="22"/>
          <w:szCs w:val="22"/>
        </w:rPr>
        <w:t xml:space="preserve"> is based</w:t>
      </w:r>
      <w:r w:rsidR="00BD3264" w:rsidRPr="00E33DC4">
        <w:rPr>
          <w:rFonts w:ascii="Arial" w:hAnsi="Arial" w:cs="Arial"/>
          <w:color w:val="000000" w:themeColor="text1"/>
          <w:sz w:val="22"/>
          <w:szCs w:val="22"/>
        </w:rPr>
        <w:t xml:space="preserve"> on</w:t>
      </w:r>
      <w:r w:rsidR="00B25BCA" w:rsidRPr="00E33DC4">
        <w:rPr>
          <w:rFonts w:ascii="Arial" w:hAnsi="Arial" w:cs="Arial"/>
          <w:color w:val="000000" w:themeColor="text1"/>
          <w:sz w:val="22"/>
          <w:szCs w:val="22"/>
        </w:rPr>
        <w:t xml:space="preserve"> </w:t>
      </w:r>
      <w:r w:rsidR="00B14332" w:rsidRPr="00E33DC4">
        <w:rPr>
          <w:rFonts w:ascii="Arial" w:hAnsi="Arial" w:cs="Arial"/>
          <w:color w:val="000000" w:themeColor="text1"/>
          <w:sz w:val="22"/>
          <w:szCs w:val="22"/>
        </w:rPr>
        <w:t>a critical analysis</w:t>
      </w:r>
      <w:r w:rsidR="00B25BCA" w:rsidRPr="00E33DC4">
        <w:rPr>
          <w:rFonts w:ascii="Arial" w:hAnsi="Arial" w:cs="Arial"/>
          <w:color w:val="000000" w:themeColor="text1"/>
          <w:sz w:val="22"/>
          <w:szCs w:val="22"/>
        </w:rPr>
        <w:t xml:space="preserve"> </w:t>
      </w:r>
      <w:r w:rsidR="00B14332" w:rsidRPr="00E33DC4">
        <w:rPr>
          <w:rFonts w:ascii="Arial" w:hAnsi="Arial" w:cs="Arial"/>
          <w:color w:val="000000" w:themeColor="text1"/>
          <w:sz w:val="22"/>
          <w:szCs w:val="22"/>
        </w:rPr>
        <w:t>of</w:t>
      </w:r>
      <w:r w:rsidR="00D35AD9" w:rsidRPr="00E33DC4">
        <w:rPr>
          <w:rFonts w:ascii="Arial" w:hAnsi="Arial" w:cs="Arial"/>
          <w:color w:val="000000" w:themeColor="text1"/>
          <w:sz w:val="22"/>
          <w:szCs w:val="22"/>
        </w:rPr>
        <w:t xml:space="preserve"> h</w:t>
      </w:r>
      <w:r w:rsidR="00C31D6E" w:rsidRPr="00E33DC4">
        <w:rPr>
          <w:rFonts w:ascii="Arial" w:hAnsi="Arial" w:cs="Arial"/>
          <w:color w:val="000000" w:themeColor="text1"/>
          <w:sz w:val="22"/>
          <w:szCs w:val="22"/>
        </w:rPr>
        <w:t>ealth inequalities</w:t>
      </w:r>
      <w:r w:rsidR="00D35AD9" w:rsidRPr="00E33DC4">
        <w:rPr>
          <w:rFonts w:ascii="Arial" w:hAnsi="Arial" w:cs="Arial"/>
          <w:color w:val="000000" w:themeColor="text1"/>
          <w:sz w:val="22"/>
          <w:szCs w:val="22"/>
        </w:rPr>
        <w:t>, which</w:t>
      </w:r>
      <w:r w:rsidR="00C31D6E" w:rsidRPr="00E33DC4">
        <w:rPr>
          <w:rFonts w:ascii="Arial" w:hAnsi="Arial" w:cs="Arial"/>
          <w:color w:val="000000" w:themeColor="text1"/>
          <w:sz w:val="22"/>
          <w:szCs w:val="22"/>
        </w:rPr>
        <w:t xml:space="preserve"> are systematic, preventable, and unfair differences in health statu</w:t>
      </w:r>
      <w:r w:rsidR="00F016B2" w:rsidRPr="00E33DC4">
        <w:rPr>
          <w:rFonts w:ascii="Arial" w:hAnsi="Arial" w:cs="Arial"/>
          <w:color w:val="000000" w:themeColor="text1"/>
          <w:sz w:val="22"/>
          <w:szCs w:val="22"/>
        </w:rPr>
        <w:t>s</w:t>
      </w:r>
      <w:r w:rsidR="002D4B04" w:rsidRPr="00E33DC4">
        <w:rPr>
          <w:rFonts w:ascii="Arial" w:hAnsi="Arial" w:cs="Arial"/>
          <w:color w:val="000000" w:themeColor="text1"/>
          <w:sz w:val="22"/>
          <w:szCs w:val="22"/>
        </w:rPr>
        <w:t xml:space="preserve"> </w:t>
      </w:r>
      <w:r w:rsidR="009D4D8B" w:rsidRPr="00E33DC4">
        <w:rPr>
          <w:rFonts w:ascii="Arial" w:hAnsi="Arial" w:cs="Arial"/>
          <w:color w:val="000000" w:themeColor="text1"/>
          <w:sz w:val="22"/>
          <w:szCs w:val="22"/>
        </w:rPr>
        <w:t>(Wagner et al., 2024).</w:t>
      </w:r>
      <w:r w:rsidR="00C31D6E" w:rsidRPr="00E33DC4">
        <w:rPr>
          <w:rFonts w:ascii="Arial" w:hAnsi="Arial" w:cs="Arial"/>
          <w:color w:val="000000" w:themeColor="text1"/>
          <w:sz w:val="22"/>
          <w:szCs w:val="22"/>
        </w:rPr>
        <w:t xml:space="preserve"> </w:t>
      </w:r>
      <w:r w:rsidR="00217FA1" w:rsidRPr="00E33DC4">
        <w:rPr>
          <w:rFonts w:ascii="Arial" w:hAnsi="Arial" w:cs="Arial"/>
          <w:color w:val="000000" w:themeColor="text1"/>
          <w:sz w:val="22"/>
          <w:szCs w:val="22"/>
        </w:rPr>
        <w:t>Social</w:t>
      </w:r>
      <w:r w:rsidR="00CE4BEF" w:rsidRPr="00E33DC4">
        <w:rPr>
          <w:rFonts w:ascii="Arial" w:hAnsi="Arial" w:cs="Arial"/>
          <w:color w:val="000000" w:themeColor="text1"/>
          <w:sz w:val="22"/>
          <w:szCs w:val="22"/>
        </w:rPr>
        <w:t xml:space="preserve"> </w:t>
      </w:r>
      <w:r w:rsidR="002842FF" w:rsidRPr="00E33DC4">
        <w:rPr>
          <w:rFonts w:ascii="Arial" w:hAnsi="Arial" w:cs="Arial"/>
          <w:color w:val="000000" w:themeColor="text1"/>
          <w:sz w:val="22"/>
          <w:szCs w:val="22"/>
        </w:rPr>
        <w:t>epidemiology</w:t>
      </w:r>
      <w:r w:rsidR="00CE4BEF" w:rsidRPr="00E33DC4">
        <w:rPr>
          <w:rFonts w:ascii="Arial" w:hAnsi="Arial" w:cs="Arial"/>
          <w:color w:val="000000" w:themeColor="text1"/>
          <w:sz w:val="22"/>
          <w:szCs w:val="22"/>
        </w:rPr>
        <w:t xml:space="preserve"> </w:t>
      </w:r>
      <w:r w:rsidR="002842FF" w:rsidRPr="00E33DC4">
        <w:rPr>
          <w:rFonts w:ascii="Arial" w:hAnsi="Arial" w:cs="Arial"/>
          <w:color w:val="000000" w:themeColor="text1"/>
          <w:sz w:val="22"/>
          <w:szCs w:val="22"/>
        </w:rPr>
        <w:t>is</w:t>
      </w:r>
      <w:r w:rsidR="00CE4BEF" w:rsidRPr="00E33DC4">
        <w:rPr>
          <w:rFonts w:ascii="Arial" w:hAnsi="Arial" w:cs="Arial"/>
          <w:color w:val="000000" w:themeColor="text1"/>
          <w:sz w:val="22"/>
          <w:szCs w:val="22"/>
        </w:rPr>
        <w:t xml:space="preserve"> shaped by various social determinants, including housing quality, employment and working conditions, education, income, access to healthcare, lifestyle factors (like diet and physical activity), and environmental conditions (such as pollution and green spaces)</w:t>
      </w:r>
      <w:r w:rsidR="00C31D6E" w:rsidRPr="00E33DC4">
        <w:rPr>
          <w:rFonts w:ascii="Arial" w:hAnsi="Arial" w:cs="Arial"/>
          <w:color w:val="000000" w:themeColor="text1"/>
          <w:sz w:val="22"/>
          <w:szCs w:val="22"/>
        </w:rPr>
        <w:t xml:space="preserve"> (Abdi et al., 2025; Marmot et al., 2020). </w:t>
      </w:r>
      <w:r w:rsidR="003702DF" w:rsidRPr="00E33DC4">
        <w:rPr>
          <w:rFonts w:ascii="Arial" w:hAnsi="Arial" w:cs="Arial"/>
          <w:color w:val="000000" w:themeColor="text1"/>
          <w:sz w:val="22"/>
          <w:szCs w:val="22"/>
        </w:rPr>
        <w:t xml:space="preserve">Older adults experience disproportionate health inequalities because </w:t>
      </w:r>
      <w:r w:rsidR="007218FF" w:rsidRPr="00E33DC4">
        <w:rPr>
          <w:rFonts w:ascii="Arial" w:hAnsi="Arial" w:cs="Arial"/>
          <w:color w:val="000000" w:themeColor="text1"/>
          <w:sz w:val="22"/>
          <w:szCs w:val="22"/>
        </w:rPr>
        <w:t>increasing</w:t>
      </w:r>
      <w:r w:rsidR="003702DF" w:rsidRPr="00E33DC4">
        <w:rPr>
          <w:rFonts w:ascii="Arial" w:hAnsi="Arial" w:cs="Arial"/>
          <w:color w:val="000000" w:themeColor="text1"/>
          <w:sz w:val="22"/>
          <w:szCs w:val="22"/>
        </w:rPr>
        <w:t xml:space="preserve"> exposure to social disadvantage across the life course </w:t>
      </w:r>
      <w:r w:rsidR="002E22D9" w:rsidRPr="00E33DC4">
        <w:rPr>
          <w:rFonts w:ascii="Arial" w:hAnsi="Arial" w:cs="Arial"/>
          <w:color w:val="000000" w:themeColor="text1"/>
          <w:sz w:val="22"/>
          <w:szCs w:val="22"/>
        </w:rPr>
        <w:t>raises</w:t>
      </w:r>
      <w:r w:rsidR="003702DF" w:rsidRPr="00E33DC4">
        <w:rPr>
          <w:rFonts w:ascii="Arial" w:hAnsi="Arial" w:cs="Arial"/>
          <w:color w:val="000000" w:themeColor="text1"/>
          <w:sz w:val="22"/>
          <w:szCs w:val="22"/>
        </w:rPr>
        <w:t xml:space="preserve"> the risk of multimorbidity, disability, frailty</w:t>
      </w:r>
      <w:r w:rsidR="007218FF" w:rsidRPr="00E33DC4">
        <w:rPr>
          <w:rFonts w:ascii="Arial" w:hAnsi="Arial" w:cs="Arial"/>
          <w:color w:val="000000" w:themeColor="text1"/>
          <w:sz w:val="22"/>
          <w:szCs w:val="22"/>
        </w:rPr>
        <w:t>,</w:t>
      </w:r>
      <w:r w:rsidR="003702DF" w:rsidRPr="00E33DC4">
        <w:rPr>
          <w:rFonts w:ascii="Arial" w:hAnsi="Arial" w:cs="Arial"/>
          <w:color w:val="000000" w:themeColor="text1"/>
          <w:sz w:val="22"/>
          <w:szCs w:val="22"/>
        </w:rPr>
        <w:t xml:space="preserve"> and reduced independence.</w:t>
      </w:r>
      <w:r w:rsidR="008F295C" w:rsidRPr="00E33DC4">
        <w:rPr>
          <w:rFonts w:ascii="Arial" w:hAnsi="Arial" w:cs="Arial"/>
          <w:color w:val="000000" w:themeColor="text1"/>
          <w:sz w:val="22"/>
          <w:szCs w:val="22"/>
        </w:rPr>
        <w:t xml:space="preserve"> </w:t>
      </w:r>
      <w:r w:rsidR="00E74329" w:rsidRPr="00E33DC4">
        <w:rPr>
          <w:rFonts w:ascii="Arial" w:hAnsi="Arial" w:cs="Arial"/>
          <w:color w:val="000000" w:themeColor="text1"/>
          <w:sz w:val="22"/>
          <w:szCs w:val="22"/>
        </w:rPr>
        <w:t>Therefore</w:t>
      </w:r>
      <w:r w:rsidR="00817F35" w:rsidRPr="00E33DC4">
        <w:rPr>
          <w:rFonts w:ascii="Arial" w:hAnsi="Arial" w:cs="Arial"/>
          <w:color w:val="000000" w:themeColor="text1"/>
          <w:sz w:val="22"/>
          <w:szCs w:val="22"/>
        </w:rPr>
        <w:t>, the global burden of non-communicable diseases, mental illness, and disability is rising. The World Health Organization (2024) estimates that the number of people aged 60 years and older will increase from 1.1 billion in 2023 to 1.4 billion by 2030, with those aged 80 years and older expected to reach 426 million by 2050.</w:t>
      </w:r>
      <w:r w:rsidR="00E74329" w:rsidRPr="00E33DC4">
        <w:rPr>
          <w:rFonts w:ascii="Arial" w:hAnsi="Arial" w:cs="Arial"/>
          <w:color w:val="000000" w:themeColor="text1"/>
          <w:sz w:val="22"/>
          <w:szCs w:val="22"/>
        </w:rPr>
        <w:t xml:space="preserve"> </w:t>
      </w:r>
      <w:r w:rsidR="000974DA" w:rsidRPr="00E33DC4">
        <w:rPr>
          <w:rFonts w:ascii="Arial" w:hAnsi="Arial" w:cs="Arial"/>
          <w:color w:val="000000" w:themeColor="text1"/>
          <w:sz w:val="22"/>
          <w:szCs w:val="22"/>
        </w:rPr>
        <w:t xml:space="preserve">The United Kingdom reflects this demographic trend. According to the Office for National Statistics (2024), around 12.9 million people (19% of the UK population) are aged 65 years and over. </w:t>
      </w:r>
      <w:r w:rsidR="002051B4" w:rsidRPr="00E33DC4">
        <w:rPr>
          <w:rFonts w:ascii="Arial" w:hAnsi="Arial" w:cs="Arial"/>
          <w:color w:val="000000" w:themeColor="text1"/>
          <w:sz w:val="22"/>
          <w:szCs w:val="22"/>
        </w:rPr>
        <w:t>Despite</w:t>
      </w:r>
      <w:r w:rsidR="000974DA" w:rsidRPr="00E33DC4">
        <w:rPr>
          <w:rFonts w:ascii="Arial" w:hAnsi="Arial" w:cs="Arial"/>
          <w:color w:val="000000" w:themeColor="text1"/>
          <w:sz w:val="22"/>
          <w:szCs w:val="22"/>
        </w:rPr>
        <w:t xml:space="preserve"> advances in healthcare, many older adults experience inequalities in mental health, healthcare access, mortality, poverty, housing and social isolation, particularly those living in deprived areas (Marmot et al., 2020). </w:t>
      </w:r>
    </w:p>
    <w:p w14:paraId="088C19F5" w14:textId="77777777" w:rsidR="007372E5" w:rsidRPr="00E33DC4" w:rsidRDefault="007372E5" w:rsidP="00C76305">
      <w:pPr>
        <w:spacing w:line="360" w:lineRule="auto"/>
        <w:jc w:val="both"/>
        <w:rPr>
          <w:rFonts w:ascii="Arial" w:hAnsi="Arial" w:cs="Arial"/>
          <w:b/>
          <w:bCs/>
          <w:color w:val="000000" w:themeColor="text1"/>
          <w:sz w:val="22"/>
          <w:szCs w:val="22"/>
        </w:rPr>
      </w:pPr>
    </w:p>
    <w:p w14:paraId="264AE19B" w14:textId="2C990BF5" w:rsidR="005F6A54" w:rsidRPr="001F4C0C" w:rsidRDefault="005F6A54" w:rsidP="00C76305">
      <w:pPr>
        <w:spacing w:line="360" w:lineRule="auto"/>
        <w:jc w:val="both"/>
        <w:rPr>
          <w:rFonts w:ascii="Arial" w:hAnsi="Arial" w:cs="Arial"/>
          <w:b/>
          <w:bCs/>
          <w:color w:val="000000" w:themeColor="text1"/>
          <w:sz w:val="28"/>
          <w:szCs w:val="28"/>
        </w:rPr>
      </w:pPr>
      <w:r w:rsidRPr="001F4C0C">
        <w:rPr>
          <w:rFonts w:ascii="Arial" w:hAnsi="Arial" w:cs="Arial"/>
          <w:b/>
          <w:bCs/>
          <w:color w:val="000000" w:themeColor="text1"/>
          <w:sz w:val="28"/>
          <w:szCs w:val="28"/>
        </w:rPr>
        <w:t>Higher Rates of Mental Illness</w:t>
      </w:r>
    </w:p>
    <w:p w14:paraId="65C41282" w14:textId="77777777" w:rsidR="0096544B" w:rsidRPr="00E33DC4" w:rsidRDefault="0096544B" w:rsidP="00C76305">
      <w:pPr>
        <w:spacing w:line="360" w:lineRule="auto"/>
        <w:jc w:val="both"/>
        <w:rPr>
          <w:rFonts w:ascii="Arial" w:hAnsi="Arial" w:cs="Arial"/>
          <w:b/>
          <w:bCs/>
          <w:color w:val="000000" w:themeColor="text1"/>
          <w:sz w:val="22"/>
          <w:szCs w:val="22"/>
        </w:rPr>
      </w:pPr>
    </w:p>
    <w:p w14:paraId="21BDBFC4" w14:textId="4E35175B" w:rsidR="005F6A54" w:rsidRPr="00E33DC4" w:rsidRDefault="00F370A3"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Mental illness is </w:t>
      </w:r>
      <w:r w:rsidR="0037560A" w:rsidRPr="00E33DC4">
        <w:rPr>
          <w:rFonts w:ascii="Arial" w:hAnsi="Arial" w:cs="Arial"/>
          <w:color w:val="000000" w:themeColor="text1"/>
          <w:sz w:val="22"/>
          <w:szCs w:val="22"/>
        </w:rPr>
        <w:t>one of the</w:t>
      </w:r>
      <w:r w:rsidR="00E45792"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most significant health inequalities affecting older adults in the UK. Depression, anxiety, and dementia frequently co-occur with long-term physical illnesses, leading to poorer health outcomes and increased healthcare utilization (Livingston et al., 2024). Age UK (2024) estimates that about 40% of older people admitted to the hospital have a mental health condition, yet many cases remain undiagnosed or untreated.</w:t>
      </w:r>
    </w:p>
    <w:p w14:paraId="13A8C88D" w14:textId="77777777" w:rsidR="000B512C" w:rsidRPr="00E33DC4" w:rsidRDefault="000B512C" w:rsidP="00C76305">
      <w:pPr>
        <w:spacing w:line="360" w:lineRule="auto"/>
        <w:jc w:val="both"/>
        <w:rPr>
          <w:rFonts w:ascii="Arial" w:hAnsi="Arial" w:cs="Arial"/>
          <w:color w:val="000000" w:themeColor="text1"/>
          <w:sz w:val="22"/>
          <w:szCs w:val="22"/>
        </w:rPr>
      </w:pPr>
    </w:p>
    <w:p w14:paraId="5591002B" w14:textId="79AFBC98" w:rsidR="000B076A" w:rsidRPr="00E33DC4" w:rsidRDefault="005F6A54"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Social epidemiological evidence shows that mental illness is strongly associated with loneliness, bereavement, financial hardship and multiple chronic illnesses. Older adults living in deprived communities experience </w:t>
      </w:r>
      <w:r w:rsidR="00CD1F84" w:rsidRPr="00E33DC4">
        <w:rPr>
          <w:rFonts w:ascii="Arial" w:hAnsi="Arial" w:cs="Arial"/>
          <w:color w:val="000000" w:themeColor="text1"/>
          <w:sz w:val="22"/>
          <w:szCs w:val="22"/>
        </w:rPr>
        <w:t>drastically</w:t>
      </w:r>
      <w:r w:rsidRPr="00E33DC4">
        <w:rPr>
          <w:rFonts w:ascii="Arial" w:hAnsi="Arial" w:cs="Arial"/>
          <w:color w:val="000000" w:themeColor="text1"/>
          <w:sz w:val="22"/>
          <w:szCs w:val="22"/>
        </w:rPr>
        <w:t xml:space="preserve"> higher levels of psychological distress than those in affluent areas (Bambra, Lynch and Smith, 2021). Dementia prevalence also increases substantially with age, affecting approximately </w:t>
      </w:r>
      <w:r w:rsidR="009468FF" w:rsidRPr="00E33DC4">
        <w:rPr>
          <w:rFonts w:ascii="Arial" w:hAnsi="Arial" w:cs="Arial"/>
          <w:color w:val="000000" w:themeColor="text1"/>
          <w:sz w:val="22"/>
          <w:szCs w:val="22"/>
        </w:rPr>
        <w:t>1</w:t>
      </w:r>
      <w:r w:rsidRPr="00E33DC4">
        <w:rPr>
          <w:rFonts w:ascii="Arial" w:hAnsi="Arial" w:cs="Arial"/>
          <w:color w:val="000000" w:themeColor="text1"/>
          <w:sz w:val="22"/>
          <w:szCs w:val="22"/>
        </w:rPr>
        <w:t xml:space="preserve"> in </w:t>
      </w:r>
      <w:r w:rsidR="009468FF" w:rsidRPr="00E33DC4">
        <w:rPr>
          <w:rFonts w:ascii="Arial" w:hAnsi="Arial" w:cs="Arial"/>
          <w:color w:val="000000" w:themeColor="text1"/>
          <w:sz w:val="22"/>
          <w:szCs w:val="22"/>
        </w:rPr>
        <w:t>11</w:t>
      </w:r>
      <w:r w:rsidRPr="00E33DC4">
        <w:rPr>
          <w:rFonts w:ascii="Arial" w:hAnsi="Arial" w:cs="Arial"/>
          <w:color w:val="000000" w:themeColor="text1"/>
          <w:sz w:val="22"/>
          <w:szCs w:val="22"/>
        </w:rPr>
        <w:t xml:space="preserve"> adults aged over 65 years in the UK (NHS England, 2025). </w:t>
      </w:r>
    </w:p>
    <w:p w14:paraId="0C5D858C" w14:textId="77777777" w:rsidR="000B076A" w:rsidRPr="00E33DC4" w:rsidRDefault="000B076A" w:rsidP="00C76305">
      <w:pPr>
        <w:spacing w:line="360" w:lineRule="auto"/>
        <w:jc w:val="both"/>
        <w:rPr>
          <w:rFonts w:ascii="Arial" w:hAnsi="Arial" w:cs="Arial"/>
          <w:color w:val="000000" w:themeColor="text1"/>
          <w:sz w:val="22"/>
          <w:szCs w:val="22"/>
        </w:rPr>
      </w:pPr>
    </w:p>
    <w:p w14:paraId="07728E7C" w14:textId="3012C78F" w:rsidR="005F6A54" w:rsidRPr="00E33DC4" w:rsidRDefault="005F6A54"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Reducing inequalities requires early </w:t>
      </w:r>
      <w:r w:rsidR="0045740E" w:rsidRPr="00E33DC4">
        <w:rPr>
          <w:rFonts w:ascii="Arial" w:hAnsi="Arial" w:cs="Arial"/>
          <w:color w:val="000000" w:themeColor="text1"/>
          <w:sz w:val="22"/>
          <w:szCs w:val="22"/>
        </w:rPr>
        <w:t>detection</w:t>
      </w:r>
      <w:r w:rsidRPr="00E33DC4">
        <w:rPr>
          <w:rFonts w:ascii="Arial" w:hAnsi="Arial" w:cs="Arial"/>
          <w:color w:val="000000" w:themeColor="text1"/>
          <w:sz w:val="22"/>
          <w:szCs w:val="22"/>
        </w:rPr>
        <w:t xml:space="preserve"> through routine mental health screening in primary care, improved access to psychological therapies and community-based interventions that address both medical and social needs. Integrated care pathways recommended (NICE, 2018) emphasise person-centred care, multidisciplinary working and support for carers to improve mental health outcomes.</w:t>
      </w:r>
    </w:p>
    <w:p w14:paraId="118F8797" w14:textId="77777777" w:rsidR="0097666D" w:rsidRPr="00E33DC4" w:rsidRDefault="0097666D" w:rsidP="00C76305">
      <w:pPr>
        <w:spacing w:line="360" w:lineRule="auto"/>
        <w:jc w:val="both"/>
        <w:rPr>
          <w:rFonts w:ascii="Arial" w:hAnsi="Arial" w:cs="Arial"/>
          <w:color w:val="000000" w:themeColor="text1"/>
          <w:sz w:val="22"/>
          <w:szCs w:val="22"/>
        </w:rPr>
      </w:pPr>
    </w:p>
    <w:p w14:paraId="38CC303F" w14:textId="066C8D26" w:rsidR="00DF4110" w:rsidRPr="007F761A" w:rsidRDefault="00DF4110" w:rsidP="00C76305">
      <w:pPr>
        <w:spacing w:line="360" w:lineRule="auto"/>
        <w:ind w:right="100"/>
        <w:jc w:val="both"/>
        <w:rPr>
          <w:rFonts w:ascii="Arial" w:hAnsi="Arial" w:cs="Arial"/>
          <w:b/>
          <w:bCs/>
          <w:color w:val="000000" w:themeColor="text1"/>
          <w:sz w:val="28"/>
          <w:szCs w:val="28"/>
        </w:rPr>
      </w:pPr>
      <w:r w:rsidRPr="007F761A">
        <w:rPr>
          <w:rFonts w:ascii="Arial" w:hAnsi="Arial" w:cs="Arial"/>
          <w:b/>
          <w:bCs/>
          <w:color w:val="000000" w:themeColor="text1"/>
          <w:sz w:val="28"/>
          <w:szCs w:val="28"/>
        </w:rPr>
        <w:t>Low Rates of Access to Healthcare</w:t>
      </w:r>
    </w:p>
    <w:p w14:paraId="30F67834" w14:textId="77777777" w:rsidR="0097666D" w:rsidRPr="00E33DC4" w:rsidRDefault="0097666D" w:rsidP="00C76305">
      <w:pPr>
        <w:spacing w:line="360" w:lineRule="auto"/>
        <w:ind w:right="100"/>
        <w:jc w:val="both"/>
        <w:rPr>
          <w:rFonts w:ascii="Arial" w:hAnsi="Arial" w:cs="Arial"/>
          <w:color w:val="000000" w:themeColor="text1"/>
          <w:sz w:val="22"/>
          <w:szCs w:val="22"/>
        </w:rPr>
      </w:pPr>
    </w:p>
    <w:p w14:paraId="776005D9" w14:textId="716A0DAC" w:rsidR="00DD275B" w:rsidRPr="00E33DC4" w:rsidRDefault="00A34F47" w:rsidP="00DD275B">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M</w:t>
      </w:r>
      <w:r w:rsidR="00DD275B" w:rsidRPr="00E33DC4">
        <w:rPr>
          <w:rFonts w:ascii="Arial" w:hAnsi="Arial" w:cs="Arial"/>
          <w:color w:val="000000" w:themeColor="text1"/>
          <w:sz w:val="22"/>
          <w:szCs w:val="22"/>
        </w:rPr>
        <w:t xml:space="preserve">any adults over the age of 65, particularly those from low-income families, continue to face inequitable access. Because of multimorbidity, frailty, and disability, </w:t>
      </w:r>
      <w:r w:rsidR="00CD7989" w:rsidRPr="00E33DC4">
        <w:rPr>
          <w:rFonts w:ascii="Arial" w:hAnsi="Arial" w:cs="Arial"/>
          <w:color w:val="000000" w:themeColor="text1"/>
          <w:sz w:val="22"/>
          <w:szCs w:val="22"/>
        </w:rPr>
        <w:t>aging</w:t>
      </w:r>
      <w:r w:rsidR="00DD275B" w:rsidRPr="00E33DC4">
        <w:rPr>
          <w:rFonts w:ascii="Arial" w:hAnsi="Arial" w:cs="Arial"/>
          <w:color w:val="000000" w:themeColor="text1"/>
          <w:sz w:val="22"/>
          <w:szCs w:val="22"/>
        </w:rPr>
        <w:t xml:space="preserve"> frequently </w:t>
      </w:r>
      <w:r w:rsidR="00CD7989" w:rsidRPr="00E33DC4">
        <w:rPr>
          <w:rFonts w:ascii="Arial" w:hAnsi="Arial" w:cs="Arial"/>
          <w:color w:val="000000" w:themeColor="text1"/>
          <w:sz w:val="22"/>
          <w:szCs w:val="22"/>
        </w:rPr>
        <w:t>requires</w:t>
      </w:r>
      <w:r w:rsidR="00DD275B" w:rsidRPr="00E33DC4">
        <w:rPr>
          <w:rFonts w:ascii="Arial" w:hAnsi="Arial" w:cs="Arial"/>
          <w:color w:val="000000" w:themeColor="text1"/>
          <w:sz w:val="22"/>
          <w:szCs w:val="22"/>
        </w:rPr>
        <w:t xml:space="preserve"> primary, community, and specialist care. However, NHS England (2025) identifies persistent socioeconomic disparities in waiting times, with patients from the most deprived communities being less likely to receive treatment within the 18-week referral-to-treatment standard than those from the least deprived areas.</w:t>
      </w:r>
    </w:p>
    <w:p w14:paraId="39CD41E1" w14:textId="77777777" w:rsidR="00DD275B" w:rsidRPr="00E33DC4" w:rsidRDefault="00DD275B" w:rsidP="00DD275B">
      <w:pPr>
        <w:spacing w:line="360" w:lineRule="auto"/>
        <w:jc w:val="both"/>
        <w:rPr>
          <w:rFonts w:ascii="Arial" w:hAnsi="Arial" w:cs="Arial"/>
          <w:color w:val="000000" w:themeColor="text1"/>
          <w:sz w:val="22"/>
          <w:szCs w:val="22"/>
        </w:rPr>
      </w:pPr>
    </w:p>
    <w:p w14:paraId="12652BE2" w14:textId="25A9D1DC" w:rsidR="00DD275B" w:rsidRPr="00E33DC4" w:rsidRDefault="00DD275B" w:rsidP="00DD275B">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In social epidemiology, unequal access cannot be explained by differences in healthcare need alone; it reflects the unequal distribution of broader social determinants. Limited income, reduced mobility, </w:t>
      </w:r>
      <w:r w:rsidR="00E16E52" w:rsidRPr="00E33DC4">
        <w:rPr>
          <w:rFonts w:ascii="Arial" w:hAnsi="Arial" w:cs="Arial"/>
          <w:color w:val="000000" w:themeColor="text1"/>
          <w:sz w:val="22"/>
          <w:szCs w:val="22"/>
        </w:rPr>
        <w:t xml:space="preserve">and </w:t>
      </w:r>
      <w:r w:rsidRPr="00E33DC4">
        <w:rPr>
          <w:rFonts w:ascii="Arial" w:hAnsi="Arial" w:cs="Arial"/>
          <w:color w:val="000000" w:themeColor="text1"/>
          <w:sz w:val="22"/>
          <w:szCs w:val="22"/>
        </w:rPr>
        <w:t>social and digital exclusion can restrict healthcare utilisation among older adults (Wagner et al., 2024). The Office for National Statistics (2025) reported that 27.7% of adults paid for private dental treatment because NHS appointments were unavailable, demonstrating how financial resources can influence access when NHS capacity is restricted.</w:t>
      </w:r>
    </w:p>
    <w:p w14:paraId="4E513A18" w14:textId="77777777" w:rsidR="00DD275B" w:rsidRPr="00E33DC4" w:rsidRDefault="00DD275B" w:rsidP="00DD275B">
      <w:pPr>
        <w:spacing w:line="360" w:lineRule="auto"/>
        <w:jc w:val="both"/>
        <w:rPr>
          <w:rFonts w:ascii="Arial" w:hAnsi="Arial" w:cs="Arial"/>
          <w:color w:val="000000" w:themeColor="text1"/>
          <w:sz w:val="22"/>
          <w:szCs w:val="22"/>
        </w:rPr>
      </w:pPr>
    </w:p>
    <w:p w14:paraId="1D2E7F04" w14:textId="77777777" w:rsidR="00DD275B" w:rsidRPr="00E33DC4" w:rsidRDefault="00DD275B" w:rsidP="00DD275B">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Reducing these inequalities requires age-friendly primary care, accessible community services, transport assistance and face-to-face alternatives to digital healthcare. These measures could facilitate earlier diagnosis, prevent avoidable hospitalisation and improve </w:t>
      </w:r>
      <w:r w:rsidRPr="00E33DC4">
        <w:rPr>
          <w:rFonts w:ascii="Arial" w:hAnsi="Arial" w:cs="Arial"/>
          <w:color w:val="000000" w:themeColor="text1"/>
          <w:sz w:val="22"/>
          <w:szCs w:val="22"/>
        </w:rPr>
        <w:lastRenderedPageBreak/>
        <w:t>health outcomes, while supporting the principle of proportionate universalism advocated within health-inequality policy (NICE, 2022).</w:t>
      </w:r>
    </w:p>
    <w:p w14:paraId="492EDFC2" w14:textId="77777777" w:rsidR="005F6A54" w:rsidRPr="00E33DC4" w:rsidRDefault="005F6A54" w:rsidP="00C76305">
      <w:pPr>
        <w:spacing w:line="360" w:lineRule="auto"/>
        <w:ind w:right="100"/>
        <w:jc w:val="both"/>
        <w:rPr>
          <w:rFonts w:ascii="Arial" w:hAnsi="Arial" w:cs="Arial"/>
          <w:color w:val="000000" w:themeColor="text1"/>
          <w:sz w:val="22"/>
          <w:szCs w:val="22"/>
        </w:rPr>
      </w:pPr>
    </w:p>
    <w:p w14:paraId="34D1B88D" w14:textId="0D6FA7CD" w:rsidR="0075016C" w:rsidRPr="00314CF1" w:rsidRDefault="0075016C" w:rsidP="00C76305">
      <w:pPr>
        <w:spacing w:line="360" w:lineRule="auto"/>
        <w:ind w:right="100"/>
        <w:jc w:val="both"/>
        <w:rPr>
          <w:rFonts w:ascii="Arial" w:hAnsi="Arial" w:cs="Arial"/>
          <w:b/>
          <w:bCs/>
          <w:color w:val="000000" w:themeColor="text1"/>
          <w:sz w:val="28"/>
          <w:szCs w:val="28"/>
        </w:rPr>
      </w:pPr>
      <w:r w:rsidRPr="00314CF1">
        <w:rPr>
          <w:rFonts w:ascii="Arial" w:hAnsi="Arial" w:cs="Arial"/>
          <w:b/>
          <w:bCs/>
          <w:color w:val="000000" w:themeColor="text1"/>
          <w:sz w:val="28"/>
          <w:szCs w:val="28"/>
        </w:rPr>
        <w:t>Mortality Rates Among Older Adults</w:t>
      </w:r>
    </w:p>
    <w:p w14:paraId="61733AEC" w14:textId="77777777" w:rsidR="00163C71" w:rsidRPr="00E33DC4" w:rsidRDefault="00163C71" w:rsidP="00C76305">
      <w:pPr>
        <w:spacing w:line="360" w:lineRule="auto"/>
        <w:ind w:right="100"/>
        <w:jc w:val="both"/>
        <w:rPr>
          <w:rFonts w:ascii="Arial" w:hAnsi="Arial" w:cs="Arial"/>
          <w:b/>
          <w:bCs/>
          <w:color w:val="000000" w:themeColor="text1"/>
          <w:sz w:val="22"/>
          <w:szCs w:val="22"/>
        </w:rPr>
      </w:pPr>
    </w:p>
    <w:p w14:paraId="60014E08" w14:textId="3FB17A3B" w:rsidR="001F2B55" w:rsidRPr="00E33DC4" w:rsidRDefault="0075016C" w:rsidP="00C76305">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Mortality rates among older adults</w:t>
      </w:r>
      <w:r w:rsidR="0087590F" w:rsidRPr="00E33DC4">
        <w:rPr>
          <w:rFonts w:ascii="Arial" w:hAnsi="Arial" w:cs="Arial"/>
          <w:color w:val="000000" w:themeColor="text1"/>
          <w:sz w:val="22"/>
          <w:szCs w:val="22"/>
        </w:rPr>
        <w:t xml:space="preserve"> (65 and above)</w:t>
      </w:r>
      <w:r w:rsidRPr="00E33DC4">
        <w:rPr>
          <w:rFonts w:ascii="Arial" w:hAnsi="Arial" w:cs="Arial"/>
          <w:color w:val="000000" w:themeColor="text1"/>
          <w:sz w:val="22"/>
          <w:szCs w:val="22"/>
        </w:rPr>
        <w:t xml:space="preserve"> remain considerably higher than in younger age groups</w:t>
      </w:r>
      <w:r w:rsidR="00105D09"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w:t>
      </w:r>
      <w:r w:rsidR="00901ED0" w:rsidRPr="00E33DC4">
        <w:rPr>
          <w:rFonts w:ascii="Arial" w:hAnsi="Arial" w:cs="Arial"/>
          <w:color w:val="000000" w:themeColor="text1"/>
          <w:sz w:val="22"/>
          <w:szCs w:val="22"/>
        </w:rPr>
        <w:t xml:space="preserve">with the </w:t>
      </w:r>
      <w:r w:rsidR="00B91879" w:rsidRPr="00E33DC4">
        <w:rPr>
          <w:rFonts w:ascii="Arial" w:hAnsi="Arial" w:cs="Arial"/>
          <w:color w:val="000000" w:themeColor="text1"/>
          <w:sz w:val="22"/>
          <w:szCs w:val="22"/>
        </w:rPr>
        <w:t>absolute</w:t>
      </w:r>
      <w:r w:rsidR="00901ED0" w:rsidRPr="00E33DC4">
        <w:rPr>
          <w:rFonts w:ascii="Arial" w:hAnsi="Arial" w:cs="Arial"/>
          <w:color w:val="000000" w:themeColor="text1"/>
          <w:sz w:val="22"/>
          <w:szCs w:val="22"/>
        </w:rPr>
        <w:t xml:space="preserve"> risk </w:t>
      </w:r>
      <w:r w:rsidR="00105D09" w:rsidRPr="00E33DC4">
        <w:rPr>
          <w:rFonts w:ascii="Arial" w:hAnsi="Arial" w:cs="Arial"/>
          <w:color w:val="000000" w:themeColor="text1"/>
          <w:sz w:val="22"/>
          <w:szCs w:val="22"/>
        </w:rPr>
        <w:t xml:space="preserve">generally </w:t>
      </w:r>
      <w:r w:rsidR="008459C7" w:rsidRPr="00E33DC4">
        <w:rPr>
          <w:rFonts w:ascii="Arial" w:hAnsi="Arial" w:cs="Arial"/>
          <w:color w:val="000000" w:themeColor="text1"/>
          <w:sz w:val="22"/>
          <w:szCs w:val="22"/>
        </w:rPr>
        <w:t>higher after 7-8 years</w:t>
      </w:r>
      <w:r w:rsidR="00105D09"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because of increased prevalence of cardiovascular disease, cancer, respiratory disease and dementia</w:t>
      </w:r>
      <w:r w:rsidR="00443100" w:rsidRPr="00E33DC4">
        <w:rPr>
          <w:rFonts w:ascii="Arial" w:hAnsi="Arial" w:cs="Arial"/>
          <w:color w:val="000000" w:themeColor="text1"/>
          <w:sz w:val="22"/>
          <w:szCs w:val="22"/>
        </w:rPr>
        <w:t xml:space="preserve"> (Dunnell, 2008)</w:t>
      </w:r>
      <w:r w:rsidRPr="00E33DC4">
        <w:rPr>
          <w:rFonts w:ascii="Arial" w:hAnsi="Arial" w:cs="Arial"/>
          <w:color w:val="000000" w:themeColor="text1"/>
          <w:sz w:val="22"/>
          <w:szCs w:val="22"/>
        </w:rPr>
        <w:t xml:space="preserve">. However, </w:t>
      </w:r>
      <w:r w:rsidR="00F20E64" w:rsidRPr="00E33DC4">
        <w:rPr>
          <w:rFonts w:ascii="Arial" w:hAnsi="Arial" w:cs="Arial"/>
          <w:color w:val="000000" w:themeColor="text1"/>
          <w:sz w:val="22"/>
          <w:szCs w:val="22"/>
        </w:rPr>
        <w:t>early</w:t>
      </w:r>
      <w:r w:rsidRPr="00E33DC4">
        <w:rPr>
          <w:rFonts w:ascii="Arial" w:hAnsi="Arial" w:cs="Arial"/>
          <w:color w:val="000000" w:themeColor="text1"/>
          <w:sz w:val="22"/>
          <w:szCs w:val="22"/>
        </w:rPr>
        <w:t xml:space="preserve"> mortality is not distributed equally across society. Individuals living in the most deprived areas experience shorter life expectancy and spend fewer years in good health than those living in affluent communities </w:t>
      </w:r>
      <w:r w:rsidR="00C11656" w:rsidRPr="00E33DC4">
        <w:rPr>
          <w:rFonts w:ascii="Arial" w:hAnsi="Arial" w:cs="Arial"/>
          <w:color w:val="000000" w:themeColor="text1"/>
          <w:sz w:val="22"/>
          <w:szCs w:val="22"/>
        </w:rPr>
        <w:t xml:space="preserve">(Marmot et al., 2020). </w:t>
      </w:r>
      <w:r w:rsidR="00F566D6" w:rsidRPr="00E33DC4">
        <w:rPr>
          <w:rFonts w:ascii="Arial" w:hAnsi="Arial" w:cs="Arial"/>
          <w:color w:val="000000" w:themeColor="text1"/>
          <w:sz w:val="22"/>
          <w:szCs w:val="22"/>
        </w:rPr>
        <w:t>Data</w:t>
      </w:r>
      <w:r w:rsidRPr="00E33DC4">
        <w:rPr>
          <w:rFonts w:ascii="Arial" w:hAnsi="Arial" w:cs="Arial"/>
          <w:color w:val="000000" w:themeColor="text1"/>
          <w:sz w:val="22"/>
          <w:szCs w:val="22"/>
        </w:rPr>
        <w:t xml:space="preserve"> </w:t>
      </w:r>
      <w:r w:rsidR="00C06888" w:rsidRPr="00E33DC4">
        <w:rPr>
          <w:rFonts w:ascii="Arial" w:hAnsi="Arial" w:cs="Arial"/>
          <w:color w:val="000000" w:themeColor="text1"/>
          <w:sz w:val="22"/>
          <w:szCs w:val="22"/>
        </w:rPr>
        <w:t>show</w:t>
      </w:r>
      <w:r w:rsidRPr="00E33DC4">
        <w:rPr>
          <w:rFonts w:ascii="Arial" w:hAnsi="Arial" w:cs="Arial"/>
          <w:color w:val="000000" w:themeColor="text1"/>
          <w:sz w:val="22"/>
          <w:szCs w:val="22"/>
        </w:rPr>
        <w:t xml:space="preserve"> persistent inequalities in healthy life expectancy, with significant geographical variation across England</w:t>
      </w:r>
      <w:r w:rsidR="00FF7FCC" w:rsidRPr="00E33DC4">
        <w:rPr>
          <w:rFonts w:ascii="Arial" w:hAnsi="Arial" w:cs="Arial"/>
          <w:color w:val="000000" w:themeColor="text1"/>
          <w:sz w:val="22"/>
          <w:szCs w:val="22"/>
        </w:rPr>
        <w:t xml:space="preserve"> (ONS 2024)</w:t>
      </w:r>
      <w:r w:rsidRPr="00E33DC4">
        <w:rPr>
          <w:rFonts w:ascii="Arial" w:hAnsi="Arial" w:cs="Arial"/>
          <w:color w:val="000000" w:themeColor="text1"/>
          <w:sz w:val="22"/>
          <w:szCs w:val="22"/>
        </w:rPr>
        <w:t xml:space="preserve">. </w:t>
      </w:r>
    </w:p>
    <w:p w14:paraId="107F75DA" w14:textId="77777777" w:rsidR="001F2B55" w:rsidRPr="00E33DC4" w:rsidRDefault="001F2B55" w:rsidP="00C76305">
      <w:pPr>
        <w:spacing w:line="360" w:lineRule="auto"/>
        <w:ind w:right="100"/>
        <w:jc w:val="both"/>
        <w:rPr>
          <w:rFonts w:ascii="Arial" w:hAnsi="Arial" w:cs="Arial"/>
          <w:color w:val="000000" w:themeColor="text1"/>
          <w:sz w:val="22"/>
          <w:szCs w:val="22"/>
        </w:rPr>
      </w:pPr>
    </w:p>
    <w:p w14:paraId="4462F1E8" w14:textId="57F20855" w:rsidR="001F2B55" w:rsidRPr="00E33DC4" w:rsidRDefault="0075016C" w:rsidP="00C76305">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 xml:space="preserve">Dementia </w:t>
      </w:r>
      <w:r w:rsidR="001B359B" w:rsidRPr="00E33DC4">
        <w:rPr>
          <w:rFonts w:ascii="Arial" w:hAnsi="Arial" w:cs="Arial"/>
          <w:color w:val="000000" w:themeColor="text1"/>
          <w:sz w:val="22"/>
          <w:szCs w:val="22"/>
        </w:rPr>
        <w:t>is</w:t>
      </w:r>
      <w:r w:rsidRPr="00E33DC4">
        <w:rPr>
          <w:rFonts w:ascii="Arial" w:hAnsi="Arial" w:cs="Arial"/>
          <w:color w:val="000000" w:themeColor="text1"/>
          <w:sz w:val="22"/>
          <w:szCs w:val="22"/>
        </w:rPr>
        <w:t xml:space="preserve"> </w:t>
      </w:r>
      <w:r w:rsidR="00A50D51" w:rsidRPr="00E33DC4">
        <w:rPr>
          <w:rFonts w:ascii="Arial" w:hAnsi="Arial" w:cs="Arial"/>
          <w:color w:val="000000" w:themeColor="text1"/>
          <w:sz w:val="22"/>
          <w:szCs w:val="22"/>
        </w:rPr>
        <w:t xml:space="preserve">a </w:t>
      </w:r>
      <w:r w:rsidRPr="00E33DC4">
        <w:rPr>
          <w:rFonts w:ascii="Arial" w:hAnsi="Arial" w:cs="Arial"/>
          <w:color w:val="000000" w:themeColor="text1"/>
          <w:sz w:val="22"/>
          <w:szCs w:val="22"/>
        </w:rPr>
        <w:t xml:space="preserve">leading </w:t>
      </w:r>
      <w:r w:rsidR="00A50D51" w:rsidRPr="00E33DC4">
        <w:rPr>
          <w:rFonts w:ascii="Arial" w:hAnsi="Arial" w:cs="Arial"/>
          <w:color w:val="000000" w:themeColor="text1"/>
          <w:sz w:val="22"/>
          <w:szCs w:val="22"/>
        </w:rPr>
        <w:t>cause</w:t>
      </w:r>
      <w:r w:rsidRPr="00E33DC4">
        <w:rPr>
          <w:rFonts w:ascii="Arial" w:hAnsi="Arial" w:cs="Arial"/>
          <w:color w:val="000000" w:themeColor="text1"/>
          <w:sz w:val="22"/>
          <w:szCs w:val="22"/>
        </w:rPr>
        <w:t xml:space="preserve"> of death among older adults</w:t>
      </w:r>
      <w:r w:rsidR="00FE1B5B"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cardiovascular disease remains a major contributor to mortality despite improvements in treatment (Office for Health Improvement and Disparities, 2024).</w:t>
      </w:r>
      <w:r w:rsidR="008F7E03" w:rsidRPr="00E33DC4">
        <w:rPr>
          <w:rFonts w:ascii="Arial" w:hAnsi="Arial" w:cs="Arial"/>
          <w:color w:val="000000" w:themeColor="text1"/>
          <w:sz w:val="22"/>
          <w:szCs w:val="22"/>
        </w:rPr>
        <w:t xml:space="preserve"> </w:t>
      </w:r>
      <w:r w:rsidR="00B52049" w:rsidRPr="00E33DC4">
        <w:rPr>
          <w:rFonts w:ascii="Arial" w:hAnsi="Arial" w:cs="Arial"/>
          <w:color w:val="000000" w:themeColor="text1"/>
          <w:sz w:val="22"/>
          <w:szCs w:val="22"/>
        </w:rPr>
        <w:t>Epidemiology</w:t>
      </w:r>
      <w:r w:rsidRPr="00E33DC4">
        <w:rPr>
          <w:rFonts w:ascii="Arial" w:hAnsi="Arial" w:cs="Arial"/>
          <w:color w:val="000000" w:themeColor="text1"/>
          <w:sz w:val="22"/>
          <w:szCs w:val="22"/>
        </w:rPr>
        <w:t xml:space="preserve"> suggests these inequalities accumulate over many decades through exposure to poverty, poor housing, unhealthy environments, smoking, limited educational opportunities and reduced access to preventative healthcare (Ben-Shlomo, Kuh and Mishra, 2022). </w:t>
      </w:r>
    </w:p>
    <w:p w14:paraId="175D2DBB" w14:textId="77777777" w:rsidR="001F2B55" w:rsidRPr="00E33DC4" w:rsidRDefault="001F2B55" w:rsidP="00C76305">
      <w:pPr>
        <w:spacing w:line="360" w:lineRule="auto"/>
        <w:ind w:right="100"/>
        <w:jc w:val="both"/>
        <w:rPr>
          <w:rFonts w:ascii="Arial" w:hAnsi="Arial" w:cs="Arial"/>
          <w:color w:val="000000" w:themeColor="text1"/>
          <w:sz w:val="22"/>
          <w:szCs w:val="22"/>
        </w:rPr>
      </w:pPr>
    </w:p>
    <w:p w14:paraId="5FA3965C" w14:textId="3AB3BC86" w:rsidR="00F50B57" w:rsidRDefault="00F80ABD" w:rsidP="00F50B57">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Therefore</w:t>
      </w:r>
      <w:r w:rsidR="0075016C" w:rsidRPr="00E33DC4">
        <w:rPr>
          <w:rFonts w:ascii="Arial" w:hAnsi="Arial" w:cs="Arial"/>
          <w:color w:val="000000" w:themeColor="text1"/>
          <w:sz w:val="22"/>
          <w:szCs w:val="22"/>
        </w:rPr>
        <w:t xml:space="preserve">, effective public health interventions must extend beyond healthcare delivery to address the wider social determinants of health. Preventive strategies, including vaccination programmes, cardiovascular risk assessment and healthy ageing initiatives, can reduce avoidable </w:t>
      </w:r>
      <w:r w:rsidR="005F3521">
        <w:rPr>
          <w:rFonts w:ascii="Arial" w:hAnsi="Arial" w:cs="Arial"/>
          <w:color w:val="000000" w:themeColor="text1"/>
          <w:sz w:val="22"/>
          <w:szCs w:val="22"/>
        </w:rPr>
        <w:t>mortality among older adults (Aarons et al.,</w:t>
      </w:r>
      <w:r w:rsidR="00F50B57" w:rsidRPr="00F50B57">
        <w:rPr>
          <w:rFonts w:ascii="Arial" w:hAnsi="Arial" w:cs="Arial"/>
          <w:color w:val="000000" w:themeColor="text1"/>
          <w:sz w:val="22"/>
          <w:szCs w:val="22"/>
        </w:rPr>
        <w:t xml:space="preserve"> 2017)</w:t>
      </w:r>
      <w:r w:rsidR="00195D98">
        <w:rPr>
          <w:rFonts w:ascii="Arial" w:hAnsi="Arial" w:cs="Arial"/>
          <w:color w:val="000000" w:themeColor="text1"/>
          <w:sz w:val="22"/>
          <w:szCs w:val="22"/>
        </w:rPr>
        <w:t>.</w:t>
      </w:r>
    </w:p>
    <w:p w14:paraId="1F3A5E5C" w14:textId="77777777" w:rsidR="005E50CF" w:rsidRPr="00E33DC4" w:rsidRDefault="005E50CF" w:rsidP="00C76305">
      <w:pPr>
        <w:spacing w:line="360" w:lineRule="auto"/>
        <w:ind w:right="100"/>
        <w:jc w:val="both"/>
        <w:rPr>
          <w:rFonts w:ascii="Arial" w:hAnsi="Arial" w:cs="Arial"/>
          <w:color w:val="000000" w:themeColor="text1"/>
          <w:sz w:val="22"/>
          <w:szCs w:val="22"/>
        </w:rPr>
      </w:pPr>
    </w:p>
    <w:p w14:paraId="3507347F" w14:textId="0F851168" w:rsidR="00835E44" w:rsidRPr="005D1956" w:rsidRDefault="00835E44" w:rsidP="00C76305">
      <w:pPr>
        <w:spacing w:line="360" w:lineRule="auto"/>
        <w:jc w:val="both"/>
        <w:rPr>
          <w:rFonts w:ascii="Arial" w:hAnsi="Arial" w:cs="Arial"/>
          <w:b/>
          <w:bCs/>
          <w:color w:val="000000" w:themeColor="text1"/>
          <w:sz w:val="28"/>
          <w:szCs w:val="28"/>
        </w:rPr>
      </w:pPr>
      <w:r w:rsidRPr="005D1956">
        <w:rPr>
          <w:rFonts w:ascii="Arial" w:hAnsi="Arial" w:cs="Arial"/>
          <w:b/>
          <w:bCs/>
          <w:color w:val="000000" w:themeColor="text1"/>
          <w:sz w:val="28"/>
          <w:szCs w:val="28"/>
        </w:rPr>
        <w:t>Social Isolation and Loneliness</w:t>
      </w:r>
    </w:p>
    <w:p w14:paraId="1DB50658" w14:textId="77777777" w:rsidR="00AE4DEF" w:rsidRPr="00E33DC4" w:rsidRDefault="00AE4DEF" w:rsidP="00C76305">
      <w:pPr>
        <w:spacing w:line="360" w:lineRule="auto"/>
        <w:jc w:val="both"/>
        <w:rPr>
          <w:rFonts w:ascii="Arial" w:hAnsi="Arial" w:cs="Arial"/>
          <w:b/>
          <w:bCs/>
          <w:color w:val="000000" w:themeColor="text1"/>
          <w:sz w:val="22"/>
          <w:szCs w:val="22"/>
        </w:rPr>
      </w:pPr>
    </w:p>
    <w:p w14:paraId="54EBAF15" w14:textId="77777777" w:rsidR="0060681F" w:rsidRPr="00E33DC4" w:rsidRDefault="00835E44"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Social isolation and loneliness are significant public health concerns among older adults in the UK and are strongly associated with poorer physical and mental health outcomes</w:t>
      </w:r>
      <w:r w:rsidR="00BC7C2F" w:rsidRPr="00E33DC4">
        <w:rPr>
          <w:rFonts w:ascii="Arial" w:hAnsi="Arial" w:cs="Arial"/>
          <w:color w:val="000000" w:themeColor="text1"/>
          <w:sz w:val="22"/>
          <w:szCs w:val="22"/>
        </w:rPr>
        <w:t xml:space="preserve"> </w:t>
      </w:r>
      <w:r w:rsidR="00074272" w:rsidRPr="00E33DC4">
        <w:rPr>
          <w:rFonts w:ascii="Arial" w:hAnsi="Arial" w:cs="Arial"/>
          <w:color w:val="000000" w:themeColor="text1"/>
          <w:sz w:val="22"/>
          <w:szCs w:val="22"/>
        </w:rPr>
        <w:t>(</w:t>
      </w:r>
      <w:r w:rsidR="00BC7C2F" w:rsidRPr="00E33DC4">
        <w:rPr>
          <w:rFonts w:ascii="Arial" w:hAnsi="Arial" w:cs="Arial"/>
          <w:color w:val="000000" w:themeColor="text1"/>
          <w:sz w:val="22"/>
          <w:szCs w:val="22"/>
        </w:rPr>
        <w:t>González-</w:t>
      </w:r>
      <w:proofErr w:type="spellStart"/>
      <w:r w:rsidR="00BC7C2F" w:rsidRPr="00E33DC4">
        <w:rPr>
          <w:rFonts w:ascii="Arial" w:hAnsi="Arial" w:cs="Arial"/>
          <w:color w:val="000000" w:themeColor="text1"/>
          <w:sz w:val="22"/>
          <w:szCs w:val="22"/>
        </w:rPr>
        <w:t>Álamos</w:t>
      </w:r>
      <w:proofErr w:type="spellEnd"/>
      <w:r w:rsidR="00BC7C2F" w:rsidRPr="00E33DC4">
        <w:rPr>
          <w:rFonts w:ascii="Arial" w:hAnsi="Arial" w:cs="Arial"/>
          <w:color w:val="000000" w:themeColor="text1"/>
          <w:sz w:val="22"/>
          <w:szCs w:val="22"/>
        </w:rPr>
        <w:t xml:space="preserve"> </w:t>
      </w:r>
      <w:r w:rsidR="00BC7C2F" w:rsidRPr="00E33DC4">
        <w:rPr>
          <w:rFonts w:ascii="Arial" w:hAnsi="Arial" w:cs="Arial"/>
          <w:i/>
          <w:iCs/>
          <w:color w:val="000000" w:themeColor="text1"/>
          <w:sz w:val="22"/>
          <w:szCs w:val="22"/>
        </w:rPr>
        <w:t>et al.</w:t>
      </w:r>
      <w:r w:rsidR="00BC7C2F" w:rsidRPr="00E33DC4">
        <w:rPr>
          <w:rFonts w:ascii="Arial" w:hAnsi="Arial" w:cs="Arial"/>
          <w:color w:val="000000" w:themeColor="text1"/>
          <w:sz w:val="22"/>
          <w:szCs w:val="22"/>
        </w:rPr>
        <w:t xml:space="preserve"> 2026</w:t>
      </w:r>
      <w:r w:rsidR="00BC7C2F" w:rsidRPr="00E33DC4">
        <w:rPr>
          <w:rFonts w:ascii="Arial" w:hAnsi="Arial" w:cs="Arial"/>
          <w:b/>
          <w:bCs/>
          <w:color w:val="000000" w:themeColor="text1"/>
          <w:sz w:val="22"/>
          <w:szCs w:val="22"/>
        </w:rPr>
        <w:t>)</w:t>
      </w:r>
      <w:r w:rsidRPr="00E33DC4">
        <w:rPr>
          <w:rFonts w:ascii="Arial" w:hAnsi="Arial" w:cs="Arial"/>
          <w:color w:val="000000" w:themeColor="text1"/>
          <w:sz w:val="22"/>
          <w:szCs w:val="22"/>
        </w:rPr>
        <w:t xml:space="preserve">. Although loneliness </w:t>
      </w:r>
      <w:r w:rsidR="00D32004" w:rsidRPr="00E33DC4">
        <w:rPr>
          <w:rFonts w:ascii="Arial" w:hAnsi="Arial" w:cs="Arial"/>
          <w:color w:val="000000" w:themeColor="text1"/>
          <w:sz w:val="22"/>
          <w:szCs w:val="22"/>
        </w:rPr>
        <w:t>refers</w:t>
      </w:r>
      <w:r w:rsidRPr="00E33DC4">
        <w:rPr>
          <w:rFonts w:ascii="Arial" w:hAnsi="Arial" w:cs="Arial"/>
          <w:color w:val="000000" w:themeColor="text1"/>
          <w:sz w:val="22"/>
          <w:szCs w:val="22"/>
        </w:rPr>
        <w:t xml:space="preserve"> to the subjective feeling of being alone</w:t>
      </w:r>
      <w:r w:rsidR="00107727" w:rsidRPr="00E33DC4">
        <w:rPr>
          <w:rFonts w:ascii="Arial" w:hAnsi="Arial" w:cs="Arial"/>
          <w:color w:val="000000" w:themeColor="text1"/>
          <w:sz w:val="22"/>
          <w:szCs w:val="22"/>
        </w:rPr>
        <w:t>,</w:t>
      </w:r>
      <w:r w:rsidR="00692371"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 xml:space="preserve">social isolation </w:t>
      </w:r>
      <w:r w:rsidR="00D32004" w:rsidRPr="00E33DC4">
        <w:rPr>
          <w:rFonts w:ascii="Arial" w:hAnsi="Arial" w:cs="Arial"/>
          <w:color w:val="000000" w:themeColor="text1"/>
          <w:sz w:val="22"/>
          <w:szCs w:val="22"/>
        </w:rPr>
        <w:t>refers</w:t>
      </w:r>
      <w:r w:rsidR="008F6B92" w:rsidRPr="00E33DC4">
        <w:rPr>
          <w:rFonts w:ascii="Arial" w:hAnsi="Arial" w:cs="Arial"/>
          <w:color w:val="000000" w:themeColor="text1"/>
          <w:sz w:val="22"/>
          <w:szCs w:val="22"/>
        </w:rPr>
        <w:t xml:space="preserve"> to</w:t>
      </w:r>
      <w:r w:rsidRPr="00E33DC4">
        <w:rPr>
          <w:rFonts w:ascii="Arial" w:hAnsi="Arial" w:cs="Arial"/>
          <w:color w:val="000000" w:themeColor="text1"/>
          <w:sz w:val="22"/>
          <w:szCs w:val="22"/>
        </w:rPr>
        <w:t xml:space="preserve"> the objective lack of social relationships or interactions</w:t>
      </w:r>
      <w:r w:rsidR="00107727" w:rsidRPr="00E33DC4">
        <w:rPr>
          <w:rFonts w:ascii="Arial" w:hAnsi="Arial" w:cs="Arial"/>
          <w:color w:val="000000" w:themeColor="text1"/>
          <w:sz w:val="22"/>
          <w:szCs w:val="22"/>
        </w:rPr>
        <w:t xml:space="preserve"> (Santini </w:t>
      </w:r>
      <w:r w:rsidR="00107727" w:rsidRPr="00E33DC4">
        <w:rPr>
          <w:rFonts w:ascii="Arial" w:hAnsi="Arial" w:cs="Arial"/>
          <w:i/>
          <w:iCs/>
          <w:color w:val="000000" w:themeColor="text1"/>
          <w:sz w:val="22"/>
          <w:szCs w:val="22"/>
        </w:rPr>
        <w:t>et al.</w:t>
      </w:r>
      <w:r w:rsidR="00107727" w:rsidRPr="00E33DC4">
        <w:rPr>
          <w:rFonts w:ascii="Arial" w:hAnsi="Arial" w:cs="Arial"/>
          <w:color w:val="000000" w:themeColor="text1"/>
          <w:sz w:val="22"/>
          <w:szCs w:val="22"/>
        </w:rPr>
        <w:t xml:space="preserve"> 2025)</w:t>
      </w:r>
      <w:r w:rsidRPr="00E33DC4">
        <w:rPr>
          <w:rFonts w:ascii="Arial" w:hAnsi="Arial" w:cs="Arial"/>
          <w:color w:val="000000" w:themeColor="text1"/>
          <w:sz w:val="22"/>
          <w:szCs w:val="22"/>
        </w:rPr>
        <w:t xml:space="preserve">. </w:t>
      </w:r>
    </w:p>
    <w:p w14:paraId="0DA05BED" w14:textId="77777777" w:rsidR="0060681F" w:rsidRPr="00E33DC4" w:rsidRDefault="0060681F" w:rsidP="00C76305">
      <w:pPr>
        <w:spacing w:line="360" w:lineRule="auto"/>
        <w:jc w:val="both"/>
        <w:rPr>
          <w:rFonts w:ascii="Arial" w:hAnsi="Arial" w:cs="Arial"/>
          <w:color w:val="000000" w:themeColor="text1"/>
          <w:sz w:val="22"/>
          <w:szCs w:val="22"/>
        </w:rPr>
      </w:pPr>
    </w:p>
    <w:p w14:paraId="23841DCA" w14:textId="34234B25" w:rsidR="009D02F4" w:rsidRPr="00E33DC4" w:rsidRDefault="00835E44"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Older adults are particularly vulnerable because of retirement, declining mobility, chronic illness</w:t>
      </w:r>
      <w:r w:rsidR="008F6B92"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and reduced participation in community activities. Age UK (2024) estimates that around 1.4 million older people in England experience chronic loneliness, increasing their risk of depression, anxiety, cognitive decline</w:t>
      </w:r>
      <w:r w:rsidR="00F551C9">
        <w:rPr>
          <w:rFonts w:ascii="Arial" w:hAnsi="Arial" w:cs="Arial"/>
          <w:color w:val="000000" w:themeColor="text1"/>
          <w:sz w:val="22"/>
          <w:szCs w:val="22"/>
        </w:rPr>
        <w:t>,</w:t>
      </w:r>
      <w:r w:rsidRPr="00E33DC4">
        <w:rPr>
          <w:rFonts w:ascii="Arial" w:hAnsi="Arial" w:cs="Arial"/>
          <w:color w:val="000000" w:themeColor="text1"/>
          <w:sz w:val="22"/>
          <w:szCs w:val="22"/>
        </w:rPr>
        <w:t xml:space="preserve"> and dementia. </w:t>
      </w:r>
      <w:r w:rsidR="00F33B10">
        <w:rPr>
          <w:rFonts w:ascii="Arial" w:hAnsi="Arial" w:cs="Arial"/>
          <w:color w:val="000000" w:themeColor="text1"/>
          <w:sz w:val="22"/>
          <w:szCs w:val="22"/>
        </w:rPr>
        <w:t xml:space="preserve">According to </w:t>
      </w:r>
      <w:r w:rsidR="00F33B10" w:rsidRPr="00F33B10">
        <w:rPr>
          <w:rFonts w:ascii="Arial" w:hAnsi="Arial" w:cs="Arial"/>
          <w:color w:val="000000" w:themeColor="text1"/>
          <w:sz w:val="22"/>
          <w:szCs w:val="22"/>
        </w:rPr>
        <w:t>Brandt,</w:t>
      </w:r>
      <w:r w:rsidR="00F33B10">
        <w:rPr>
          <w:rFonts w:ascii="Arial" w:hAnsi="Arial" w:cs="Arial"/>
          <w:color w:val="000000" w:themeColor="text1"/>
          <w:sz w:val="22"/>
          <w:szCs w:val="22"/>
        </w:rPr>
        <w:t xml:space="preserve"> </w:t>
      </w:r>
      <w:r w:rsidR="00F33B10" w:rsidRPr="00F33B10">
        <w:rPr>
          <w:rFonts w:ascii="Arial" w:hAnsi="Arial" w:cs="Arial"/>
          <w:i/>
          <w:iCs/>
          <w:color w:val="000000" w:themeColor="text1"/>
          <w:sz w:val="22"/>
          <w:szCs w:val="22"/>
        </w:rPr>
        <w:t>et al.</w:t>
      </w:r>
      <w:r w:rsidR="00F33B10" w:rsidRPr="00F33B10">
        <w:rPr>
          <w:rFonts w:ascii="Arial" w:hAnsi="Arial" w:cs="Arial"/>
          <w:color w:val="000000" w:themeColor="text1"/>
          <w:sz w:val="22"/>
          <w:szCs w:val="22"/>
        </w:rPr>
        <w:t xml:space="preserve"> </w:t>
      </w:r>
      <w:r w:rsidR="00F33B10" w:rsidRPr="00592F16">
        <w:rPr>
          <w:rFonts w:ascii="Arial" w:hAnsi="Arial" w:cs="Arial"/>
          <w:color w:val="000000" w:themeColor="text1"/>
          <w:sz w:val="22"/>
          <w:szCs w:val="22"/>
        </w:rPr>
        <w:t>(2023)</w:t>
      </w:r>
      <w:r w:rsidR="00F33B10">
        <w:rPr>
          <w:rFonts w:ascii="Arial" w:hAnsi="Arial" w:cs="Arial"/>
          <w:color w:val="000000" w:themeColor="text1"/>
          <w:sz w:val="22"/>
          <w:szCs w:val="22"/>
        </w:rPr>
        <w:t>, prolonged</w:t>
      </w:r>
      <w:r w:rsidRPr="00E33DC4">
        <w:rPr>
          <w:rFonts w:ascii="Arial" w:hAnsi="Arial" w:cs="Arial"/>
          <w:color w:val="000000" w:themeColor="text1"/>
          <w:sz w:val="22"/>
          <w:szCs w:val="22"/>
        </w:rPr>
        <w:t xml:space="preserve"> social isolation is linked to increased risks of cardiovascular disease, stroke, and premature mortality. </w:t>
      </w:r>
    </w:p>
    <w:p w14:paraId="6EC56CA7" w14:textId="77777777" w:rsidR="009D02F4" w:rsidRPr="00E33DC4" w:rsidRDefault="009D02F4" w:rsidP="00C76305">
      <w:pPr>
        <w:spacing w:line="360" w:lineRule="auto"/>
        <w:jc w:val="both"/>
        <w:rPr>
          <w:rFonts w:ascii="Arial" w:hAnsi="Arial" w:cs="Arial"/>
          <w:color w:val="000000" w:themeColor="text1"/>
          <w:sz w:val="22"/>
          <w:szCs w:val="22"/>
        </w:rPr>
      </w:pPr>
    </w:p>
    <w:p w14:paraId="61916B4C" w14:textId="1CB33DB2" w:rsidR="00DB46DE" w:rsidRPr="00E33DC4" w:rsidRDefault="00DB46DE" w:rsidP="00DB46DE">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Strategies to reduce loneliness, especially among older adults, include coordinated health and social care interventions, community-based activity centres, physical activities</w:t>
      </w:r>
      <w:r w:rsidR="00EE1C80" w:rsidRPr="00E33DC4">
        <w:rPr>
          <w:rFonts w:ascii="Arial" w:hAnsi="Arial" w:cs="Arial"/>
          <w:color w:val="000000" w:themeColor="text1"/>
          <w:sz w:val="22"/>
          <w:szCs w:val="22"/>
        </w:rPr>
        <w:t xml:space="preserve"> and</w:t>
      </w:r>
      <w:r w:rsidRPr="00E33DC4">
        <w:rPr>
          <w:rFonts w:ascii="Arial" w:hAnsi="Arial" w:cs="Arial"/>
          <w:color w:val="000000" w:themeColor="text1"/>
          <w:sz w:val="22"/>
          <w:szCs w:val="22"/>
        </w:rPr>
        <w:t xml:space="preserve"> learning programs. These approaches enhance social connectedness and well-being, highlighting the importance of strengthening community networks to address health inequalities</w:t>
      </w:r>
      <w:r w:rsidR="009577D2" w:rsidRPr="00E33DC4">
        <w:rPr>
          <w:rFonts w:ascii="Arial" w:hAnsi="Arial" w:cs="Arial"/>
          <w:color w:val="000000" w:themeColor="text1"/>
          <w:sz w:val="22"/>
          <w:szCs w:val="22"/>
        </w:rPr>
        <w:t xml:space="preserve"> </w:t>
      </w:r>
      <w:r w:rsidR="005937B5" w:rsidRPr="00E33DC4">
        <w:rPr>
          <w:rFonts w:ascii="Arial" w:hAnsi="Arial" w:cs="Arial"/>
          <w:color w:val="000000" w:themeColor="text1"/>
          <w:sz w:val="22"/>
          <w:szCs w:val="22"/>
        </w:rPr>
        <w:t xml:space="preserve">(Gandy </w:t>
      </w:r>
      <w:r w:rsidR="005937B5" w:rsidRPr="00E33DC4">
        <w:rPr>
          <w:rFonts w:ascii="Arial" w:hAnsi="Arial" w:cs="Arial"/>
          <w:i/>
          <w:iCs/>
          <w:color w:val="000000" w:themeColor="text1"/>
          <w:sz w:val="22"/>
          <w:szCs w:val="22"/>
        </w:rPr>
        <w:t>et al.</w:t>
      </w:r>
      <w:r w:rsidR="005937B5" w:rsidRPr="00E33DC4">
        <w:rPr>
          <w:rFonts w:ascii="Arial" w:hAnsi="Arial" w:cs="Arial"/>
          <w:color w:val="000000" w:themeColor="text1"/>
          <w:sz w:val="22"/>
          <w:szCs w:val="22"/>
        </w:rPr>
        <w:t xml:space="preserve"> 2017)</w:t>
      </w:r>
      <w:r w:rsidRPr="00E33DC4">
        <w:rPr>
          <w:rFonts w:ascii="Arial" w:hAnsi="Arial" w:cs="Arial"/>
          <w:color w:val="000000" w:themeColor="text1"/>
          <w:sz w:val="22"/>
          <w:szCs w:val="22"/>
        </w:rPr>
        <w:t>.</w:t>
      </w:r>
    </w:p>
    <w:p w14:paraId="313F6767" w14:textId="77777777" w:rsidR="001F7B25" w:rsidRPr="00E33DC4" w:rsidRDefault="001F7B25" w:rsidP="00C76305">
      <w:pPr>
        <w:spacing w:line="360" w:lineRule="auto"/>
        <w:ind w:right="100"/>
        <w:jc w:val="both"/>
        <w:rPr>
          <w:rFonts w:ascii="Arial" w:hAnsi="Arial" w:cs="Arial"/>
          <w:color w:val="000000" w:themeColor="text1"/>
          <w:sz w:val="22"/>
          <w:szCs w:val="22"/>
        </w:rPr>
      </w:pPr>
    </w:p>
    <w:p w14:paraId="69A2236A" w14:textId="3A1AE31C" w:rsidR="003F6921" w:rsidRPr="00846DCC" w:rsidRDefault="00EB2DAB" w:rsidP="00C76305">
      <w:pPr>
        <w:spacing w:line="360" w:lineRule="auto"/>
        <w:jc w:val="both"/>
        <w:rPr>
          <w:rFonts w:ascii="Arial" w:hAnsi="Arial" w:cs="Arial"/>
          <w:b/>
          <w:bCs/>
          <w:color w:val="000000" w:themeColor="text1"/>
          <w:sz w:val="28"/>
          <w:szCs w:val="28"/>
        </w:rPr>
      </w:pPr>
      <w:r w:rsidRPr="00846DCC">
        <w:rPr>
          <w:rFonts w:ascii="Arial" w:hAnsi="Arial" w:cs="Arial"/>
          <w:b/>
          <w:bCs/>
          <w:color w:val="000000" w:themeColor="text1"/>
          <w:sz w:val="28"/>
          <w:szCs w:val="28"/>
        </w:rPr>
        <w:t>Poverty</w:t>
      </w:r>
    </w:p>
    <w:p w14:paraId="3C02B7EC" w14:textId="77777777" w:rsidR="00094AC2" w:rsidRPr="00E33DC4" w:rsidRDefault="00094AC2" w:rsidP="00C76305">
      <w:pPr>
        <w:spacing w:line="360" w:lineRule="auto"/>
        <w:jc w:val="both"/>
        <w:rPr>
          <w:rFonts w:ascii="Arial" w:hAnsi="Arial" w:cs="Arial"/>
          <w:b/>
          <w:bCs/>
          <w:color w:val="000000" w:themeColor="text1"/>
          <w:sz w:val="22"/>
          <w:szCs w:val="22"/>
        </w:rPr>
      </w:pPr>
    </w:p>
    <w:p w14:paraId="0C194A19" w14:textId="77777777" w:rsidR="00CE06C1" w:rsidRPr="00E33DC4" w:rsidRDefault="003F6921"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Poverty is a major determinant of health inequalities among older adults in the UK. According to Age UK (2024), approximately </w:t>
      </w:r>
      <w:r w:rsidR="00C9527C" w:rsidRPr="00E33DC4">
        <w:rPr>
          <w:rFonts w:ascii="Arial" w:hAnsi="Arial" w:cs="Arial"/>
          <w:color w:val="000000" w:themeColor="text1"/>
          <w:sz w:val="22"/>
          <w:szCs w:val="22"/>
        </w:rPr>
        <w:t>2000</w:t>
      </w:r>
      <w:r w:rsidR="009C3812" w:rsidRPr="00E33DC4">
        <w:rPr>
          <w:rFonts w:ascii="Arial" w:hAnsi="Arial" w:cs="Arial"/>
          <w:color w:val="000000" w:themeColor="text1"/>
          <w:sz w:val="22"/>
          <w:szCs w:val="22"/>
        </w:rPr>
        <w:t>,</w:t>
      </w:r>
      <w:r w:rsidR="00C9527C" w:rsidRPr="00E33DC4">
        <w:rPr>
          <w:rFonts w:ascii="Arial" w:hAnsi="Arial" w:cs="Arial"/>
          <w:color w:val="000000" w:themeColor="text1"/>
          <w:sz w:val="22"/>
          <w:szCs w:val="22"/>
        </w:rPr>
        <w:t>000</w:t>
      </w:r>
      <w:r w:rsidR="009C3812"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 xml:space="preserve">2 </w:t>
      </w:r>
      <w:r w:rsidR="001935B4" w:rsidRPr="00E33DC4">
        <w:rPr>
          <w:rFonts w:ascii="Arial" w:hAnsi="Arial" w:cs="Arial"/>
          <w:color w:val="000000" w:themeColor="text1"/>
          <w:sz w:val="22"/>
          <w:szCs w:val="22"/>
        </w:rPr>
        <w:t>million</w:t>
      </w:r>
      <w:r w:rsidR="009C3812"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pensioners live in relative poverty, limiting their ability to afford nutritious food, heating, transport and healthcare-related expenses.</w:t>
      </w:r>
      <w:r w:rsidR="00945C82"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Social epidemiological research demonstrates that poverty contributes to poorer physical and mental health through increasing disadvantage across the life course (Marmot et al., 2020).</w:t>
      </w:r>
    </w:p>
    <w:p w14:paraId="428A835D" w14:textId="77777777" w:rsidR="00CE06C1" w:rsidRPr="00E33DC4" w:rsidRDefault="00CE06C1" w:rsidP="00C76305">
      <w:pPr>
        <w:spacing w:line="360" w:lineRule="auto"/>
        <w:jc w:val="both"/>
        <w:rPr>
          <w:rFonts w:ascii="Arial" w:hAnsi="Arial" w:cs="Arial"/>
          <w:color w:val="000000" w:themeColor="text1"/>
          <w:sz w:val="22"/>
          <w:szCs w:val="22"/>
        </w:rPr>
      </w:pPr>
    </w:p>
    <w:p w14:paraId="3FA181C3" w14:textId="0DFB3749" w:rsidR="0063431F" w:rsidRPr="00E33DC4" w:rsidRDefault="003F6921"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Older adults with lower incomes face greater risks of chronic illnesses, decreased mobility, depression</w:t>
      </w:r>
      <w:r w:rsidR="002D6C7B" w:rsidRPr="00E33DC4">
        <w:rPr>
          <w:rFonts w:ascii="Arial" w:hAnsi="Arial" w:cs="Arial"/>
          <w:color w:val="000000" w:themeColor="text1"/>
          <w:sz w:val="22"/>
          <w:szCs w:val="22"/>
        </w:rPr>
        <w:t>,</w:t>
      </w:r>
      <w:r w:rsidR="00047602"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and shorter healthy life expectancy compared to wealthier counterparts</w:t>
      </w:r>
      <w:r w:rsidR="002D6C7B" w:rsidRPr="00E33DC4">
        <w:rPr>
          <w:rFonts w:ascii="Arial" w:hAnsi="Arial" w:cs="Arial"/>
          <w:color w:val="000000" w:themeColor="text1"/>
          <w:sz w:val="22"/>
          <w:szCs w:val="22"/>
        </w:rPr>
        <w:t xml:space="preserve"> (Van der </w:t>
      </w:r>
      <w:proofErr w:type="spellStart"/>
      <w:r w:rsidR="002D6C7B" w:rsidRPr="00E33DC4">
        <w:rPr>
          <w:rFonts w:ascii="Arial" w:hAnsi="Arial" w:cs="Arial"/>
          <w:color w:val="000000" w:themeColor="text1"/>
          <w:sz w:val="22"/>
          <w:szCs w:val="22"/>
        </w:rPr>
        <w:t>Jeugt</w:t>
      </w:r>
      <w:proofErr w:type="spellEnd"/>
      <w:r w:rsidR="002D6C7B" w:rsidRPr="00E33DC4">
        <w:rPr>
          <w:rFonts w:ascii="Arial" w:hAnsi="Arial" w:cs="Arial"/>
          <w:color w:val="000000" w:themeColor="text1"/>
          <w:sz w:val="22"/>
          <w:szCs w:val="22"/>
        </w:rPr>
        <w:t xml:space="preserve">, </w:t>
      </w:r>
      <w:proofErr w:type="spellStart"/>
      <w:r w:rsidR="002D6C7B" w:rsidRPr="00E33DC4">
        <w:rPr>
          <w:rFonts w:ascii="Arial" w:hAnsi="Arial" w:cs="Arial"/>
          <w:color w:val="000000" w:themeColor="text1"/>
          <w:sz w:val="22"/>
          <w:szCs w:val="22"/>
        </w:rPr>
        <w:t>Caset</w:t>
      </w:r>
      <w:proofErr w:type="spellEnd"/>
      <w:r w:rsidR="002D6C7B" w:rsidRPr="00E33DC4">
        <w:rPr>
          <w:rFonts w:ascii="Arial" w:hAnsi="Arial" w:cs="Arial"/>
          <w:color w:val="000000" w:themeColor="text1"/>
          <w:sz w:val="22"/>
          <w:szCs w:val="22"/>
        </w:rPr>
        <w:t xml:space="preserve"> and Van Eenoo 2026)</w:t>
      </w:r>
      <w:r w:rsidRPr="00E33DC4">
        <w:rPr>
          <w:rFonts w:ascii="Arial" w:hAnsi="Arial" w:cs="Arial"/>
          <w:color w:val="000000" w:themeColor="text1"/>
          <w:sz w:val="22"/>
          <w:szCs w:val="22"/>
        </w:rPr>
        <w:t>. Addressing poverty requires both economic and public health interventions. Government initiatives such as Pension Credit, Winter</w:t>
      </w:r>
      <w:r w:rsidR="00D86BF3"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w:t>
      </w:r>
      <w:r w:rsidR="00D86BF3" w:rsidRPr="00E33DC4">
        <w:rPr>
          <w:rFonts w:ascii="Arial" w:hAnsi="Arial" w:cs="Arial"/>
          <w:color w:val="000000" w:themeColor="text1"/>
          <w:sz w:val="22"/>
          <w:szCs w:val="22"/>
        </w:rPr>
        <w:t xml:space="preserve">and </w:t>
      </w:r>
      <w:r w:rsidRPr="00E33DC4">
        <w:rPr>
          <w:rFonts w:ascii="Arial" w:hAnsi="Arial" w:cs="Arial"/>
          <w:color w:val="000000" w:themeColor="text1"/>
          <w:sz w:val="22"/>
          <w:szCs w:val="22"/>
        </w:rPr>
        <w:t xml:space="preserve">the Household Support Fund help </w:t>
      </w:r>
      <w:r w:rsidR="00D86BF3" w:rsidRPr="00E33DC4">
        <w:rPr>
          <w:rFonts w:ascii="Arial" w:hAnsi="Arial" w:cs="Arial"/>
          <w:color w:val="000000" w:themeColor="text1"/>
          <w:sz w:val="22"/>
          <w:szCs w:val="22"/>
        </w:rPr>
        <w:t xml:space="preserve">to </w:t>
      </w:r>
      <w:r w:rsidRPr="00E33DC4">
        <w:rPr>
          <w:rFonts w:ascii="Arial" w:hAnsi="Arial" w:cs="Arial"/>
          <w:color w:val="000000" w:themeColor="text1"/>
          <w:sz w:val="22"/>
          <w:szCs w:val="22"/>
        </w:rPr>
        <w:t xml:space="preserve">reduce financial </w:t>
      </w:r>
      <w:r w:rsidR="006C6334" w:rsidRPr="00E33DC4">
        <w:rPr>
          <w:rFonts w:ascii="Arial" w:hAnsi="Arial" w:cs="Arial"/>
          <w:color w:val="000000" w:themeColor="text1"/>
          <w:sz w:val="22"/>
          <w:szCs w:val="22"/>
        </w:rPr>
        <w:t>burden</w:t>
      </w:r>
      <w:r w:rsidRPr="00E33DC4">
        <w:rPr>
          <w:rFonts w:ascii="Arial" w:hAnsi="Arial" w:cs="Arial"/>
          <w:color w:val="000000" w:themeColor="text1"/>
          <w:sz w:val="22"/>
          <w:szCs w:val="22"/>
        </w:rPr>
        <w:t xml:space="preserve">. </w:t>
      </w:r>
    </w:p>
    <w:p w14:paraId="60CFFF22" w14:textId="4C0C1E71" w:rsidR="004B602A" w:rsidRPr="00E33DC4" w:rsidRDefault="004B602A" w:rsidP="00C76305">
      <w:pPr>
        <w:spacing w:line="360" w:lineRule="auto"/>
        <w:ind w:right="100"/>
        <w:jc w:val="both"/>
        <w:rPr>
          <w:rFonts w:ascii="Arial" w:hAnsi="Arial" w:cs="Arial"/>
          <w:color w:val="000000" w:themeColor="text1"/>
          <w:sz w:val="22"/>
          <w:szCs w:val="22"/>
        </w:rPr>
      </w:pPr>
    </w:p>
    <w:p w14:paraId="3DC13AD6" w14:textId="605C2A14" w:rsidR="004D659C" w:rsidRPr="00F96C64" w:rsidRDefault="00EB2DAB" w:rsidP="00C76305">
      <w:pPr>
        <w:spacing w:line="360" w:lineRule="auto"/>
        <w:ind w:right="102"/>
        <w:jc w:val="both"/>
        <w:rPr>
          <w:rFonts w:ascii="Arial" w:hAnsi="Arial" w:cs="Arial"/>
          <w:b/>
          <w:bCs/>
          <w:color w:val="000000" w:themeColor="text1"/>
          <w:sz w:val="28"/>
          <w:szCs w:val="28"/>
        </w:rPr>
      </w:pPr>
      <w:r w:rsidRPr="00F96C64">
        <w:rPr>
          <w:rFonts w:ascii="Arial" w:hAnsi="Arial" w:cs="Arial"/>
          <w:b/>
          <w:bCs/>
          <w:color w:val="000000" w:themeColor="text1"/>
          <w:sz w:val="28"/>
          <w:szCs w:val="28"/>
        </w:rPr>
        <w:t xml:space="preserve">Housing </w:t>
      </w:r>
    </w:p>
    <w:p w14:paraId="657FFABA" w14:textId="77777777" w:rsidR="00094AC2" w:rsidRPr="00E33DC4" w:rsidRDefault="00094AC2" w:rsidP="00C76305">
      <w:pPr>
        <w:spacing w:line="360" w:lineRule="auto"/>
        <w:ind w:right="102"/>
        <w:jc w:val="both"/>
        <w:rPr>
          <w:rFonts w:ascii="Arial" w:hAnsi="Arial" w:cs="Arial"/>
          <w:color w:val="000000" w:themeColor="text1"/>
          <w:sz w:val="22"/>
          <w:szCs w:val="22"/>
        </w:rPr>
      </w:pPr>
    </w:p>
    <w:p w14:paraId="4ABE6A6C" w14:textId="77777777" w:rsidR="002325D3" w:rsidRPr="00E33DC4" w:rsidRDefault="000A7EC1"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A fundamental social determinant of health is safe, affordable and suitable housing. The Office for Health Improvement and Disparities (2024) reports that poor housing conditions </w:t>
      </w:r>
      <w:r w:rsidRPr="00E33DC4">
        <w:rPr>
          <w:rFonts w:ascii="Arial" w:hAnsi="Arial" w:cs="Arial"/>
          <w:color w:val="000000" w:themeColor="text1"/>
          <w:sz w:val="22"/>
          <w:szCs w:val="22"/>
        </w:rPr>
        <w:lastRenderedPageBreak/>
        <w:t>are associated with increased respiratory disease, falls, cardiovascular illness and excess winter deaths among older people.</w:t>
      </w:r>
      <w:r w:rsidR="0049164B" w:rsidRPr="00E33DC4">
        <w:rPr>
          <w:rFonts w:ascii="Arial" w:hAnsi="Arial" w:cs="Arial"/>
          <w:color w:val="000000" w:themeColor="text1"/>
          <w:sz w:val="22"/>
          <w:szCs w:val="22"/>
        </w:rPr>
        <w:t xml:space="preserve"> </w:t>
      </w:r>
    </w:p>
    <w:p w14:paraId="201F2DC5" w14:textId="77777777" w:rsidR="002325D3" w:rsidRPr="00E33DC4" w:rsidRDefault="002325D3" w:rsidP="00C76305">
      <w:pPr>
        <w:spacing w:line="360" w:lineRule="auto"/>
        <w:jc w:val="both"/>
        <w:rPr>
          <w:rFonts w:ascii="Arial" w:hAnsi="Arial" w:cs="Arial"/>
          <w:color w:val="000000" w:themeColor="text1"/>
          <w:sz w:val="22"/>
          <w:szCs w:val="22"/>
        </w:rPr>
      </w:pPr>
    </w:p>
    <w:p w14:paraId="59A233AD" w14:textId="42E39337" w:rsidR="008D7A49" w:rsidRPr="00E33DC4" w:rsidRDefault="00501ADD"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Around 7.5 million individuals live in</w:t>
      </w:r>
      <w:r w:rsidR="005A0D64" w:rsidRPr="00E33DC4">
        <w:rPr>
          <w:rFonts w:ascii="Arial" w:hAnsi="Arial" w:cs="Arial"/>
          <w:color w:val="000000" w:themeColor="text1"/>
          <w:sz w:val="22"/>
          <w:szCs w:val="22"/>
        </w:rPr>
        <w:t xml:space="preserve"> </w:t>
      </w:r>
      <w:r w:rsidR="00EB3F2C" w:rsidRPr="00E33DC4">
        <w:rPr>
          <w:rFonts w:ascii="Arial" w:hAnsi="Arial" w:cs="Arial"/>
          <w:color w:val="000000" w:themeColor="text1"/>
          <w:sz w:val="22"/>
          <w:szCs w:val="22"/>
        </w:rPr>
        <w:t>homes in poor condition</w:t>
      </w:r>
      <w:r w:rsidRPr="00E33DC4">
        <w:rPr>
          <w:rFonts w:ascii="Arial" w:hAnsi="Arial" w:cs="Arial"/>
          <w:color w:val="000000" w:themeColor="text1"/>
          <w:sz w:val="22"/>
          <w:szCs w:val="22"/>
        </w:rPr>
        <w:t xml:space="preserve">, including 2.3 million aged 55 and over </w:t>
      </w:r>
      <w:r w:rsidR="005F2928" w:rsidRPr="00E33DC4">
        <w:rPr>
          <w:rFonts w:ascii="Arial" w:hAnsi="Arial" w:cs="Arial"/>
          <w:color w:val="000000" w:themeColor="text1"/>
          <w:sz w:val="22"/>
          <w:szCs w:val="22"/>
        </w:rPr>
        <w:t>(Centre for Ageing Better, 2025)</w:t>
      </w:r>
      <w:r w:rsidR="00F04862" w:rsidRPr="00E33DC4">
        <w:rPr>
          <w:rFonts w:ascii="Arial" w:hAnsi="Arial" w:cs="Arial"/>
          <w:color w:val="000000" w:themeColor="text1"/>
          <w:sz w:val="22"/>
          <w:szCs w:val="22"/>
        </w:rPr>
        <w:t xml:space="preserve">. </w:t>
      </w:r>
      <w:r w:rsidR="000A7EC1" w:rsidRPr="00E33DC4">
        <w:rPr>
          <w:rFonts w:ascii="Arial" w:hAnsi="Arial" w:cs="Arial"/>
          <w:color w:val="000000" w:themeColor="text1"/>
          <w:sz w:val="22"/>
          <w:szCs w:val="22"/>
        </w:rPr>
        <w:t xml:space="preserve">Housing inequalities are more common among older adults with low incomes or those living in deprived neighbourhoods. Homes lacking insulation or accessibility adaptations can reduce independence and increase hospital admissions. </w:t>
      </w:r>
    </w:p>
    <w:p w14:paraId="67A7BED7" w14:textId="77777777" w:rsidR="008D7A49" w:rsidRPr="00E33DC4" w:rsidRDefault="008D7A49" w:rsidP="00C76305">
      <w:pPr>
        <w:spacing w:line="360" w:lineRule="auto"/>
        <w:jc w:val="both"/>
        <w:rPr>
          <w:rFonts w:ascii="Arial" w:hAnsi="Arial" w:cs="Arial"/>
          <w:color w:val="000000" w:themeColor="text1"/>
          <w:sz w:val="22"/>
          <w:szCs w:val="22"/>
        </w:rPr>
      </w:pPr>
    </w:p>
    <w:p w14:paraId="63D2FEF3" w14:textId="51C0B315" w:rsidR="000A7EC1" w:rsidRPr="00E33DC4" w:rsidRDefault="00A37271" w:rsidP="00C76305">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Improving housing conditions is therefore an important public health intervention. Government-funded home adaptation programs, energy-efficiency programs, and age-friendly housing policies can reduce falls, improve physical and mental well-being, and enable older adults to remain independent longer</w:t>
      </w:r>
      <w:r w:rsidR="0040579F">
        <w:rPr>
          <w:rFonts w:ascii="Arial" w:hAnsi="Arial" w:cs="Arial"/>
          <w:color w:val="000000" w:themeColor="text1"/>
          <w:sz w:val="22"/>
          <w:szCs w:val="22"/>
        </w:rPr>
        <w:t xml:space="preserve"> (</w:t>
      </w:r>
      <w:r w:rsidR="0040579F" w:rsidRPr="007534DD">
        <w:rPr>
          <w:rFonts w:ascii="Arial" w:hAnsi="Arial" w:cs="Arial"/>
          <w:color w:val="000000" w:themeColor="text1"/>
          <w:sz w:val="22"/>
          <w:szCs w:val="22"/>
        </w:rPr>
        <w:t xml:space="preserve">Vrančić, Zadravec, and </w:t>
      </w:r>
      <w:proofErr w:type="spellStart"/>
      <w:r w:rsidR="0040579F" w:rsidRPr="007534DD">
        <w:rPr>
          <w:rFonts w:ascii="Arial" w:hAnsi="Arial" w:cs="Arial"/>
          <w:color w:val="000000" w:themeColor="text1"/>
          <w:sz w:val="22"/>
          <w:szCs w:val="22"/>
        </w:rPr>
        <w:t>Orehovački</w:t>
      </w:r>
      <w:proofErr w:type="spellEnd"/>
      <w:r w:rsidR="0040579F" w:rsidRPr="007534DD">
        <w:rPr>
          <w:rFonts w:ascii="Arial" w:hAnsi="Arial" w:cs="Arial"/>
          <w:color w:val="000000" w:themeColor="text1"/>
          <w:sz w:val="22"/>
          <w:szCs w:val="22"/>
        </w:rPr>
        <w:t>,</w:t>
      </w:r>
      <w:r w:rsidR="0040579F">
        <w:rPr>
          <w:rFonts w:ascii="Arial" w:hAnsi="Arial" w:cs="Arial"/>
          <w:color w:val="000000" w:themeColor="text1"/>
          <w:sz w:val="22"/>
          <w:szCs w:val="22"/>
        </w:rPr>
        <w:t xml:space="preserve"> </w:t>
      </w:r>
      <w:r w:rsidR="0040579F" w:rsidRPr="007534DD">
        <w:rPr>
          <w:rFonts w:ascii="Arial" w:hAnsi="Arial" w:cs="Arial"/>
          <w:color w:val="000000" w:themeColor="text1"/>
          <w:sz w:val="22"/>
          <w:szCs w:val="22"/>
        </w:rPr>
        <w:t>no date</w:t>
      </w:r>
      <w:r w:rsidR="0040579F">
        <w:rPr>
          <w:rFonts w:ascii="Arial" w:hAnsi="Arial" w:cs="Arial"/>
          <w:color w:val="000000" w:themeColor="text1"/>
          <w:sz w:val="22"/>
          <w:szCs w:val="22"/>
        </w:rPr>
        <w:t>)</w:t>
      </w:r>
      <w:r>
        <w:rPr>
          <w:rFonts w:ascii="Arial" w:hAnsi="Arial" w:cs="Arial"/>
          <w:color w:val="000000" w:themeColor="text1"/>
          <w:sz w:val="22"/>
          <w:szCs w:val="22"/>
        </w:rPr>
        <w:t>.</w:t>
      </w:r>
    </w:p>
    <w:p w14:paraId="5E7D6EAF" w14:textId="32CE916A" w:rsidR="002243DD" w:rsidRPr="00E33DC4" w:rsidRDefault="002243DD" w:rsidP="00C76305">
      <w:pPr>
        <w:spacing w:line="360" w:lineRule="auto"/>
        <w:ind w:right="100"/>
        <w:jc w:val="both"/>
        <w:rPr>
          <w:rFonts w:ascii="Arial" w:hAnsi="Arial" w:cs="Arial"/>
          <w:color w:val="000000" w:themeColor="text1"/>
          <w:sz w:val="22"/>
          <w:szCs w:val="22"/>
        </w:rPr>
      </w:pPr>
    </w:p>
    <w:p w14:paraId="72BA7F52" w14:textId="7EF98384" w:rsidR="00EB2DAB" w:rsidRPr="001B780C" w:rsidRDefault="00EB2DAB" w:rsidP="00C76305">
      <w:pPr>
        <w:spacing w:line="360" w:lineRule="auto"/>
        <w:ind w:right="100"/>
        <w:jc w:val="both"/>
        <w:rPr>
          <w:rFonts w:ascii="Arial" w:hAnsi="Arial" w:cs="Arial"/>
          <w:b/>
          <w:bCs/>
          <w:color w:val="000000" w:themeColor="text1"/>
          <w:sz w:val="28"/>
          <w:szCs w:val="28"/>
        </w:rPr>
      </w:pPr>
      <w:r w:rsidRPr="001B780C">
        <w:rPr>
          <w:rFonts w:ascii="Arial" w:hAnsi="Arial" w:cs="Arial"/>
          <w:b/>
          <w:bCs/>
          <w:color w:val="000000" w:themeColor="text1"/>
          <w:sz w:val="28"/>
          <w:szCs w:val="28"/>
        </w:rPr>
        <w:t>National Responses to Reduce Health Inequalities</w:t>
      </w:r>
    </w:p>
    <w:p w14:paraId="251EC6AC" w14:textId="77777777" w:rsidR="005F69F6" w:rsidRPr="00E33DC4" w:rsidRDefault="005F69F6" w:rsidP="00C76305">
      <w:pPr>
        <w:spacing w:line="360" w:lineRule="auto"/>
        <w:jc w:val="both"/>
        <w:rPr>
          <w:rFonts w:ascii="Arial" w:hAnsi="Arial" w:cs="Arial"/>
          <w:color w:val="000000" w:themeColor="text1"/>
          <w:sz w:val="22"/>
          <w:szCs w:val="22"/>
        </w:rPr>
      </w:pPr>
    </w:p>
    <w:p w14:paraId="0E17A867" w14:textId="13436682" w:rsidR="00E77EC0" w:rsidRPr="00E33DC4" w:rsidRDefault="00C01905" w:rsidP="00AB3810">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One important initiative is the NHS Long Term Plan, which prioritises prevention, integrated care and personalised services for people with long-term conditions, including older adults (NHS England, 2019). Through Integrated Care Systems (ICSs), health and social care organisations work collaboratively to improve access to services, reduce inequalities and coordinate person-centred care</w:t>
      </w:r>
      <w:r w:rsidR="001E6716" w:rsidRPr="00E33DC4">
        <w:rPr>
          <w:rFonts w:ascii="Arial" w:hAnsi="Arial" w:cs="Arial"/>
          <w:color w:val="000000" w:themeColor="text1"/>
          <w:sz w:val="22"/>
          <w:szCs w:val="22"/>
        </w:rPr>
        <w:t xml:space="preserve"> (</w:t>
      </w:r>
      <w:proofErr w:type="spellStart"/>
      <w:r w:rsidR="001E6716" w:rsidRPr="00E33DC4">
        <w:rPr>
          <w:rFonts w:ascii="Arial" w:hAnsi="Arial" w:cs="Arial"/>
          <w:color w:val="000000" w:themeColor="text1"/>
          <w:sz w:val="22"/>
          <w:szCs w:val="22"/>
        </w:rPr>
        <w:t>Holdroyd</w:t>
      </w:r>
      <w:proofErr w:type="spellEnd"/>
      <w:r w:rsidR="001E6716" w:rsidRPr="00E33DC4">
        <w:rPr>
          <w:rFonts w:ascii="Arial" w:hAnsi="Arial" w:cs="Arial"/>
          <w:color w:val="000000" w:themeColor="text1"/>
          <w:sz w:val="22"/>
          <w:szCs w:val="22"/>
        </w:rPr>
        <w:t xml:space="preserve"> </w:t>
      </w:r>
      <w:r w:rsidR="001E6716" w:rsidRPr="00E33DC4">
        <w:rPr>
          <w:rFonts w:ascii="Arial" w:hAnsi="Arial" w:cs="Arial"/>
          <w:i/>
          <w:iCs/>
          <w:color w:val="000000" w:themeColor="text1"/>
          <w:sz w:val="22"/>
          <w:szCs w:val="22"/>
        </w:rPr>
        <w:t>et al.</w:t>
      </w:r>
      <w:r w:rsidR="00F865A7">
        <w:rPr>
          <w:rFonts w:ascii="Arial" w:hAnsi="Arial" w:cs="Arial"/>
          <w:i/>
          <w:iCs/>
          <w:color w:val="000000" w:themeColor="text1"/>
          <w:sz w:val="22"/>
          <w:szCs w:val="22"/>
        </w:rPr>
        <w:t>,</w:t>
      </w:r>
      <w:r w:rsidR="001E6716" w:rsidRPr="00E33DC4">
        <w:rPr>
          <w:rFonts w:ascii="Arial" w:hAnsi="Arial" w:cs="Arial"/>
          <w:color w:val="000000" w:themeColor="text1"/>
          <w:sz w:val="22"/>
          <w:szCs w:val="22"/>
        </w:rPr>
        <w:t xml:space="preserve"> 2022)</w:t>
      </w:r>
      <w:r w:rsidRPr="00E33DC4">
        <w:rPr>
          <w:rFonts w:ascii="Arial" w:hAnsi="Arial" w:cs="Arial"/>
          <w:color w:val="000000" w:themeColor="text1"/>
          <w:sz w:val="22"/>
          <w:szCs w:val="22"/>
        </w:rPr>
        <w:t>.</w:t>
      </w:r>
      <w:r w:rsidR="00021F2D"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 xml:space="preserve">A second important response is the Core20PLUS5 approach by NHS England, aimed at reducing healthcare inequalities in the most deprived 20% of the population and socially excluded groups (NHS England, 2023). The Office for Health Improvement and Disparities (OHID) supports healthy ageing with health promotion, vaccination, falls prevention, physical activity initiatives, and health inequality surveillance. </w:t>
      </w:r>
    </w:p>
    <w:p w14:paraId="7988F3DF" w14:textId="77777777" w:rsidR="001A4C0C" w:rsidRDefault="001A4C0C" w:rsidP="00AB3810">
      <w:pPr>
        <w:spacing w:line="360" w:lineRule="auto"/>
        <w:jc w:val="both"/>
        <w:rPr>
          <w:rFonts w:ascii="Arial" w:hAnsi="Arial" w:cs="Arial"/>
          <w:b/>
          <w:bCs/>
          <w:color w:val="000000" w:themeColor="text1"/>
          <w:sz w:val="22"/>
          <w:szCs w:val="22"/>
        </w:rPr>
      </w:pPr>
    </w:p>
    <w:p w14:paraId="385D9E5B" w14:textId="66DEB802" w:rsidR="00BD65D5" w:rsidRPr="00234BEC" w:rsidRDefault="00BD65D5" w:rsidP="00AB3810">
      <w:pPr>
        <w:spacing w:line="360" w:lineRule="auto"/>
        <w:jc w:val="both"/>
        <w:rPr>
          <w:rFonts w:ascii="Arial" w:hAnsi="Arial" w:cs="Arial"/>
          <w:b/>
          <w:bCs/>
          <w:color w:val="000000" w:themeColor="text1"/>
          <w:sz w:val="28"/>
          <w:szCs w:val="28"/>
        </w:rPr>
      </w:pPr>
      <w:r w:rsidRPr="00234BEC">
        <w:rPr>
          <w:rFonts w:ascii="Arial" w:hAnsi="Arial" w:cs="Arial"/>
          <w:b/>
          <w:bCs/>
          <w:color w:val="000000" w:themeColor="text1"/>
          <w:sz w:val="28"/>
          <w:szCs w:val="28"/>
        </w:rPr>
        <w:t>Organisations that support chosen group</w:t>
      </w:r>
      <w:r w:rsidR="000F7408" w:rsidRPr="00234BEC">
        <w:rPr>
          <w:rFonts w:ascii="Arial" w:hAnsi="Arial" w:cs="Arial"/>
          <w:b/>
          <w:bCs/>
          <w:color w:val="000000" w:themeColor="text1"/>
          <w:sz w:val="28"/>
          <w:szCs w:val="28"/>
        </w:rPr>
        <w:t>s</w:t>
      </w:r>
    </w:p>
    <w:p w14:paraId="7FBFBE4A" w14:textId="77777777" w:rsidR="009601A5" w:rsidRDefault="009601A5" w:rsidP="00260C9B">
      <w:pPr>
        <w:spacing w:line="360" w:lineRule="auto"/>
        <w:jc w:val="both"/>
        <w:rPr>
          <w:rFonts w:ascii="Arial" w:hAnsi="Arial" w:cs="Arial"/>
          <w:color w:val="000000" w:themeColor="text1"/>
          <w:sz w:val="22"/>
          <w:szCs w:val="22"/>
        </w:rPr>
      </w:pPr>
    </w:p>
    <w:p w14:paraId="75562A91" w14:textId="720688EC" w:rsidR="00D15B9E" w:rsidRPr="00E33DC4" w:rsidRDefault="00A3270B" w:rsidP="00260C9B">
      <w:pPr>
        <w:spacing w:line="360" w:lineRule="auto"/>
        <w:jc w:val="both"/>
        <w:rPr>
          <w:rFonts w:ascii="Arial" w:hAnsi="Arial" w:cs="Arial"/>
          <w:color w:val="000000" w:themeColor="text1"/>
          <w:sz w:val="22"/>
          <w:szCs w:val="22"/>
        </w:rPr>
      </w:pPr>
      <w:r w:rsidRPr="00A3270B">
        <w:rPr>
          <w:rFonts w:ascii="Arial" w:hAnsi="Arial" w:cs="Arial"/>
          <w:color w:val="000000" w:themeColor="text1"/>
          <w:sz w:val="22"/>
          <w:szCs w:val="22"/>
        </w:rPr>
        <w:t>Several organisations support older adults across the UK, covering health, social care, dementia, loneliness, finances, housing and carers’ needs, such as:</w:t>
      </w:r>
      <w:r w:rsidR="00CB5B4A">
        <w:rPr>
          <w:rFonts w:ascii="Arial" w:hAnsi="Arial" w:cs="Arial"/>
          <w:color w:val="000000" w:themeColor="text1"/>
          <w:sz w:val="22"/>
          <w:szCs w:val="22"/>
        </w:rPr>
        <w:t xml:space="preserve"> </w:t>
      </w:r>
      <w:r w:rsidR="003C7654" w:rsidRPr="008F57EA">
        <w:rPr>
          <w:rFonts w:ascii="Arial" w:hAnsi="Arial" w:cs="Arial"/>
          <w:color w:val="000000" w:themeColor="text1"/>
          <w:sz w:val="22"/>
          <w:szCs w:val="22"/>
        </w:rPr>
        <w:t>Independent Age, Alzheimer’s Society, Dementia UK, Carers UK and NHS/local authorities</w:t>
      </w:r>
      <w:r w:rsidR="00260C9B">
        <w:rPr>
          <w:rFonts w:ascii="Arial" w:hAnsi="Arial" w:cs="Arial"/>
          <w:color w:val="000000" w:themeColor="text1"/>
          <w:sz w:val="22"/>
          <w:szCs w:val="22"/>
        </w:rPr>
        <w:t xml:space="preserve">. For example: </w:t>
      </w:r>
      <w:r w:rsidR="00D15B9E" w:rsidRPr="00E33DC4">
        <w:rPr>
          <w:rFonts w:ascii="Arial" w:hAnsi="Arial" w:cs="Arial"/>
          <w:b/>
          <w:bCs/>
          <w:color w:val="000000" w:themeColor="text1"/>
          <w:sz w:val="22"/>
          <w:szCs w:val="22"/>
        </w:rPr>
        <w:t xml:space="preserve">Age </w:t>
      </w:r>
      <w:r w:rsidR="00D15B9E" w:rsidRPr="00E33DC4">
        <w:rPr>
          <w:rFonts w:ascii="Arial" w:hAnsi="Arial" w:cs="Arial"/>
          <w:b/>
          <w:bCs/>
          <w:color w:val="000000" w:themeColor="text1"/>
          <w:sz w:val="22"/>
          <w:szCs w:val="22"/>
        </w:rPr>
        <w:lastRenderedPageBreak/>
        <w:t>UK</w:t>
      </w:r>
      <w:r w:rsidR="00D15B9E" w:rsidRPr="00E33DC4">
        <w:rPr>
          <w:rFonts w:ascii="Arial" w:hAnsi="Arial" w:cs="Arial"/>
          <w:color w:val="000000" w:themeColor="text1"/>
          <w:sz w:val="22"/>
          <w:szCs w:val="22"/>
        </w:rPr>
        <w:t xml:space="preserve"> is the UK's leading charity for older people, providing advice, information and practical support to improve later life</w:t>
      </w:r>
      <w:r w:rsidR="00A14B53" w:rsidRPr="00E33DC4">
        <w:rPr>
          <w:rFonts w:ascii="Arial" w:hAnsi="Arial" w:cs="Arial"/>
          <w:color w:val="000000" w:themeColor="text1"/>
          <w:sz w:val="22"/>
          <w:szCs w:val="22"/>
        </w:rPr>
        <w:t xml:space="preserve"> </w:t>
      </w:r>
      <w:r w:rsidR="00375938" w:rsidRPr="00E33DC4">
        <w:rPr>
          <w:rFonts w:ascii="Arial" w:hAnsi="Arial" w:cs="Arial"/>
          <w:color w:val="000000" w:themeColor="text1"/>
          <w:sz w:val="22"/>
          <w:szCs w:val="22"/>
        </w:rPr>
        <w:t>(Age UK 2026)</w:t>
      </w:r>
      <w:r w:rsidR="00645704" w:rsidRPr="00E33DC4">
        <w:rPr>
          <w:rFonts w:ascii="Arial" w:hAnsi="Arial" w:cs="Arial"/>
          <w:color w:val="000000" w:themeColor="text1"/>
          <w:sz w:val="22"/>
          <w:szCs w:val="22"/>
        </w:rPr>
        <w:t>.</w:t>
      </w:r>
      <w:r w:rsidR="00DA294D" w:rsidRPr="00E33DC4">
        <w:rPr>
          <w:rFonts w:ascii="Arial" w:hAnsi="Arial" w:cs="Arial"/>
          <w:color w:val="000000" w:themeColor="text1"/>
          <w:sz w:val="22"/>
          <w:szCs w:val="22"/>
        </w:rPr>
        <w:t xml:space="preserve"> </w:t>
      </w:r>
      <w:r w:rsidR="00645704" w:rsidRPr="00E33DC4">
        <w:rPr>
          <w:rFonts w:ascii="Arial" w:hAnsi="Arial" w:cs="Arial"/>
          <w:color w:val="000000" w:themeColor="text1"/>
          <w:sz w:val="22"/>
          <w:szCs w:val="22"/>
        </w:rPr>
        <w:t xml:space="preserve">For example, Age UK advises carers to use its benefits information </w:t>
      </w:r>
      <w:r w:rsidR="00D90734" w:rsidRPr="00E33DC4">
        <w:rPr>
          <w:rFonts w:ascii="Arial" w:hAnsi="Arial" w:cs="Arial"/>
          <w:color w:val="000000" w:themeColor="text1"/>
          <w:sz w:val="22"/>
          <w:szCs w:val="22"/>
        </w:rPr>
        <w:t xml:space="preserve">to see </w:t>
      </w:r>
      <w:r w:rsidR="00645704" w:rsidRPr="00E33DC4">
        <w:rPr>
          <w:rFonts w:ascii="Arial" w:hAnsi="Arial" w:cs="Arial"/>
          <w:color w:val="000000" w:themeColor="text1"/>
          <w:sz w:val="22"/>
          <w:szCs w:val="22"/>
        </w:rPr>
        <w:t>whether they may qualify for</w:t>
      </w:r>
      <w:r w:rsidR="00D90734" w:rsidRPr="00E33DC4">
        <w:rPr>
          <w:rFonts w:ascii="Arial" w:hAnsi="Arial" w:cs="Arial"/>
          <w:color w:val="000000" w:themeColor="text1"/>
          <w:sz w:val="22"/>
          <w:szCs w:val="22"/>
        </w:rPr>
        <w:t xml:space="preserve"> </w:t>
      </w:r>
      <w:r w:rsidR="00645704" w:rsidRPr="00E33DC4">
        <w:rPr>
          <w:rFonts w:ascii="Arial" w:hAnsi="Arial" w:cs="Arial"/>
          <w:color w:val="000000" w:themeColor="text1"/>
          <w:sz w:val="22"/>
          <w:szCs w:val="22"/>
        </w:rPr>
        <w:t>Carer's Allowance</w:t>
      </w:r>
      <w:r w:rsidR="00D90734" w:rsidRPr="00E33DC4">
        <w:rPr>
          <w:rFonts w:ascii="Arial" w:hAnsi="Arial" w:cs="Arial"/>
          <w:color w:val="000000" w:themeColor="text1"/>
          <w:sz w:val="22"/>
          <w:szCs w:val="22"/>
        </w:rPr>
        <w:t xml:space="preserve">, </w:t>
      </w:r>
      <w:r w:rsidR="00645704" w:rsidRPr="00E33DC4">
        <w:rPr>
          <w:rFonts w:ascii="Arial" w:hAnsi="Arial" w:cs="Arial"/>
          <w:color w:val="000000" w:themeColor="text1"/>
          <w:sz w:val="22"/>
          <w:szCs w:val="22"/>
        </w:rPr>
        <w:t>Carer's Credit</w:t>
      </w:r>
      <w:r w:rsidR="00D90734" w:rsidRPr="00E33DC4">
        <w:rPr>
          <w:rFonts w:ascii="Arial" w:hAnsi="Arial" w:cs="Arial"/>
          <w:color w:val="000000" w:themeColor="text1"/>
          <w:sz w:val="22"/>
          <w:szCs w:val="22"/>
        </w:rPr>
        <w:t xml:space="preserve">, </w:t>
      </w:r>
      <w:r w:rsidR="00645704" w:rsidRPr="00E33DC4">
        <w:rPr>
          <w:rFonts w:ascii="Arial" w:hAnsi="Arial" w:cs="Arial"/>
          <w:color w:val="000000" w:themeColor="text1"/>
          <w:sz w:val="22"/>
          <w:szCs w:val="22"/>
        </w:rPr>
        <w:t>Universal Credit</w:t>
      </w:r>
      <w:r w:rsidR="00F10807" w:rsidRPr="00E33DC4">
        <w:rPr>
          <w:rFonts w:ascii="Arial" w:hAnsi="Arial" w:cs="Arial"/>
          <w:color w:val="000000" w:themeColor="text1"/>
          <w:sz w:val="22"/>
          <w:szCs w:val="22"/>
        </w:rPr>
        <w:t xml:space="preserve"> and </w:t>
      </w:r>
      <w:r w:rsidR="00645704" w:rsidRPr="00E33DC4">
        <w:rPr>
          <w:rFonts w:ascii="Arial" w:hAnsi="Arial" w:cs="Arial"/>
          <w:color w:val="000000" w:themeColor="text1"/>
          <w:sz w:val="22"/>
          <w:szCs w:val="22"/>
        </w:rPr>
        <w:t>Other local authority support</w:t>
      </w:r>
      <w:r w:rsidR="00A756F6" w:rsidRPr="00E33DC4">
        <w:rPr>
          <w:rFonts w:ascii="Arial" w:hAnsi="Arial" w:cs="Arial"/>
          <w:color w:val="000000" w:themeColor="text1"/>
          <w:sz w:val="22"/>
          <w:szCs w:val="22"/>
        </w:rPr>
        <w:t xml:space="preserve"> (Age UK 2026)</w:t>
      </w:r>
      <w:r w:rsidR="00900C86" w:rsidRPr="00E33DC4">
        <w:rPr>
          <w:rFonts w:ascii="Arial" w:hAnsi="Arial" w:cs="Arial"/>
          <w:color w:val="000000" w:themeColor="text1"/>
          <w:sz w:val="22"/>
          <w:szCs w:val="22"/>
        </w:rPr>
        <w:t>.</w:t>
      </w:r>
      <w:r w:rsidR="00D15B9E" w:rsidRPr="00E33DC4">
        <w:rPr>
          <w:rFonts w:ascii="Arial" w:hAnsi="Arial" w:cs="Arial"/>
          <w:color w:val="000000" w:themeColor="text1"/>
          <w:sz w:val="22"/>
          <w:szCs w:val="22"/>
        </w:rPr>
        <w:t xml:space="preserve"> It campaigns against age discrimination, loneliness and poverty</w:t>
      </w:r>
      <w:r w:rsidR="00A756F6" w:rsidRPr="00E33DC4">
        <w:rPr>
          <w:rFonts w:ascii="Arial" w:hAnsi="Arial" w:cs="Arial"/>
          <w:color w:val="000000" w:themeColor="text1"/>
          <w:sz w:val="22"/>
          <w:szCs w:val="22"/>
        </w:rPr>
        <w:t xml:space="preserve">, influences government policy, and delivers community services that promote healthy ageing, independence and wellbeing for people aged 65 </w:t>
      </w:r>
      <w:r w:rsidR="00D15B9E" w:rsidRPr="00E33DC4">
        <w:rPr>
          <w:rFonts w:ascii="Arial" w:hAnsi="Arial" w:cs="Arial"/>
          <w:color w:val="000000" w:themeColor="text1"/>
          <w:sz w:val="22"/>
          <w:szCs w:val="22"/>
        </w:rPr>
        <w:t>and over</w:t>
      </w:r>
      <w:r w:rsidR="00F91EAA" w:rsidRPr="00E33DC4">
        <w:rPr>
          <w:rFonts w:ascii="Arial" w:hAnsi="Arial" w:cs="Arial"/>
          <w:color w:val="000000" w:themeColor="text1"/>
          <w:sz w:val="22"/>
          <w:szCs w:val="22"/>
        </w:rPr>
        <w:t xml:space="preserve"> </w:t>
      </w:r>
      <w:r w:rsidR="00C21BC1" w:rsidRPr="00E33DC4">
        <w:rPr>
          <w:rFonts w:ascii="Arial" w:hAnsi="Arial" w:cs="Arial"/>
          <w:color w:val="000000" w:themeColor="text1"/>
          <w:sz w:val="22"/>
          <w:szCs w:val="22"/>
        </w:rPr>
        <w:t>(Age</w:t>
      </w:r>
      <w:r w:rsidR="00EC1A48" w:rsidRPr="00E33DC4">
        <w:rPr>
          <w:rFonts w:ascii="Arial" w:hAnsi="Arial" w:cs="Arial"/>
          <w:color w:val="000000" w:themeColor="text1"/>
          <w:sz w:val="22"/>
          <w:szCs w:val="22"/>
        </w:rPr>
        <w:t xml:space="preserve"> </w:t>
      </w:r>
      <w:r w:rsidR="004C527F" w:rsidRPr="00E33DC4">
        <w:rPr>
          <w:rFonts w:ascii="Arial" w:hAnsi="Arial" w:cs="Arial"/>
          <w:color w:val="000000" w:themeColor="text1"/>
          <w:sz w:val="22"/>
          <w:szCs w:val="22"/>
        </w:rPr>
        <w:t>UK 2026)</w:t>
      </w:r>
      <w:r w:rsidR="00A756F6" w:rsidRPr="00E33DC4">
        <w:rPr>
          <w:rFonts w:ascii="Arial" w:hAnsi="Arial" w:cs="Arial"/>
          <w:color w:val="000000" w:themeColor="text1"/>
          <w:sz w:val="22"/>
          <w:szCs w:val="22"/>
        </w:rPr>
        <w:t>.</w:t>
      </w:r>
    </w:p>
    <w:p w14:paraId="30E6E7C7" w14:textId="77777777" w:rsidR="001F7B25" w:rsidRPr="00E33DC4" w:rsidRDefault="001F7B25" w:rsidP="00C76305">
      <w:pPr>
        <w:spacing w:line="360" w:lineRule="auto"/>
        <w:ind w:right="100"/>
        <w:jc w:val="both"/>
        <w:rPr>
          <w:rFonts w:ascii="Arial" w:hAnsi="Arial" w:cs="Arial"/>
          <w:color w:val="000000" w:themeColor="text1"/>
          <w:sz w:val="22"/>
          <w:szCs w:val="22"/>
        </w:rPr>
      </w:pPr>
    </w:p>
    <w:p w14:paraId="06FE59E9" w14:textId="4466A579" w:rsidR="00EB2DAB" w:rsidRPr="0068619C" w:rsidRDefault="00EB2DAB" w:rsidP="00C76305">
      <w:pPr>
        <w:spacing w:line="360" w:lineRule="auto"/>
        <w:ind w:right="100"/>
        <w:jc w:val="both"/>
        <w:rPr>
          <w:rFonts w:ascii="Arial" w:hAnsi="Arial" w:cs="Arial"/>
          <w:b/>
          <w:bCs/>
          <w:color w:val="000000" w:themeColor="text1"/>
          <w:sz w:val="28"/>
          <w:szCs w:val="28"/>
        </w:rPr>
      </w:pPr>
      <w:r w:rsidRPr="0068619C">
        <w:rPr>
          <w:rFonts w:ascii="Arial" w:hAnsi="Arial" w:cs="Arial"/>
          <w:b/>
          <w:bCs/>
          <w:color w:val="000000" w:themeColor="text1"/>
          <w:sz w:val="28"/>
          <w:szCs w:val="28"/>
        </w:rPr>
        <w:t>Conclusion</w:t>
      </w:r>
    </w:p>
    <w:p w14:paraId="195B35F8" w14:textId="77777777" w:rsidR="00EA7329" w:rsidRPr="00E33DC4" w:rsidRDefault="00EA7329" w:rsidP="00C76305">
      <w:pPr>
        <w:spacing w:line="360" w:lineRule="auto"/>
        <w:ind w:right="100"/>
        <w:jc w:val="both"/>
        <w:rPr>
          <w:rFonts w:ascii="Arial" w:hAnsi="Arial" w:cs="Arial"/>
          <w:color w:val="000000" w:themeColor="text1"/>
          <w:sz w:val="22"/>
          <w:szCs w:val="22"/>
        </w:rPr>
      </w:pPr>
    </w:p>
    <w:p w14:paraId="66CBFC8F" w14:textId="10C9BEE6" w:rsidR="00EB2DAB" w:rsidRPr="00E33DC4" w:rsidRDefault="00C153A8"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Health inequalities among adults aged 65 years and over are influenced by social determinants, including poverty, housing, healthcare access and social isolation. Reducing these disparities requires evidence-based public health policies, equitable healthcare provision, effective monitoring of epidemiological data and collaborative action among government, healthcare providers and voluntary organisations to support healthy ageing. Moreover, </w:t>
      </w:r>
      <w:r w:rsidR="00EB2DAB" w:rsidRPr="00E33DC4">
        <w:rPr>
          <w:rFonts w:ascii="Arial" w:hAnsi="Arial" w:cs="Arial"/>
          <w:color w:val="000000" w:themeColor="text1"/>
          <w:sz w:val="22"/>
          <w:szCs w:val="22"/>
        </w:rPr>
        <w:t>strategies should focus on earlier diagnosis, equitable access to specialist services, greater support for unpaid carers and wider implementation of personalised, integrated care to improve health outcomes and reduce inequalities.</w:t>
      </w:r>
    </w:p>
    <w:p w14:paraId="7218FC62" w14:textId="1F93CAD3" w:rsidR="00942CDD" w:rsidRPr="00E33DC4" w:rsidRDefault="00942CDD" w:rsidP="00C76305">
      <w:pPr>
        <w:spacing w:line="360" w:lineRule="auto"/>
        <w:ind w:right="100"/>
        <w:jc w:val="both"/>
        <w:rPr>
          <w:rFonts w:ascii="Arial" w:hAnsi="Arial" w:cs="Arial"/>
          <w:b/>
          <w:bCs/>
          <w:color w:val="000000" w:themeColor="text1"/>
          <w:sz w:val="22"/>
          <w:szCs w:val="22"/>
        </w:rPr>
      </w:pPr>
    </w:p>
    <w:p w14:paraId="0C37E441" w14:textId="77777777" w:rsidR="001E1A69" w:rsidRDefault="001E1A69">
      <w:pPr>
        <w:spacing w:after="200" w:line="276" w:lineRule="auto"/>
        <w:rPr>
          <w:rFonts w:ascii="Arial" w:hAnsi="Arial" w:cs="Arial"/>
          <w:b/>
          <w:bCs/>
          <w:color w:val="000000" w:themeColor="text1"/>
          <w:sz w:val="22"/>
          <w:szCs w:val="22"/>
        </w:rPr>
      </w:pPr>
      <w:r>
        <w:rPr>
          <w:rFonts w:ascii="Arial" w:hAnsi="Arial" w:cs="Arial"/>
          <w:b/>
          <w:bCs/>
          <w:color w:val="000000" w:themeColor="text1"/>
          <w:sz w:val="22"/>
          <w:szCs w:val="22"/>
        </w:rPr>
        <w:br w:type="page"/>
      </w:r>
    </w:p>
    <w:p w14:paraId="08207A74" w14:textId="77777777" w:rsidR="00FA308D" w:rsidRDefault="00FA308D" w:rsidP="00663CA0">
      <w:pPr>
        <w:spacing w:line="360" w:lineRule="auto"/>
        <w:ind w:right="100"/>
        <w:jc w:val="center"/>
        <w:rPr>
          <w:rFonts w:ascii="Arial" w:hAnsi="Arial" w:cs="Arial"/>
          <w:b/>
          <w:bCs/>
          <w:color w:val="000000" w:themeColor="text1"/>
          <w:sz w:val="32"/>
          <w:szCs w:val="32"/>
        </w:rPr>
      </w:pPr>
    </w:p>
    <w:p w14:paraId="257A0053" w14:textId="77777777" w:rsidR="00620788" w:rsidRDefault="00620788" w:rsidP="00663CA0">
      <w:pPr>
        <w:spacing w:line="360" w:lineRule="auto"/>
        <w:ind w:right="100"/>
        <w:jc w:val="center"/>
        <w:rPr>
          <w:rFonts w:ascii="Arial" w:hAnsi="Arial" w:cs="Arial"/>
          <w:b/>
          <w:bCs/>
          <w:color w:val="000000" w:themeColor="text1"/>
          <w:sz w:val="32"/>
          <w:szCs w:val="32"/>
        </w:rPr>
      </w:pPr>
    </w:p>
    <w:p w14:paraId="439738A8" w14:textId="4C4EDA7B" w:rsidR="00942CDD" w:rsidRPr="00062488" w:rsidRDefault="00D864F7" w:rsidP="00663CA0">
      <w:pPr>
        <w:spacing w:line="360" w:lineRule="auto"/>
        <w:ind w:right="100"/>
        <w:jc w:val="center"/>
        <w:rPr>
          <w:rFonts w:ascii="Arial" w:hAnsi="Arial" w:cs="Arial"/>
          <w:b/>
          <w:bCs/>
          <w:color w:val="000000" w:themeColor="text1"/>
          <w:sz w:val="32"/>
          <w:szCs w:val="32"/>
        </w:rPr>
      </w:pPr>
      <w:r w:rsidRPr="00062488">
        <w:rPr>
          <w:rFonts w:ascii="Arial" w:hAnsi="Arial" w:cs="Arial"/>
          <w:b/>
          <w:bCs/>
          <w:color w:val="000000" w:themeColor="text1"/>
          <w:sz w:val="32"/>
          <w:szCs w:val="32"/>
        </w:rPr>
        <w:t>Task 2</w:t>
      </w:r>
      <w:r w:rsidR="001E1A69" w:rsidRPr="00062488">
        <w:rPr>
          <w:rFonts w:ascii="Arial" w:hAnsi="Arial" w:cs="Arial"/>
          <w:b/>
          <w:bCs/>
          <w:color w:val="000000" w:themeColor="text1"/>
          <w:sz w:val="32"/>
          <w:szCs w:val="32"/>
        </w:rPr>
        <w:t>:</w:t>
      </w:r>
      <w:r w:rsidRPr="00062488">
        <w:rPr>
          <w:rFonts w:ascii="Arial" w:hAnsi="Arial" w:cs="Arial"/>
          <w:b/>
          <w:bCs/>
          <w:color w:val="000000" w:themeColor="text1"/>
          <w:sz w:val="32"/>
          <w:szCs w:val="32"/>
        </w:rPr>
        <w:t xml:space="preserve"> </w:t>
      </w:r>
      <w:r w:rsidR="00942CDD" w:rsidRPr="00062488">
        <w:rPr>
          <w:rFonts w:ascii="Arial" w:hAnsi="Arial" w:cs="Arial"/>
          <w:b/>
          <w:bCs/>
          <w:color w:val="000000" w:themeColor="text1"/>
          <w:sz w:val="32"/>
          <w:szCs w:val="32"/>
        </w:rPr>
        <w:t>Epidemiological Analysis of Dementia Among Older Adults (Aged 65 Years and Above) Living in England</w:t>
      </w:r>
      <w:r w:rsidR="009801F0" w:rsidRPr="00062488">
        <w:rPr>
          <w:rFonts w:ascii="Arial" w:hAnsi="Arial" w:cs="Arial"/>
          <w:b/>
          <w:bCs/>
          <w:color w:val="000000" w:themeColor="text1"/>
          <w:sz w:val="32"/>
          <w:szCs w:val="32"/>
        </w:rPr>
        <w:t>.</w:t>
      </w:r>
    </w:p>
    <w:p w14:paraId="2B862B5D" w14:textId="77777777" w:rsidR="004168DD" w:rsidRDefault="004168DD" w:rsidP="00C76305">
      <w:pPr>
        <w:spacing w:line="360" w:lineRule="auto"/>
        <w:ind w:right="100"/>
        <w:jc w:val="both"/>
        <w:rPr>
          <w:rFonts w:ascii="Arial" w:hAnsi="Arial" w:cs="Arial"/>
          <w:b/>
          <w:bCs/>
          <w:color w:val="000000" w:themeColor="text1"/>
          <w:sz w:val="22"/>
          <w:szCs w:val="22"/>
        </w:rPr>
      </w:pPr>
    </w:p>
    <w:p w14:paraId="2D5E21A0" w14:textId="77777777" w:rsidR="000D51EF" w:rsidRPr="00E33DC4" w:rsidRDefault="000D51EF" w:rsidP="00C76305">
      <w:pPr>
        <w:spacing w:line="360" w:lineRule="auto"/>
        <w:ind w:right="100"/>
        <w:jc w:val="both"/>
        <w:rPr>
          <w:rFonts w:ascii="Arial" w:hAnsi="Arial" w:cs="Arial"/>
          <w:b/>
          <w:bCs/>
          <w:color w:val="000000" w:themeColor="text1"/>
          <w:sz w:val="22"/>
          <w:szCs w:val="22"/>
        </w:rPr>
      </w:pPr>
    </w:p>
    <w:p w14:paraId="1B656504" w14:textId="2D9796EF" w:rsidR="00942CDD" w:rsidRPr="0079167F" w:rsidRDefault="00942CDD" w:rsidP="00C76305">
      <w:pPr>
        <w:spacing w:line="360" w:lineRule="auto"/>
        <w:ind w:right="100"/>
        <w:jc w:val="both"/>
        <w:rPr>
          <w:rFonts w:ascii="Arial" w:hAnsi="Arial" w:cs="Arial"/>
          <w:b/>
          <w:bCs/>
          <w:color w:val="000000" w:themeColor="text1"/>
          <w:sz w:val="28"/>
          <w:szCs w:val="28"/>
        </w:rPr>
      </w:pPr>
      <w:r w:rsidRPr="0079167F">
        <w:rPr>
          <w:rFonts w:ascii="Arial" w:hAnsi="Arial" w:cs="Arial"/>
          <w:b/>
          <w:bCs/>
          <w:color w:val="000000" w:themeColor="text1"/>
          <w:sz w:val="28"/>
          <w:szCs w:val="28"/>
        </w:rPr>
        <w:t>Introduction</w:t>
      </w:r>
    </w:p>
    <w:p w14:paraId="38ECE06A" w14:textId="77777777" w:rsidR="004168DD" w:rsidRPr="00E33DC4" w:rsidRDefault="004168DD" w:rsidP="00C76305">
      <w:pPr>
        <w:spacing w:line="360" w:lineRule="auto"/>
        <w:ind w:right="100"/>
        <w:jc w:val="both"/>
        <w:rPr>
          <w:rFonts w:ascii="Arial" w:hAnsi="Arial" w:cs="Arial"/>
          <w:color w:val="000000" w:themeColor="text1"/>
          <w:sz w:val="22"/>
          <w:szCs w:val="22"/>
        </w:rPr>
      </w:pPr>
    </w:p>
    <w:p w14:paraId="3E1119EB" w14:textId="77777777" w:rsidR="008A113F" w:rsidRPr="00E33DC4" w:rsidRDefault="00942CDD"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Epidemiology is the scientific study of the distribution, determinants, and control of health-related events within populations. It provides the evidence base for identifying disease patterns, assessing risk factors, planning public health interventions, and evaluating healthcare services (Bonita, Beaglehole and </w:t>
      </w:r>
      <w:proofErr w:type="spellStart"/>
      <w:r w:rsidRPr="00E33DC4">
        <w:rPr>
          <w:rFonts w:ascii="Arial" w:hAnsi="Arial" w:cs="Arial"/>
          <w:color w:val="000000" w:themeColor="text1"/>
          <w:sz w:val="22"/>
          <w:szCs w:val="22"/>
        </w:rPr>
        <w:t>Kjellström</w:t>
      </w:r>
      <w:proofErr w:type="spellEnd"/>
      <w:r w:rsidRPr="00E33DC4">
        <w:rPr>
          <w:rFonts w:ascii="Arial" w:hAnsi="Arial" w:cs="Arial"/>
          <w:color w:val="000000" w:themeColor="text1"/>
          <w:sz w:val="22"/>
          <w:szCs w:val="22"/>
        </w:rPr>
        <w:t>, 2021). In public health practice, epidemiology is essential for understanding the burden of disease and informing policies that improve population health outcomes</w:t>
      </w:r>
      <w:r w:rsidR="00D6056A" w:rsidRPr="00E33DC4">
        <w:rPr>
          <w:rFonts w:ascii="Arial" w:hAnsi="Arial" w:cs="Arial"/>
          <w:color w:val="000000" w:themeColor="text1"/>
          <w:sz w:val="22"/>
          <w:szCs w:val="22"/>
        </w:rPr>
        <w:t xml:space="preserve">. </w:t>
      </w:r>
    </w:p>
    <w:p w14:paraId="1E5D6987" w14:textId="77777777" w:rsidR="008A113F" w:rsidRPr="00E33DC4" w:rsidRDefault="008A113F" w:rsidP="00C76305">
      <w:pPr>
        <w:spacing w:line="360" w:lineRule="auto"/>
        <w:jc w:val="both"/>
        <w:rPr>
          <w:rFonts w:ascii="Arial" w:hAnsi="Arial" w:cs="Arial"/>
          <w:color w:val="000000" w:themeColor="text1"/>
          <w:sz w:val="22"/>
          <w:szCs w:val="22"/>
        </w:rPr>
      </w:pPr>
    </w:p>
    <w:p w14:paraId="0B97932F" w14:textId="2B67F751" w:rsidR="002F7A14" w:rsidRPr="00E33DC4" w:rsidRDefault="00D6056A"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Dementia is a progressive neurodegenerative syndrome that leads to a decline in memory, cognition, behaviour, and daily functioning. It impacts individuals, families, and healthcare systems, affecting over 57 million people worldwide, with nearly 10 million new cases each year (WHO, 2026). </w:t>
      </w:r>
    </w:p>
    <w:p w14:paraId="0BF79BD3" w14:textId="77777777" w:rsidR="002F7A14" w:rsidRPr="00E33DC4" w:rsidRDefault="002F7A14" w:rsidP="00C76305">
      <w:pPr>
        <w:spacing w:line="360" w:lineRule="auto"/>
        <w:jc w:val="both"/>
        <w:rPr>
          <w:rFonts w:ascii="Arial" w:hAnsi="Arial" w:cs="Arial"/>
          <w:color w:val="000000" w:themeColor="text1"/>
          <w:sz w:val="22"/>
          <w:szCs w:val="22"/>
        </w:rPr>
      </w:pPr>
    </w:p>
    <w:p w14:paraId="45BC0C63" w14:textId="40CDCEB7" w:rsidR="00D6056A" w:rsidRPr="00E33DC4" w:rsidRDefault="002408AE"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According to NICE (2018), Dementia is a progressive, long-term neurodegenerative syndrome affecting daily functioning. </w:t>
      </w:r>
      <w:r w:rsidR="00D6056A" w:rsidRPr="00E33DC4">
        <w:rPr>
          <w:rFonts w:ascii="Arial" w:hAnsi="Arial" w:cs="Arial"/>
          <w:color w:val="000000" w:themeColor="text1"/>
          <w:sz w:val="22"/>
          <w:szCs w:val="22"/>
        </w:rPr>
        <w:t>In the United Kingdom, approximately 1 million people are living with dementia, making it one of the leading causes of disability and death among older adults (Alzheimer’s Society, 2025).</w:t>
      </w:r>
      <w:r w:rsidR="00A73470" w:rsidRPr="00E33DC4">
        <w:rPr>
          <w:rFonts w:ascii="Arial" w:hAnsi="Arial" w:cs="Arial"/>
          <w:color w:val="000000" w:themeColor="text1"/>
          <w:sz w:val="22"/>
          <w:szCs w:val="22"/>
        </w:rPr>
        <w:t xml:space="preserve"> According to the Alzheimer's Society</w:t>
      </w:r>
      <w:r w:rsidR="00503BEE" w:rsidRPr="00E33DC4">
        <w:rPr>
          <w:rFonts w:ascii="Arial" w:hAnsi="Arial" w:cs="Arial"/>
          <w:color w:val="000000" w:themeColor="text1"/>
          <w:sz w:val="22"/>
          <w:szCs w:val="22"/>
        </w:rPr>
        <w:t xml:space="preserve"> (</w:t>
      </w:r>
      <w:r w:rsidR="00232FE7" w:rsidRPr="00E33DC4">
        <w:rPr>
          <w:rFonts w:ascii="Arial" w:hAnsi="Arial" w:cs="Arial"/>
          <w:color w:val="000000" w:themeColor="text1"/>
          <w:sz w:val="22"/>
          <w:szCs w:val="22"/>
        </w:rPr>
        <w:t>2023</w:t>
      </w:r>
      <w:r w:rsidR="00503BEE" w:rsidRPr="00E33DC4">
        <w:rPr>
          <w:rFonts w:ascii="Arial" w:hAnsi="Arial" w:cs="Arial"/>
          <w:color w:val="000000" w:themeColor="text1"/>
          <w:sz w:val="22"/>
          <w:szCs w:val="22"/>
        </w:rPr>
        <w:t>)</w:t>
      </w:r>
      <w:r w:rsidR="001E471C" w:rsidRPr="00E33DC4">
        <w:rPr>
          <w:rFonts w:ascii="Arial" w:hAnsi="Arial" w:cs="Arial"/>
          <w:color w:val="000000" w:themeColor="text1"/>
          <w:sz w:val="22"/>
          <w:szCs w:val="22"/>
        </w:rPr>
        <w:t>,</w:t>
      </w:r>
      <w:r w:rsidR="00A73470" w:rsidRPr="00E33DC4">
        <w:rPr>
          <w:rFonts w:ascii="Arial" w:hAnsi="Arial" w:cs="Arial"/>
          <w:color w:val="000000" w:themeColor="text1"/>
          <w:sz w:val="22"/>
          <w:szCs w:val="22"/>
        </w:rPr>
        <w:t xml:space="preserve"> over one-third of dementia patients in England </w:t>
      </w:r>
      <w:proofErr w:type="gramStart"/>
      <w:r w:rsidR="00A73470" w:rsidRPr="00E33DC4">
        <w:rPr>
          <w:rFonts w:ascii="Arial" w:hAnsi="Arial" w:cs="Arial"/>
          <w:color w:val="000000" w:themeColor="text1"/>
          <w:sz w:val="22"/>
          <w:szCs w:val="22"/>
        </w:rPr>
        <w:t>are considered to be</w:t>
      </w:r>
      <w:proofErr w:type="gramEnd"/>
      <w:r w:rsidR="00A73470" w:rsidRPr="00E33DC4">
        <w:rPr>
          <w:rFonts w:ascii="Arial" w:hAnsi="Arial" w:cs="Arial"/>
          <w:color w:val="000000" w:themeColor="text1"/>
          <w:sz w:val="22"/>
          <w:szCs w:val="22"/>
        </w:rPr>
        <w:t xml:space="preserve"> undiagnosed, underscoring disparities in timely diagnosis.</w:t>
      </w:r>
      <w:r w:rsidR="00D6056A" w:rsidRPr="00E33DC4">
        <w:rPr>
          <w:rFonts w:ascii="Arial" w:hAnsi="Arial" w:cs="Arial"/>
          <w:color w:val="000000" w:themeColor="text1"/>
          <w:sz w:val="22"/>
          <w:szCs w:val="22"/>
        </w:rPr>
        <w:t xml:space="preserve"> This report analyses the epidemiology of dementia among adults aged 65 years and over in the </w:t>
      </w:r>
      <w:r w:rsidR="00CA570F" w:rsidRPr="00E33DC4">
        <w:rPr>
          <w:rFonts w:ascii="Arial" w:hAnsi="Arial" w:cs="Arial"/>
          <w:color w:val="000000" w:themeColor="text1"/>
          <w:sz w:val="22"/>
          <w:szCs w:val="22"/>
        </w:rPr>
        <w:t xml:space="preserve">United Kingdom, </w:t>
      </w:r>
      <w:r w:rsidR="00D6056A" w:rsidRPr="00E33DC4">
        <w:rPr>
          <w:rFonts w:ascii="Arial" w:hAnsi="Arial" w:cs="Arial"/>
          <w:color w:val="000000" w:themeColor="text1"/>
          <w:sz w:val="22"/>
          <w:szCs w:val="22"/>
        </w:rPr>
        <w:t>examining risk factors, surveillance, public health interventions and epidemiological approaches used to reduce its impact.</w:t>
      </w:r>
    </w:p>
    <w:p w14:paraId="5B7C374E" w14:textId="5A340954" w:rsidR="00D15887" w:rsidRPr="00E33DC4" w:rsidRDefault="00D15887" w:rsidP="00C76305">
      <w:pPr>
        <w:spacing w:line="360" w:lineRule="auto"/>
        <w:ind w:right="100"/>
        <w:jc w:val="both"/>
        <w:rPr>
          <w:rFonts w:ascii="Arial" w:hAnsi="Arial" w:cs="Arial"/>
          <w:color w:val="000000" w:themeColor="text1"/>
          <w:sz w:val="22"/>
          <w:szCs w:val="22"/>
        </w:rPr>
      </w:pPr>
    </w:p>
    <w:p w14:paraId="0D181CFF" w14:textId="02FA8453" w:rsidR="004E64E7" w:rsidRPr="00832D87" w:rsidRDefault="004E64E7" w:rsidP="00C76305">
      <w:pPr>
        <w:spacing w:line="360" w:lineRule="auto"/>
        <w:ind w:right="100"/>
        <w:jc w:val="both"/>
        <w:rPr>
          <w:rFonts w:ascii="Arial" w:hAnsi="Arial" w:cs="Arial"/>
          <w:b/>
          <w:bCs/>
          <w:color w:val="000000" w:themeColor="text1"/>
          <w:sz w:val="28"/>
          <w:szCs w:val="28"/>
        </w:rPr>
      </w:pPr>
      <w:r w:rsidRPr="00832D87">
        <w:rPr>
          <w:rFonts w:ascii="Arial" w:hAnsi="Arial" w:cs="Arial"/>
          <w:b/>
          <w:bCs/>
          <w:color w:val="000000" w:themeColor="text1"/>
          <w:sz w:val="28"/>
          <w:szCs w:val="28"/>
        </w:rPr>
        <w:lastRenderedPageBreak/>
        <w:t>Public Health Measures: The Three Ps (Prevention, Protection and Promotion)</w:t>
      </w:r>
      <w:r w:rsidR="007A295C" w:rsidRPr="00832D87">
        <w:rPr>
          <w:rFonts w:ascii="Arial" w:hAnsi="Arial" w:cs="Arial"/>
          <w:b/>
          <w:bCs/>
          <w:color w:val="000000" w:themeColor="text1"/>
          <w:sz w:val="28"/>
          <w:szCs w:val="28"/>
        </w:rPr>
        <w:t>.</w:t>
      </w:r>
    </w:p>
    <w:p w14:paraId="711D0B8B" w14:textId="1A6665A6" w:rsidR="004E64E7" w:rsidRPr="00E33DC4" w:rsidRDefault="004E64E7" w:rsidP="00C76305">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Three Ps approaches aim not only to reduce the incidence of dementia but also to improve quality of life and reduce health inequalities among older adults</w:t>
      </w:r>
      <w:r w:rsidR="0016431A" w:rsidRPr="00E33DC4">
        <w:rPr>
          <w:rFonts w:ascii="Arial" w:hAnsi="Arial" w:cs="Arial"/>
          <w:color w:val="000000" w:themeColor="text1"/>
          <w:sz w:val="22"/>
          <w:szCs w:val="22"/>
        </w:rPr>
        <w:t xml:space="preserve"> </w:t>
      </w:r>
      <w:r w:rsidR="00826580" w:rsidRPr="00E33DC4">
        <w:rPr>
          <w:rFonts w:ascii="Arial" w:hAnsi="Arial" w:cs="Arial"/>
          <w:color w:val="000000" w:themeColor="text1"/>
          <w:sz w:val="22"/>
          <w:szCs w:val="22"/>
        </w:rPr>
        <w:t>in</w:t>
      </w:r>
      <w:r w:rsidR="007F775F" w:rsidRPr="00E33DC4">
        <w:rPr>
          <w:rFonts w:ascii="Arial" w:hAnsi="Arial" w:cs="Arial"/>
          <w:color w:val="000000" w:themeColor="text1"/>
          <w:sz w:val="22"/>
          <w:szCs w:val="22"/>
        </w:rPr>
        <w:t xml:space="preserve"> </w:t>
      </w:r>
      <w:r w:rsidR="00826580" w:rsidRPr="00E33DC4">
        <w:rPr>
          <w:rFonts w:ascii="Arial" w:hAnsi="Arial" w:cs="Arial"/>
          <w:color w:val="000000" w:themeColor="text1"/>
          <w:sz w:val="22"/>
          <w:szCs w:val="22"/>
        </w:rPr>
        <w:t>England</w:t>
      </w:r>
      <w:r w:rsidR="007F775F" w:rsidRPr="00E33DC4">
        <w:rPr>
          <w:rFonts w:ascii="Arial" w:hAnsi="Arial" w:cs="Arial"/>
          <w:color w:val="000000" w:themeColor="text1"/>
          <w:sz w:val="22"/>
          <w:szCs w:val="22"/>
        </w:rPr>
        <w:t>.</w:t>
      </w:r>
    </w:p>
    <w:p w14:paraId="506E0413" w14:textId="77777777" w:rsidR="00564C7F" w:rsidRPr="00E33DC4" w:rsidRDefault="00564C7F" w:rsidP="00C76305">
      <w:pPr>
        <w:spacing w:line="360" w:lineRule="auto"/>
        <w:ind w:right="100"/>
        <w:jc w:val="both"/>
        <w:rPr>
          <w:rFonts w:ascii="Arial" w:hAnsi="Arial" w:cs="Arial"/>
          <w:color w:val="000000" w:themeColor="text1"/>
          <w:sz w:val="22"/>
          <w:szCs w:val="22"/>
        </w:rPr>
      </w:pPr>
    </w:p>
    <w:p w14:paraId="1AFD4E1B" w14:textId="77777777" w:rsidR="00FC366A" w:rsidRPr="00832D87" w:rsidRDefault="000645F1" w:rsidP="00C76305">
      <w:pPr>
        <w:spacing w:line="360" w:lineRule="auto"/>
        <w:jc w:val="both"/>
        <w:rPr>
          <w:rFonts w:ascii="Arial" w:hAnsi="Arial" w:cs="Arial"/>
          <w:b/>
          <w:bCs/>
          <w:color w:val="000000" w:themeColor="text1"/>
          <w:sz w:val="28"/>
          <w:szCs w:val="28"/>
        </w:rPr>
      </w:pPr>
      <w:r w:rsidRPr="00832D87">
        <w:rPr>
          <w:rFonts w:ascii="Arial" w:hAnsi="Arial" w:cs="Arial"/>
          <w:b/>
          <w:bCs/>
          <w:color w:val="000000" w:themeColor="text1"/>
          <w:sz w:val="28"/>
          <w:szCs w:val="28"/>
        </w:rPr>
        <w:t>Prevention</w:t>
      </w:r>
    </w:p>
    <w:p w14:paraId="1E3E4420" w14:textId="7E6B1A5C" w:rsidR="000645F1" w:rsidRPr="00E33DC4" w:rsidRDefault="00FC366A" w:rsidP="00C76305">
      <w:pPr>
        <w:spacing w:line="360" w:lineRule="auto"/>
        <w:jc w:val="both"/>
        <w:rPr>
          <w:rFonts w:ascii="Arial" w:hAnsi="Arial" w:cs="Arial"/>
          <w:color w:val="000000" w:themeColor="text1"/>
          <w:sz w:val="22"/>
          <w:szCs w:val="22"/>
        </w:rPr>
      </w:pPr>
      <w:r w:rsidRPr="00033576">
        <w:rPr>
          <w:rFonts w:ascii="Arial" w:hAnsi="Arial" w:cs="Arial"/>
          <w:color w:val="000000" w:themeColor="text1"/>
          <w:sz w:val="22"/>
          <w:szCs w:val="22"/>
        </w:rPr>
        <w:t>Prevention</w:t>
      </w:r>
      <w:r w:rsidR="000645F1" w:rsidRPr="00033576">
        <w:rPr>
          <w:rFonts w:ascii="Arial" w:hAnsi="Arial" w:cs="Arial"/>
          <w:color w:val="000000" w:themeColor="text1"/>
          <w:sz w:val="22"/>
          <w:szCs w:val="22"/>
        </w:rPr>
        <w:t xml:space="preserve"> </w:t>
      </w:r>
      <w:r w:rsidR="000645F1" w:rsidRPr="00E33DC4">
        <w:rPr>
          <w:rFonts w:ascii="Arial" w:hAnsi="Arial" w:cs="Arial"/>
          <w:color w:val="000000" w:themeColor="text1"/>
          <w:sz w:val="22"/>
          <w:szCs w:val="22"/>
        </w:rPr>
        <w:t>focuses on reducing the risk of disease before it develops</w:t>
      </w:r>
      <w:r w:rsidR="00EA2417" w:rsidRPr="00E33DC4">
        <w:rPr>
          <w:rFonts w:ascii="Arial" w:hAnsi="Arial" w:cs="Arial"/>
          <w:color w:val="000000" w:themeColor="text1"/>
          <w:sz w:val="22"/>
          <w:szCs w:val="22"/>
        </w:rPr>
        <w:t xml:space="preserve"> (Kisling and Das, 2023)</w:t>
      </w:r>
      <w:r w:rsidR="000645F1" w:rsidRPr="00E33DC4">
        <w:rPr>
          <w:rFonts w:ascii="Arial" w:hAnsi="Arial" w:cs="Arial"/>
          <w:color w:val="000000" w:themeColor="text1"/>
          <w:sz w:val="22"/>
          <w:szCs w:val="22"/>
        </w:rPr>
        <w:t xml:space="preserve">. For older adults, primary prevention includes promoting healthy lifestyles, such as regular physical activity, a balanced diet, smoking cessation, moderate alcohol consumption, and effective management of cardiovascular risk factors, including hypertension, diabetes, and obesity. Evidence indicates that addressing modifiable risk factors could prevent or delay up to 45% of dementia cases, highlighting the importance of preventive interventions across the life course (Livingston </w:t>
      </w:r>
      <w:r w:rsidR="000645F1" w:rsidRPr="00E33DC4">
        <w:rPr>
          <w:rFonts w:ascii="Arial" w:hAnsi="Arial" w:cs="Arial"/>
          <w:i/>
          <w:iCs/>
          <w:color w:val="000000" w:themeColor="text1"/>
          <w:sz w:val="22"/>
          <w:szCs w:val="22"/>
        </w:rPr>
        <w:t>et al.</w:t>
      </w:r>
      <w:r w:rsidR="000645F1" w:rsidRPr="00E33DC4">
        <w:rPr>
          <w:rFonts w:ascii="Arial" w:hAnsi="Arial" w:cs="Arial"/>
          <w:color w:val="000000" w:themeColor="text1"/>
          <w:sz w:val="22"/>
          <w:szCs w:val="22"/>
        </w:rPr>
        <w:t>, 2024; World Health Organization, 2026). Preventive programmes, including vaccination against influenza, COVID-19 and pneumococcal disease, also reduce morbidity and mortality among older people (NHS England, 2024).</w:t>
      </w:r>
    </w:p>
    <w:p w14:paraId="4383CC34" w14:textId="77777777" w:rsidR="00D01C59" w:rsidRPr="00E33DC4" w:rsidRDefault="00D01C59" w:rsidP="00C76305">
      <w:pPr>
        <w:spacing w:line="360" w:lineRule="auto"/>
        <w:jc w:val="both"/>
        <w:rPr>
          <w:rFonts w:ascii="Arial" w:hAnsi="Arial" w:cs="Arial"/>
          <w:color w:val="000000" w:themeColor="text1"/>
          <w:sz w:val="22"/>
          <w:szCs w:val="22"/>
        </w:rPr>
      </w:pPr>
    </w:p>
    <w:p w14:paraId="0D668CAF" w14:textId="77777777" w:rsidR="00D2144C" w:rsidRPr="00832D87" w:rsidRDefault="000645F1" w:rsidP="00C76305">
      <w:pPr>
        <w:spacing w:line="360" w:lineRule="auto"/>
        <w:jc w:val="both"/>
        <w:rPr>
          <w:rFonts w:ascii="Arial" w:hAnsi="Arial" w:cs="Arial"/>
          <w:color w:val="000000" w:themeColor="text1"/>
          <w:sz w:val="28"/>
          <w:szCs w:val="28"/>
        </w:rPr>
      </w:pPr>
      <w:r w:rsidRPr="00832D87">
        <w:rPr>
          <w:rFonts w:ascii="Arial" w:hAnsi="Arial" w:cs="Arial"/>
          <w:b/>
          <w:bCs/>
          <w:color w:val="000000" w:themeColor="text1"/>
          <w:sz w:val="28"/>
          <w:szCs w:val="28"/>
        </w:rPr>
        <w:t>Protection</w:t>
      </w:r>
      <w:r w:rsidRPr="00832D87">
        <w:rPr>
          <w:rFonts w:ascii="Arial" w:hAnsi="Arial" w:cs="Arial"/>
          <w:color w:val="000000" w:themeColor="text1"/>
          <w:sz w:val="28"/>
          <w:szCs w:val="28"/>
        </w:rPr>
        <w:t xml:space="preserve"> </w:t>
      </w:r>
    </w:p>
    <w:p w14:paraId="55C83C64" w14:textId="142B0A8F" w:rsidR="000645F1" w:rsidRPr="00E33DC4" w:rsidRDefault="00FC366A" w:rsidP="00C76305">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Protection </w:t>
      </w:r>
      <w:r w:rsidR="000645F1" w:rsidRPr="00E33DC4">
        <w:rPr>
          <w:rFonts w:ascii="Arial" w:hAnsi="Arial" w:cs="Arial"/>
          <w:color w:val="000000" w:themeColor="text1"/>
          <w:sz w:val="22"/>
          <w:szCs w:val="22"/>
        </w:rPr>
        <w:t>aims to safeguard older adults from health threats and minimise harm</w:t>
      </w:r>
      <w:r w:rsidR="00D4666B" w:rsidRPr="00E33DC4">
        <w:rPr>
          <w:rFonts w:ascii="Arial" w:hAnsi="Arial" w:cs="Arial"/>
          <w:color w:val="000000" w:themeColor="text1"/>
          <w:sz w:val="22"/>
          <w:szCs w:val="22"/>
        </w:rPr>
        <w:t xml:space="preserve"> </w:t>
      </w:r>
      <w:r w:rsidR="00232AC2" w:rsidRPr="00E33DC4">
        <w:rPr>
          <w:rFonts w:ascii="Arial" w:hAnsi="Arial" w:cs="Arial"/>
          <w:color w:val="000000" w:themeColor="text1"/>
          <w:sz w:val="22"/>
          <w:szCs w:val="22"/>
        </w:rPr>
        <w:t>(</w:t>
      </w:r>
      <w:r w:rsidR="00D4666B" w:rsidRPr="00E33DC4">
        <w:rPr>
          <w:rFonts w:ascii="Arial" w:hAnsi="Arial" w:cs="Arial"/>
          <w:color w:val="000000" w:themeColor="text1"/>
          <w:sz w:val="22"/>
          <w:szCs w:val="22"/>
        </w:rPr>
        <w:t>Sherwood-Johnson</w:t>
      </w:r>
      <w:r w:rsidR="00232AC2" w:rsidRPr="00E33DC4">
        <w:rPr>
          <w:rFonts w:ascii="Arial" w:hAnsi="Arial" w:cs="Arial"/>
          <w:color w:val="000000" w:themeColor="text1"/>
          <w:sz w:val="22"/>
          <w:szCs w:val="22"/>
        </w:rPr>
        <w:t xml:space="preserve"> </w:t>
      </w:r>
      <w:r w:rsidR="00D4666B" w:rsidRPr="00E33DC4">
        <w:rPr>
          <w:rFonts w:ascii="Arial" w:hAnsi="Arial" w:cs="Arial"/>
          <w:i/>
          <w:iCs/>
          <w:color w:val="000000" w:themeColor="text1"/>
          <w:sz w:val="22"/>
          <w:szCs w:val="22"/>
        </w:rPr>
        <w:t>et al.</w:t>
      </w:r>
      <w:r w:rsidR="00847B68">
        <w:rPr>
          <w:rFonts w:ascii="Arial" w:hAnsi="Arial" w:cs="Arial"/>
          <w:color w:val="000000" w:themeColor="text1"/>
          <w:sz w:val="22"/>
          <w:szCs w:val="22"/>
        </w:rPr>
        <w:t xml:space="preserve">, </w:t>
      </w:r>
      <w:r w:rsidR="00D4666B" w:rsidRPr="00E33DC4">
        <w:rPr>
          <w:rFonts w:ascii="Arial" w:hAnsi="Arial" w:cs="Arial"/>
          <w:color w:val="000000" w:themeColor="text1"/>
          <w:sz w:val="22"/>
          <w:szCs w:val="22"/>
        </w:rPr>
        <w:t>2023)</w:t>
      </w:r>
      <w:r w:rsidR="000645F1" w:rsidRPr="00E33DC4">
        <w:rPr>
          <w:rFonts w:ascii="Arial" w:hAnsi="Arial" w:cs="Arial"/>
          <w:color w:val="000000" w:themeColor="text1"/>
          <w:sz w:val="22"/>
          <w:szCs w:val="22"/>
        </w:rPr>
        <w:t xml:space="preserve">. National policies support routine screening, medication reviews, falls prevention programmes and infection prevention measures in hospitals and care homes. The NHS Long Term Plan prioritises proactive care for people living with multiple long-term conditions, while safeguarding policies protect vulnerable older adults from abuse, neglect and discrimination (NHS England, 2019). Patient safety is </w:t>
      </w:r>
      <w:r w:rsidR="008D465C" w:rsidRPr="00E33DC4">
        <w:rPr>
          <w:rFonts w:ascii="Arial" w:hAnsi="Arial" w:cs="Arial"/>
          <w:color w:val="000000" w:themeColor="text1"/>
          <w:sz w:val="22"/>
          <w:szCs w:val="22"/>
        </w:rPr>
        <w:t>increased</w:t>
      </w:r>
      <w:r w:rsidR="000645F1" w:rsidRPr="00E33DC4">
        <w:rPr>
          <w:rFonts w:ascii="Arial" w:hAnsi="Arial" w:cs="Arial"/>
          <w:color w:val="000000" w:themeColor="text1"/>
          <w:sz w:val="22"/>
          <w:szCs w:val="22"/>
        </w:rPr>
        <w:t xml:space="preserve">, and preventable hospital admissions are </w:t>
      </w:r>
      <w:r w:rsidR="00BE518F" w:rsidRPr="00E33DC4">
        <w:rPr>
          <w:rFonts w:ascii="Arial" w:hAnsi="Arial" w:cs="Arial"/>
          <w:color w:val="000000" w:themeColor="text1"/>
          <w:sz w:val="22"/>
          <w:szCs w:val="22"/>
        </w:rPr>
        <w:t>reduced</w:t>
      </w:r>
      <w:r w:rsidR="000645F1" w:rsidRPr="00E33DC4">
        <w:rPr>
          <w:rFonts w:ascii="Arial" w:hAnsi="Arial" w:cs="Arial"/>
          <w:color w:val="000000" w:themeColor="text1"/>
          <w:sz w:val="22"/>
          <w:szCs w:val="22"/>
        </w:rPr>
        <w:t xml:space="preserve"> </w:t>
      </w:r>
      <w:r w:rsidR="00710E9F" w:rsidRPr="00E33DC4">
        <w:rPr>
          <w:rFonts w:ascii="Arial" w:hAnsi="Arial" w:cs="Arial"/>
          <w:color w:val="000000" w:themeColor="text1"/>
          <w:sz w:val="22"/>
          <w:szCs w:val="22"/>
        </w:rPr>
        <w:t>with</w:t>
      </w:r>
      <w:r w:rsidR="000645F1" w:rsidRPr="00E33DC4">
        <w:rPr>
          <w:rFonts w:ascii="Arial" w:hAnsi="Arial" w:cs="Arial"/>
          <w:color w:val="000000" w:themeColor="text1"/>
          <w:sz w:val="22"/>
          <w:szCs w:val="22"/>
        </w:rPr>
        <w:t xml:space="preserve"> these actions.</w:t>
      </w:r>
    </w:p>
    <w:p w14:paraId="0DB68E4C" w14:textId="77777777" w:rsidR="005B25C2" w:rsidRPr="00E33DC4" w:rsidRDefault="005B25C2" w:rsidP="00C76305">
      <w:pPr>
        <w:spacing w:line="360" w:lineRule="auto"/>
        <w:jc w:val="both"/>
        <w:rPr>
          <w:rFonts w:ascii="Arial" w:hAnsi="Arial" w:cs="Arial"/>
          <w:color w:val="000000" w:themeColor="text1"/>
          <w:sz w:val="22"/>
          <w:szCs w:val="22"/>
        </w:rPr>
      </w:pPr>
    </w:p>
    <w:p w14:paraId="6384A0B0" w14:textId="77777777" w:rsidR="00E57494" w:rsidRPr="00832D87" w:rsidRDefault="000645F1" w:rsidP="00C76305">
      <w:pPr>
        <w:spacing w:line="360" w:lineRule="auto"/>
        <w:jc w:val="both"/>
        <w:rPr>
          <w:rFonts w:ascii="Arial" w:hAnsi="Arial" w:cs="Arial"/>
          <w:color w:val="000000" w:themeColor="text1"/>
          <w:sz w:val="28"/>
          <w:szCs w:val="28"/>
        </w:rPr>
      </w:pPr>
      <w:r w:rsidRPr="00832D87">
        <w:rPr>
          <w:rFonts w:ascii="Arial" w:hAnsi="Arial" w:cs="Arial"/>
          <w:b/>
          <w:bCs/>
          <w:color w:val="000000" w:themeColor="text1"/>
          <w:sz w:val="28"/>
          <w:szCs w:val="28"/>
        </w:rPr>
        <w:t>Health promotion</w:t>
      </w:r>
      <w:r w:rsidRPr="00832D87">
        <w:rPr>
          <w:rFonts w:ascii="Arial" w:hAnsi="Arial" w:cs="Arial"/>
          <w:color w:val="000000" w:themeColor="text1"/>
          <w:sz w:val="28"/>
          <w:szCs w:val="28"/>
        </w:rPr>
        <w:t xml:space="preserve"> </w:t>
      </w:r>
    </w:p>
    <w:p w14:paraId="7DC1AE14" w14:textId="2AB3055F" w:rsidR="000645F1" w:rsidRPr="00E33DC4" w:rsidRDefault="00E57494" w:rsidP="00C76305">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Health promotion </w:t>
      </w:r>
      <w:r w:rsidR="000645F1" w:rsidRPr="00E33DC4">
        <w:rPr>
          <w:rFonts w:ascii="Arial" w:hAnsi="Arial" w:cs="Arial"/>
          <w:color w:val="000000" w:themeColor="text1"/>
          <w:sz w:val="22"/>
          <w:szCs w:val="22"/>
        </w:rPr>
        <w:t xml:space="preserve">empowers individuals and communities to improve their health and wellbeing. Public campaigns encourage healthy ageing, early recognition of dementia symptoms and uptake of NHS Health Checks where appropriate. Community-based initiatives, social prescribing and voluntary organisations such as Age UK help reduce loneliness, increase physical activity and improve access to support services, thereby addressing wider social determinants of health (Age UK, 2024). However, persistent inequalities linked to poverty, digital exclusion and regional disparities mean that targeted </w:t>
      </w:r>
      <w:r w:rsidR="000645F1" w:rsidRPr="00E33DC4">
        <w:rPr>
          <w:rFonts w:ascii="Arial" w:hAnsi="Arial" w:cs="Arial"/>
          <w:color w:val="000000" w:themeColor="text1"/>
          <w:sz w:val="22"/>
          <w:szCs w:val="22"/>
        </w:rPr>
        <w:lastRenderedPageBreak/>
        <w:t xml:space="preserve">interventions are required to ensure equitable access to preventive, protective and promotional services across the older population. </w:t>
      </w:r>
    </w:p>
    <w:p w14:paraId="4ACE9AC8" w14:textId="77777777" w:rsidR="00F37D30" w:rsidRDefault="00F37D30" w:rsidP="00C76305">
      <w:pPr>
        <w:spacing w:line="360" w:lineRule="auto"/>
        <w:ind w:right="100"/>
        <w:jc w:val="both"/>
        <w:rPr>
          <w:rFonts w:ascii="Arial" w:hAnsi="Arial" w:cs="Arial"/>
          <w:color w:val="000000" w:themeColor="text1"/>
          <w:sz w:val="22"/>
          <w:szCs w:val="22"/>
        </w:rPr>
      </w:pPr>
    </w:p>
    <w:p w14:paraId="5096ACD9" w14:textId="78637B43" w:rsidR="00C87D3B" w:rsidRPr="000A2030" w:rsidRDefault="00C87D3B" w:rsidP="00C76305">
      <w:pPr>
        <w:spacing w:line="360" w:lineRule="auto"/>
        <w:ind w:right="100"/>
        <w:jc w:val="both"/>
        <w:rPr>
          <w:rFonts w:ascii="Arial" w:hAnsi="Arial" w:cs="Arial"/>
          <w:b/>
          <w:bCs/>
          <w:sz w:val="28"/>
          <w:szCs w:val="28"/>
        </w:rPr>
      </w:pPr>
      <w:r w:rsidRPr="000A2030">
        <w:rPr>
          <w:rFonts w:ascii="Arial" w:hAnsi="Arial" w:cs="Arial"/>
          <w:b/>
          <w:bCs/>
          <w:sz w:val="28"/>
          <w:szCs w:val="28"/>
        </w:rPr>
        <w:t>Risks Factors:</w:t>
      </w:r>
    </w:p>
    <w:p w14:paraId="0E801697" w14:textId="592BFD67" w:rsidR="004E64E7" w:rsidRPr="00E33DC4" w:rsidRDefault="004E64E7" w:rsidP="00231BE0">
      <w:pPr>
        <w:spacing w:line="360" w:lineRule="auto"/>
        <w:ind w:right="100"/>
        <w:jc w:val="both"/>
        <w:rPr>
          <w:rFonts w:ascii="Arial" w:hAnsi="Arial" w:cs="Arial"/>
          <w:color w:val="000000" w:themeColor="text1"/>
          <w:sz w:val="22"/>
          <w:szCs w:val="22"/>
        </w:rPr>
      </w:pPr>
      <w:r w:rsidRPr="00E33DC4">
        <w:rPr>
          <w:rFonts w:ascii="Arial" w:hAnsi="Arial" w:cs="Arial"/>
          <w:b/>
          <w:bCs/>
          <w:color w:val="000000" w:themeColor="text1"/>
          <w:sz w:val="22"/>
          <w:szCs w:val="22"/>
        </w:rPr>
        <w:t>Non-modifiable risk factors</w:t>
      </w:r>
      <w:r w:rsidR="00231BE0" w:rsidRPr="00E33DC4">
        <w:rPr>
          <w:rFonts w:ascii="Arial" w:hAnsi="Arial" w:cs="Arial"/>
          <w:b/>
          <w:bCs/>
          <w:color w:val="000000" w:themeColor="text1"/>
          <w:sz w:val="22"/>
          <w:szCs w:val="22"/>
        </w:rPr>
        <w:t xml:space="preserve"> </w:t>
      </w:r>
      <w:r w:rsidR="001B23D6" w:rsidRPr="00E33DC4">
        <w:rPr>
          <w:rFonts w:ascii="Arial" w:hAnsi="Arial" w:cs="Arial"/>
          <w:color w:val="000000" w:themeColor="text1"/>
          <w:sz w:val="22"/>
          <w:szCs w:val="22"/>
        </w:rPr>
        <w:t>are</w:t>
      </w:r>
      <w:r w:rsidR="00560F9F" w:rsidRPr="00E33DC4">
        <w:rPr>
          <w:rFonts w:ascii="Arial" w:hAnsi="Arial" w:cs="Arial"/>
          <w:color w:val="000000" w:themeColor="text1"/>
          <w:sz w:val="22"/>
          <w:szCs w:val="22"/>
        </w:rPr>
        <w:t xml:space="preserve"> increasing</w:t>
      </w:r>
      <w:r w:rsidRPr="00E33DC4">
        <w:rPr>
          <w:rFonts w:ascii="Arial" w:hAnsi="Arial" w:cs="Arial"/>
          <w:color w:val="000000" w:themeColor="text1"/>
          <w:sz w:val="22"/>
          <w:szCs w:val="22"/>
        </w:rPr>
        <w:t xml:space="preserve"> age</w:t>
      </w:r>
      <w:r w:rsidR="00F10E73" w:rsidRPr="00E33DC4">
        <w:rPr>
          <w:rFonts w:ascii="Arial" w:hAnsi="Arial" w:cs="Arial"/>
          <w:color w:val="000000" w:themeColor="text1"/>
          <w:sz w:val="22"/>
          <w:szCs w:val="22"/>
        </w:rPr>
        <w:t xml:space="preserve"> </w:t>
      </w:r>
      <w:r w:rsidR="006E0EF9" w:rsidRPr="00E33DC4">
        <w:rPr>
          <w:rFonts w:ascii="Arial" w:hAnsi="Arial" w:cs="Arial"/>
          <w:color w:val="000000" w:themeColor="text1"/>
          <w:sz w:val="22"/>
          <w:szCs w:val="22"/>
        </w:rPr>
        <w:t>and genetic</w:t>
      </w:r>
      <w:r w:rsidRPr="00E33DC4">
        <w:rPr>
          <w:rFonts w:ascii="Arial" w:hAnsi="Arial" w:cs="Arial"/>
          <w:color w:val="000000" w:themeColor="text1"/>
          <w:sz w:val="22"/>
          <w:szCs w:val="22"/>
        </w:rPr>
        <w:t xml:space="preserve"> predisposition</w:t>
      </w:r>
      <w:r w:rsidR="00D13C7C" w:rsidRPr="00E33DC4">
        <w:rPr>
          <w:rFonts w:ascii="Arial" w:hAnsi="Arial" w:cs="Arial"/>
          <w:color w:val="000000" w:themeColor="text1"/>
          <w:sz w:val="22"/>
          <w:szCs w:val="22"/>
        </w:rPr>
        <w:t>: Alzheimer's</w:t>
      </w:r>
      <w:r w:rsidR="006E0EF9" w:rsidRPr="00E33DC4">
        <w:rPr>
          <w:rFonts w:ascii="Arial" w:hAnsi="Arial" w:cs="Arial"/>
          <w:color w:val="000000" w:themeColor="text1"/>
          <w:sz w:val="22"/>
          <w:szCs w:val="22"/>
        </w:rPr>
        <w:t xml:space="preserve"> disease</w:t>
      </w:r>
      <w:r w:rsidR="00F10E73"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Family history</w:t>
      </w:r>
      <w:r w:rsidR="00922F4E" w:rsidRPr="00E33DC4">
        <w:rPr>
          <w:rFonts w:ascii="Arial" w:hAnsi="Arial" w:cs="Arial"/>
          <w:color w:val="000000" w:themeColor="text1"/>
          <w:sz w:val="22"/>
          <w:szCs w:val="22"/>
        </w:rPr>
        <w:t xml:space="preserve">, </w:t>
      </w:r>
      <w:r w:rsidR="00560F9F" w:rsidRPr="00E33DC4">
        <w:rPr>
          <w:rFonts w:ascii="Arial" w:hAnsi="Arial" w:cs="Arial"/>
          <w:color w:val="000000" w:themeColor="text1"/>
          <w:sz w:val="22"/>
          <w:szCs w:val="22"/>
        </w:rPr>
        <w:t xml:space="preserve">and </w:t>
      </w:r>
      <w:r w:rsidRPr="00E33DC4">
        <w:rPr>
          <w:rFonts w:ascii="Arial" w:hAnsi="Arial" w:cs="Arial"/>
          <w:color w:val="000000" w:themeColor="text1"/>
          <w:sz w:val="22"/>
          <w:szCs w:val="22"/>
        </w:rPr>
        <w:t>Down syndrome</w:t>
      </w:r>
      <w:r w:rsidR="00922F4E"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Age remains the strongest predictor of dementia, with prevalence increasing significantly after 65 years (NICE, 2018).</w:t>
      </w:r>
    </w:p>
    <w:p w14:paraId="7E0D42ED" w14:textId="77777777" w:rsidR="00DF4FE5" w:rsidRPr="00E33DC4" w:rsidRDefault="00DF4FE5" w:rsidP="00C76305">
      <w:pPr>
        <w:spacing w:line="360" w:lineRule="auto"/>
        <w:ind w:right="100"/>
        <w:jc w:val="both"/>
        <w:rPr>
          <w:rFonts w:ascii="Arial" w:hAnsi="Arial" w:cs="Arial"/>
          <w:b/>
          <w:bCs/>
          <w:color w:val="000000" w:themeColor="text1"/>
          <w:sz w:val="22"/>
          <w:szCs w:val="22"/>
        </w:rPr>
      </w:pPr>
    </w:p>
    <w:p w14:paraId="1DA95281" w14:textId="3E0CEF70" w:rsidR="004E64E7" w:rsidRPr="00E33DC4" w:rsidRDefault="004E64E7" w:rsidP="00231BE0">
      <w:pPr>
        <w:spacing w:line="360" w:lineRule="auto"/>
        <w:ind w:right="100"/>
        <w:jc w:val="both"/>
        <w:rPr>
          <w:rFonts w:ascii="Arial" w:hAnsi="Arial" w:cs="Arial"/>
          <w:b/>
          <w:bCs/>
          <w:color w:val="000000" w:themeColor="text1"/>
          <w:sz w:val="22"/>
          <w:szCs w:val="22"/>
        </w:rPr>
      </w:pPr>
      <w:r w:rsidRPr="00E33DC4">
        <w:rPr>
          <w:rFonts w:ascii="Arial" w:hAnsi="Arial" w:cs="Arial"/>
          <w:b/>
          <w:bCs/>
          <w:color w:val="000000" w:themeColor="text1"/>
          <w:sz w:val="22"/>
          <w:szCs w:val="22"/>
        </w:rPr>
        <w:t>Modifiable risk factors</w:t>
      </w:r>
      <w:r w:rsidR="00560F9F" w:rsidRPr="00E33DC4">
        <w:rPr>
          <w:rFonts w:ascii="Arial" w:hAnsi="Arial" w:cs="Arial"/>
          <w:color w:val="000000" w:themeColor="text1"/>
          <w:sz w:val="22"/>
          <w:szCs w:val="22"/>
        </w:rPr>
        <w:t xml:space="preserve"> are </w:t>
      </w:r>
      <w:r w:rsidRPr="00E33DC4">
        <w:rPr>
          <w:rFonts w:ascii="Arial" w:hAnsi="Arial" w:cs="Arial"/>
          <w:color w:val="000000" w:themeColor="text1"/>
          <w:sz w:val="22"/>
          <w:szCs w:val="22"/>
        </w:rPr>
        <w:t>Hypertension</w:t>
      </w:r>
      <w:r w:rsidR="00791958"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Diabetes mellitus</w:t>
      </w:r>
      <w:r w:rsidR="00791958"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Cardiovascular disease</w:t>
      </w:r>
      <w:r w:rsidR="001D19A0"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Obesity</w:t>
      </w:r>
      <w:r w:rsidR="001D19A0"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Smoking</w:t>
      </w:r>
      <w:r w:rsidR="001D19A0"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Physical</w:t>
      </w:r>
      <w:r w:rsidR="001D19A0"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inactivity</w:t>
      </w:r>
      <w:r w:rsidR="003A37E0"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Excessive alcohol consumption</w:t>
      </w:r>
      <w:r w:rsidR="003A37E0"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Hearing loss</w:t>
      </w:r>
      <w:r w:rsidR="003A37E0"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Depression</w:t>
      </w:r>
      <w:r w:rsidR="005A03EE" w:rsidRPr="00E33DC4">
        <w:rPr>
          <w:rFonts w:ascii="Arial" w:hAnsi="Arial" w:cs="Arial"/>
          <w:color w:val="000000" w:themeColor="text1"/>
          <w:sz w:val="22"/>
          <w:szCs w:val="22"/>
        </w:rPr>
        <w:t xml:space="preserve">, </w:t>
      </w:r>
      <w:r w:rsidRPr="00E33DC4">
        <w:rPr>
          <w:rFonts w:ascii="Arial" w:hAnsi="Arial" w:cs="Arial"/>
          <w:color w:val="000000" w:themeColor="text1"/>
          <w:sz w:val="22"/>
          <w:szCs w:val="22"/>
        </w:rPr>
        <w:t>Air pollution</w:t>
      </w:r>
      <w:r w:rsidR="005A03EE" w:rsidRPr="00E33DC4">
        <w:rPr>
          <w:rFonts w:ascii="Arial" w:hAnsi="Arial" w:cs="Arial"/>
          <w:color w:val="000000" w:themeColor="text1"/>
          <w:sz w:val="22"/>
          <w:szCs w:val="22"/>
        </w:rPr>
        <w:t xml:space="preserve">, </w:t>
      </w:r>
      <w:r w:rsidR="007F2A38" w:rsidRPr="00E33DC4">
        <w:rPr>
          <w:rFonts w:ascii="Arial" w:hAnsi="Arial" w:cs="Arial"/>
          <w:color w:val="000000" w:themeColor="text1"/>
          <w:sz w:val="22"/>
          <w:szCs w:val="22"/>
        </w:rPr>
        <w:t>social</w:t>
      </w:r>
      <w:r w:rsidRPr="00E33DC4">
        <w:rPr>
          <w:rFonts w:ascii="Arial" w:hAnsi="Arial" w:cs="Arial"/>
          <w:color w:val="000000" w:themeColor="text1"/>
          <w:sz w:val="22"/>
          <w:szCs w:val="22"/>
        </w:rPr>
        <w:t xml:space="preserve"> isolation</w:t>
      </w:r>
      <w:r w:rsidR="00F10E73"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w:t>
      </w:r>
      <w:r w:rsidR="005A03EE" w:rsidRPr="00E33DC4">
        <w:rPr>
          <w:rFonts w:ascii="Arial" w:hAnsi="Arial" w:cs="Arial"/>
          <w:color w:val="000000" w:themeColor="text1"/>
          <w:sz w:val="22"/>
          <w:szCs w:val="22"/>
        </w:rPr>
        <w:t xml:space="preserve">and </w:t>
      </w:r>
      <w:r w:rsidRPr="00E33DC4">
        <w:rPr>
          <w:rFonts w:ascii="Arial" w:hAnsi="Arial" w:cs="Arial"/>
          <w:color w:val="000000" w:themeColor="text1"/>
          <w:sz w:val="22"/>
          <w:szCs w:val="22"/>
        </w:rPr>
        <w:t>Low educational attainment</w:t>
      </w:r>
      <w:r w:rsidR="001A5923" w:rsidRPr="00E33DC4">
        <w:rPr>
          <w:rFonts w:ascii="Arial" w:hAnsi="Arial" w:cs="Arial"/>
          <w:color w:val="000000" w:themeColor="text1"/>
          <w:sz w:val="22"/>
          <w:szCs w:val="22"/>
        </w:rPr>
        <w:t>.</w:t>
      </w:r>
    </w:p>
    <w:p w14:paraId="75BB0521" w14:textId="77777777" w:rsidR="00B36ED2" w:rsidRPr="00E33DC4" w:rsidRDefault="00B36ED2" w:rsidP="00C76305">
      <w:pPr>
        <w:spacing w:line="360" w:lineRule="auto"/>
        <w:ind w:right="100"/>
        <w:jc w:val="both"/>
        <w:rPr>
          <w:rFonts w:ascii="Arial" w:hAnsi="Arial" w:cs="Arial"/>
          <w:color w:val="000000" w:themeColor="text1"/>
          <w:sz w:val="22"/>
          <w:szCs w:val="22"/>
        </w:rPr>
      </w:pPr>
    </w:p>
    <w:p w14:paraId="11EA499F" w14:textId="15D57327" w:rsidR="006B494C" w:rsidRPr="000A2030" w:rsidRDefault="006B494C" w:rsidP="00C76305">
      <w:pPr>
        <w:spacing w:line="360" w:lineRule="auto"/>
        <w:ind w:right="100"/>
        <w:jc w:val="both"/>
        <w:rPr>
          <w:rFonts w:ascii="Arial" w:hAnsi="Arial" w:cs="Arial"/>
          <w:b/>
          <w:bCs/>
          <w:color w:val="000000" w:themeColor="text1"/>
          <w:sz w:val="28"/>
          <w:szCs w:val="28"/>
        </w:rPr>
      </w:pPr>
      <w:r w:rsidRPr="000A2030">
        <w:rPr>
          <w:rFonts w:ascii="Arial" w:hAnsi="Arial" w:cs="Arial"/>
          <w:b/>
          <w:bCs/>
          <w:color w:val="000000" w:themeColor="text1"/>
          <w:sz w:val="28"/>
          <w:szCs w:val="28"/>
        </w:rPr>
        <w:t>Health Needs Assessment</w:t>
      </w:r>
      <w:r w:rsidR="006D06F5" w:rsidRPr="000A2030">
        <w:rPr>
          <w:rFonts w:ascii="Arial" w:hAnsi="Arial" w:cs="Arial"/>
          <w:b/>
          <w:bCs/>
          <w:color w:val="000000" w:themeColor="text1"/>
          <w:sz w:val="28"/>
          <w:szCs w:val="28"/>
        </w:rPr>
        <w:t>.</w:t>
      </w:r>
    </w:p>
    <w:p w14:paraId="7A0FE35B" w14:textId="00368E54" w:rsidR="001D7342" w:rsidRPr="00E33DC4" w:rsidRDefault="001D7342"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A health needs assessment identifies the health requirements of a population and informs service planning using epidemiological evidence (NICE, 2022). For older adults aged 65 years and over in </w:t>
      </w:r>
      <w:r w:rsidR="00756089" w:rsidRPr="00E33DC4">
        <w:rPr>
          <w:rFonts w:ascii="Arial" w:hAnsi="Arial" w:cs="Arial"/>
          <w:color w:val="000000" w:themeColor="text1"/>
          <w:sz w:val="22"/>
          <w:szCs w:val="22"/>
        </w:rPr>
        <w:t>England</w:t>
      </w:r>
      <w:r w:rsidRPr="00E33DC4">
        <w:rPr>
          <w:rFonts w:ascii="Arial" w:hAnsi="Arial" w:cs="Arial"/>
          <w:color w:val="000000" w:themeColor="text1"/>
          <w:sz w:val="22"/>
          <w:szCs w:val="22"/>
        </w:rPr>
        <w:t>, dementia needs are assessed using demographic data, disease prevalence, healthcare utilisation and socioeconomic indicators.</w:t>
      </w:r>
      <w:r w:rsidR="00D52366" w:rsidRPr="00E33DC4">
        <w:rPr>
          <w:rFonts w:ascii="Arial" w:hAnsi="Arial" w:cs="Arial"/>
          <w:color w:val="000000" w:themeColor="text1"/>
          <w:sz w:val="22"/>
          <w:szCs w:val="22"/>
        </w:rPr>
        <w:t xml:space="preserve"> </w:t>
      </w:r>
      <w:r w:rsidR="005B72A7" w:rsidRPr="00E33DC4">
        <w:rPr>
          <w:rFonts w:ascii="Arial" w:hAnsi="Arial" w:cs="Arial"/>
          <w:color w:val="000000" w:themeColor="text1"/>
          <w:sz w:val="22"/>
          <w:szCs w:val="22"/>
        </w:rPr>
        <w:t>In addition</w:t>
      </w:r>
      <w:r w:rsidR="00046D48" w:rsidRPr="00E33DC4">
        <w:rPr>
          <w:rFonts w:ascii="Arial" w:hAnsi="Arial" w:cs="Arial"/>
          <w:color w:val="000000" w:themeColor="text1"/>
          <w:sz w:val="22"/>
          <w:szCs w:val="22"/>
        </w:rPr>
        <w:t xml:space="preserve">, </w:t>
      </w:r>
      <w:r w:rsidR="00776DDB" w:rsidRPr="00E33DC4">
        <w:rPr>
          <w:rFonts w:ascii="Arial" w:hAnsi="Arial" w:cs="Arial"/>
          <w:color w:val="000000" w:themeColor="text1"/>
          <w:sz w:val="22"/>
          <w:szCs w:val="22"/>
        </w:rPr>
        <w:t>epidemiological evidence can be used to identify populations at higher risk, such as older adults with diabetes, hypertension, cardiovascular disease, hearing loss, physical inactivity, and socioeconomic disadvantage.</w:t>
      </w:r>
      <w:r w:rsidR="00CF4833" w:rsidRPr="00E33DC4">
        <w:rPr>
          <w:rFonts w:ascii="Arial" w:hAnsi="Arial" w:cs="Arial"/>
          <w:color w:val="000000" w:themeColor="text1"/>
          <w:sz w:val="22"/>
          <w:szCs w:val="22"/>
        </w:rPr>
        <w:t xml:space="preserve"> </w:t>
      </w:r>
      <w:r w:rsidR="005B72A7" w:rsidRPr="00E33DC4">
        <w:rPr>
          <w:rFonts w:ascii="Arial" w:hAnsi="Arial" w:cs="Arial"/>
          <w:color w:val="000000" w:themeColor="text1"/>
          <w:sz w:val="22"/>
          <w:szCs w:val="22"/>
        </w:rPr>
        <w:t>Monitoring</w:t>
      </w:r>
      <w:r w:rsidRPr="00E33DC4">
        <w:rPr>
          <w:rFonts w:ascii="Arial" w:hAnsi="Arial" w:cs="Arial"/>
          <w:color w:val="000000" w:themeColor="text1"/>
          <w:sz w:val="22"/>
          <w:szCs w:val="22"/>
        </w:rPr>
        <w:t xml:space="preserve"> and surveillance rely on multiple data sources, including NHS England dementia diagnosis rates, GP Quality and Outcomes Framework (QOF) registers, Office for National Statistics mortality data and UK Biobank research. These systems enable public health professionals to monitor </w:t>
      </w:r>
      <w:r w:rsidR="0011244E" w:rsidRPr="00E33DC4">
        <w:rPr>
          <w:rFonts w:ascii="Arial" w:hAnsi="Arial" w:cs="Arial"/>
          <w:color w:val="000000" w:themeColor="text1"/>
          <w:sz w:val="22"/>
          <w:szCs w:val="22"/>
        </w:rPr>
        <w:t>and identif</w:t>
      </w:r>
      <w:r w:rsidR="00FF56AF" w:rsidRPr="00E33DC4">
        <w:rPr>
          <w:rFonts w:ascii="Arial" w:hAnsi="Arial" w:cs="Arial"/>
          <w:color w:val="000000" w:themeColor="text1"/>
          <w:sz w:val="22"/>
          <w:szCs w:val="22"/>
        </w:rPr>
        <w:t xml:space="preserve">y </w:t>
      </w:r>
      <w:r w:rsidRPr="00E33DC4">
        <w:rPr>
          <w:rFonts w:ascii="Arial" w:hAnsi="Arial" w:cs="Arial"/>
          <w:color w:val="000000" w:themeColor="text1"/>
          <w:sz w:val="22"/>
          <w:szCs w:val="22"/>
        </w:rPr>
        <w:t>disease trends, health inequalities, evaluate interventions and allocate resources effectively to improve dementia prevention, diagnosis and care.</w:t>
      </w:r>
    </w:p>
    <w:p w14:paraId="77688651" w14:textId="77777777" w:rsidR="001F7B25" w:rsidRPr="00E33DC4" w:rsidRDefault="001F7B25" w:rsidP="00C76305">
      <w:pPr>
        <w:spacing w:line="360" w:lineRule="auto"/>
        <w:ind w:right="100"/>
        <w:jc w:val="both"/>
        <w:rPr>
          <w:rFonts w:ascii="Arial" w:hAnsi="Arial" w:cs="Arial"/>
          <w:color w:val="000000" w:themeColor="text1"/>
          <w:sz w:val="22"/>
          <w:szCs w:val="22"/>
        </w:rPr>
      </w:pPr>
    </w:p>
    <w:p w14:paraId="1252CEC9" w14:textId="1384C989" w:rsidR="006B494C" w:rsidRPr="004936AE" w:rsidRDefault="006B494C" w:rsidP="00C76305">
      <w:pPr>
        <w:spacing w:line="360" w:lineRule="auto"/>
        <w:ind w:right="100"/>
        <w:jc w:val="both"/>
        <w:rPr>
          <w:rFonts w:ascii="Arial" w:hAnsi="Arial" w:cs="Arial"/>
          <w:b/>
          <w:bCs/>
          <w:color w:val="000000" w:themeColor="text1"/>
          <w:sz w:val="28"/>
          <w:szCs w:val="28"/>
        </w:rPr>
      </w:pPr>
      <w:r w:rsidRPr="004936AE">
        <w:rPr>
          <w:rFonts w:ascii="Arial" w:hAnsi="Arial" w:cs="Arial"/>
          <w:b/>
          <w:bCs/>
          <w:color w:val="000000" w:themeColor="text1"/>
          <w:sz w:val="28"/>
          <w:szCs w:val="28"/>
        </w:rPr>
        <w:t>Epidemiological Studies</w:t>
      </w:r>
      <w:r w:rsidR="00B77393" w:rsidRPr="004936AE">
        <w:rPr>
          <w:rFonts w:ascii="Arial" w:hAnsi="Arial" w:cs="Arial"/>
          <w:b/>
          <w:bCs/>
          <w:color w:val="000000" w:themeColor="text1"/>
          <w:sz w:val="28"/>
          <w:szCs w:val="28"/>
        </w:rPr>
        <w:t>.</w:t>
      </w:r>
    </w:p>
    <w:p w14:paraId="7C5F3190" w14:textId="30AD4588" w:rsidR="00E30B70" w:rsidRPr="00E33DC4" w:rsidRDefault="00E30B70" w:rsidP="00C76305">
      <w:pPr>
        <w:spacing w:line="360" w:lineRule="auto"/>
        <w:jc w:val="both"/>
        <w:rPr>
          <w:rFonts w:ascii="Arial" w:hAnsi="Arial" w:cs="Arial"/>
          <w:color w:val="000000" w:themeColor="text1"/>
          <w:sz w:val="22"/>
          <w:szCs w:val="22"/>
        </w:rPr>
      </w:pPr>
      <w:r w:rsidRPr="00E33DC4">
        <w:rPr>
          <w:rFonts w:ascii="Arial" w:hAnsi="Arial" w:cs="Arial"/>
          <w:color w:val="000000" w:themeColor="text1"/>
          <w:sz w:val="22"/>
          <w:szCs w:val="22"/>
        </w:rPr>
        <w:t xml:space="preserve">Epidemiological evidence supports public health planning by identifying older adults aged 65 years and over who are at greatest risk of dementia and informing the allocation of healthcare resources across </w:t>
      </w:r>
      <w:r w:rsidR="005D67B8" w:rsidRPr="00E33DC4">
        <w:rPr>
          <w:rFonts w:ascii="Arial" w:hAnsi="Arial" w:cs="Arial"/>
          <w:color w:val="000000" w:themeColor="text1"/>
          <w:sz w:val="22"/>
          <w:szCs w:val="22"/>
        </w:rPr>
        <w:t>England</w:t>
      </w:r>
      <w:r w:rsidRPr="00E33DC4">
        <w:rPr>
          <w:rFonts w:ascii="Arial" w:hAnsi="Arial" w:cs="Arial"/>
          <w:color w:val="000000" w:themeColor="text1"/>
          <w:sz w:val="22"/>
          <w:szCs w:val="22"/>
        </w:rPr>
        <w:t xml:space="preserve">. Prevalence, incidence and mortality data from NHS England, the Office for National Statistics (ONS) and the UK Biobank enable policymakers to </w:t>
      </w:r>
      <w:r w:rsidR="00975385" w:rsidRPr="00E33DC4">
        <w:rPr>
          <w:rFonts w:ascii="Arial" w:hAnsi="Arial" w:cs="Arial"/>
          <w:color w:val="000000" w:themeColor="text1"/>
          <w:sz w:val="22"/>
          <w:szCs w:val="22"/>
        </w:rPr>
        <w:t>estimate</w:t>
      </w:r>
      <w:r w:rsidRPr="00E33DC4">
        <w:rPr>
          <w:rFonts w:ascii="Arial" w:hAnsi="Arial" w:cs="Arial"/>
          <w:color w:val="000000" w:themeColor="text1"/>
          <w:sz w:val="22"/>
          <w:szCs w:val="22"/>
        </w:rPr>
        <w:t xml:space="preserve"> future demand for health and social care services. Dementia contributes substantially to the global burden of disease through disability, dependency and premature </w:t>
      </w:r>
      <w:r w:rsidRPr="00E33DC4">
        <w:rPr>
          <w:rFonts w:ascii="Arial" w:hAnsi="Arial" w:cs="Arial"/>
          <w:color w:val="000000" w:themeColor="text1"/>
          <w:sz w:val="22"/>
          <w:szCs w:val="22"/>
        </w:rPr>
        <w:lastRenderedPageBreak/>
        <w:t>mortality. This burden is measured using Disability-Adjusted Life Years (DALYs), which combine years of life lost due to premature death with years lived with disability (WHO, 2024). DALY estimates help prioritise prevention strategies, improve resource allocation and evaluate the effectiveness of public health interventions</w:t>
      </w:r>
      <w:r w:rsidR="000D7089" w:rsidRPr="00E33DC4">
        <w:rPr>
          <w:rFonts w:ascii="Arial" w:hAnsi="Arial" w:cs="Arial"/>
          <w:color w:val="000000" w:themeColor="text1"/>
          <w:sz w:val="22"/>
          <w:szCs w:val="22"/>
        </w:rPr>
        <w:t>.</w:t>
      </w:r>
    </w:p>
    <w:p w14:paraId="6E1E800E" w14:textId="44783094" w:rsidR="000A1FA1" w:rsidRDefault="000A1FA1" w:rsidP="00C76305">
      <w:pPr>
        <w:spacing w:line="360" w:lineRule="auto"/>
        <w:ind w:right="100"/>
        <w:jc w:val="both"/>
        <w:rPr>
          <w:rFonts w:ascii="Arial" w:hAnsi="Arial" w:cs="Arial"/>
          <w:color w:val="000000" w:themeColor="text1"/>
          <w:sz w:val="22"/>
          <w:szCs w:val="22"/>
        </w:rPr>
      </w:pPr>
    </w:p>
    <w:p w14:paraId="234378A7" w14:textId="0F5D8666" w:rsidR="000E289A" w:rsidRPr="00087047" w:rsidRDefault="000E289A" w:rsidP="000E289A">
      <w:pPr>
        <w:spacing w:line="360" w:lineRule="auto"/>
        <w:jc w:val="both"/>
        <w:rPr>
          <w:rFonts w:ascii="Arial" w:hAnsi="Arial" w:cs="Arial"/>
          <w:b/>
          <w:bCs/>
          <w:color w:val="000000" w:themeColor="text1"/>
          <w:sz w:val="28"/>
          <w:szCs w:val="28"/>
        </w:rPr>
      </w:pPr>
      <w:r w:rsidRPr="00087047">
        <w:rPr>
          <w:rFonts w:ascii="Arial" w:hAnsi="Arial" w:cs="Arial"/>
          <w:b/>
          <w:bCs/>
          <w:color w:val="000000" w:themeColor="text1"/>
          <w:sz w:val="28"/>
          <w:szCs w:val="28"/>
        </w:rPr>
        <w:t>Health Intervention Programme, Evaluation, Expected Outcomes, Monitoring and Surveillance</w:t>
      </w:r>
      <w:r w:rsidR="00693E68">
        <w:rPr>
          <w:rFonts w:ascii="Arial" w:hAnsi="Arial" w:cs="Arial"/>
          <w:b/>
          <w:bCs/>
          <w:color w:val="000000" w:themeColor="text1"/>
          <w:sz w:val="28"/>
          <w:szCs w:val="28"/>
        </w:rPr>
        <w:t>:</w:t>
      </w:r>
    </w:p>
    <w:p w14:paraId="751A07F9" w14:textId="36795C46" w:rsidR="00AA6F26" w:rsidRPr="00A74A85" w:rsidRDefault="00AA6F26" w:rsidP="00AA6F26">
      <w:pPr>
        <w:spacing w:line="360" w:lineRule="auto"/>
        <w:jc w:val="both"/>
        <w:rPr>
          <w:color w:val="000000" w:themeColor="text1"/>
          <w:sz w:val="22"/>
          <w:szCs w:val="22"/>
        </w:rPr>
      </w:pPr>
      <w:r w:rsidRPr="00A74A85">
        <w:rPr>
          <w:rFonts w:ascii="Arial" w:hAnsi="Arial" w:cs="Arial"/>
          <w:color w:val="000000" w:themeColor="text1"/>
          <w:sz w:val="22"/>
          <w:szCs w:val="22"/>
        </w:rPr>
        <w:t xml:space="preserve">An effective health intervention programme for adults aged 65 years and over should combine health education, dementia risk reduction, early diagnosis and person-centred care. The programme should promote physical activity, healthy eating, cognitive stimulation, social engagement and management of cardiovascular risk factors through primary care and community services, consistent with NICE (2018) guidance. Effectiveness should be evaluated using dementia diagnosis rates, hospital admissions, quality of life, patient satisfaction, independence and service use. Expected outcomes include earlier diagnosis, improved access to care, reduced health inequalities, enhanced independence and </w:t>
      </w:r>
      <w:r w:rsidR="00206236" w:rsidRPr="00A74A85">
        <w:rPr>
          <w:rFonts w:ascii="Arial" w:hAnsi="Arial" w:cs="Arial"/>
          <w:color w:val="000000" w:themeColor="text1"/>
          <w:sz w:val="22"/>
          <w:szCs w:val="22"/>
        </w:rPr>
        <w:t>well-being, and reduced long-term pressure on health and social care</w:t>
      </w:r>
      <w:r w:rsidRPr="00A74A85">
        <w:rPr>
          <w:rFonts w:ascii="Arial" w:hAnsi="Arial" w:cs="Arial"/>
          <w:color w:val="000000" w:themeColor="text1"/>
          <w:sz w:val="22"/>
          <w:szCs w:val="22"/>
        </w:rPr>
        <w:t xml:space="preserve"> services. Continuous epidemiological monitoring is essential for evaluating these outcomes. NHS England dementia diagnosis data monitor diagnosis trends and service demand, while Quality and Outcomes Framework (QOF) data provide information on primary care dementia registers. ONS mortality data identify changes in dementia-related deaths; in 2024, dementia and Alzheimer’s disease were the leading recorded causes of death in England and Wales, accounting for 68,273 deaths (12.1%) (ONS, 2025). Hospital Episode Statistics (HES) monitor hospital activity, while </w:t>
      </w:r>
      <w:r w:rsidR="008D68BB" w:rsidRPr="00A74A85">
        <w:rPr>
          <w:rFonts w:ascii="Arial" w:hAnsi="Arial" w:cs="Arial"/>
          <w:color w:val="000000" w:themeColor="text1"/>
          <w:sz w:val="22"/>
          <w:szCs w:val="22"/>
        </w:rPr>
        <w:t xml:space="preserve">the </w:t>
      </w:r>
      <w:r w:rsidRPr="00A74A85">
        <w:rPr>
          <w:rFonts w:ascii="Arial" w:hAnsi="Arial" w:cs="Arial"/>
          <w:color w:val="000000" w:themeColor="text1"/>
          <w:sz w:val="22"/>
          <w:szCs w:val="22"/>
        </w:rPr>
        <w:t>UK Biobank provides longitudinal evidence on dementia risk factors (Sudlow et al., 2015). Together, these systems support trend analysis, inequality monitoring, service planning and intervention evaluation (NICE, 2022).</w:t>
      </w:r>
    </w:p>
    <w:p w14:paraId="76C20073" w14:textId="77777777" w:rsidR="008E7EB3" w:rsidRDefault="008E7EB3" w:rsidP="00740ABB">
      <w:pPr>
        <w:spacing w:line="360" w:lineRule="auto"/>
        <w:jc w:val="both"/>
        <w:rPr>
          <w:rFonts w:ascii="Arial" w:hAnsi="Arial" w:cs="Arial"/>
          <w:color w:val="000000" w:themeColor="text1"/>
          <w:sz w:val="22"/>
          <w:szCs w:val="22"/>
        </w:rPr>
      </w:pPr>
    </w:p>
    <w:p w14:paraId="2C9BC5AD" w14:textId="38AD0B20" w:rsidR="00954066" w:rsidRPr="00F60B83" w:rsidRDefault="008772CE" w:rsidP="003542B1">
      <w:pPr>
        <w:spacing w:after="120" w:line="360" w:lineRule="auto"/>
        <w:jc w:val="both"/>
        <w:rPr>
          <w:rFonts w:ascii="Arial" w:hAnsi="Arial" w:cs="Arial"/>
          <w:color w:val="000000" w:themeColor="text1"/>
          <w:sz w:val="28"/>
          <w:szCs w:val="28"/>
        </w:rPr>
      </w:pPr>
      <w:r w:rsidRPr="00F60B83">
        <w:rPr>
          <w:rFonts w:ascii="Arial" w:hAnsi="Arial" w:cs="Arial"/>
          <w:b/>
          <w:bCs/>
          <w:color w:val="000000" w:themeColor="text1"/>
          <w:sz w:val="28"/>
          <w:szCs w:val="28"/>
        </w:rPr>
        <w:t>Public</w:t>
      </w:r>
      <w:r w:rsidR="00954066" w:rsidRPr="00F60B83">
        <w:rPr>
          <w:rFonts w:ascii="Arial" w:hAnsi="Arial" w:cs="Arial"/>
          <w:b/>
          <w:bCs/>
          <w:color w:val="000000" w:themeColor="text1"/>
          <w:sz w:val="28"/>
          <w:szCs w:val="28"/>
        </w:rPr>
        <w:t xml:space="preserve"> health impact/short- and long-term consequences</w:t>
      </w:r>
      <w:r w:rsidRPr="00F60B83">
        <w:rPr>
          <w:rFonts w:ascii="Arial" w:hAnsi="Arial" w:cs="Arial"/>
          <w:b/>
          <w:bCs/>
          <w:color w:val="000000" w:themeColor="text1"/>
          <w:sz w:val="28"/>
          <w:szCs w:val="28"/>
        </w:rPr>
        <w:t xml:space="preserve"> </w:t>
      </w:r>
    </w:p>
    <w:p w14:paraId="46D6262E" w14:textId="6A2C0546" w:rsidR="008E7EB3" w:rsidRDefault="005751CE" w:rsidP="003542B1">
      <w:pPr>
        <w:spacing w:after="120" w:line="360" w:lineRule="auto"/>
        <w:jc w:val="both"/>
        <w:rPr>
          <w:rFonts w:ascii="Arial" w:hAnsi="Arial" w:cs="Arial"/>
          <w:color w:val="000000" w:themeColor="text1"/>
          <w:sz w:val="22"/>
          <w:szCs w:val="22"/>
        </w:rPr>
      </w:pPr>
      <w:r>
        <w:rPr>
          <w:rFonts w:ascii="Arial" w:hAnsi="Arial" w:cs="Arial"/>
          <w:color w:val="000000" w:themeColor="text1"/>
          <w:sz w:val="22"/>
          <w:szCs w:val="22"/>
        </w:rPr>
        <w:t>(</w:t>
      </w:r>
      <w:r w:rsidR="00526D27" w:rsidRPr="00526D27">
        <w:rPr>
          <w:rFonts w:ascii="Arial" w:hAnsi="Arial" w:cs="Arial"/>
          <w:color w:val="000000" w:themeColor="text1"/>
          <w:sz w:val="22"/>
          <w:szCs w:val="22"/>
        </w:rPr>
        <w:t>Tang</w:t>
      </w:r>
      <w:r w:rsidR="00526D27">
        <w:rPr>
          <w:rFonts w:ascii="Arial" w:hAnsi="Arial" w:cs="Arial"/>
          <w:color w:val="000000" w:themeColor="text1"/>
          <w:sz w:val="22"/>
          <w:szCs w:val="22"/>
        </w:rPr>
        <w:t xml:space="preserve"> </w:t>
      </w:r>
      <w:r w:rsidR="00526D27" w:rsidRPr="00526D27">
        <w:rPr>
          <w:rFonts w:ascii="Arial" w:hAnsi="Arial" w:cs="Arial"/>
          <w:i/>
          <w:iCs/>
          <w:color w:val="000000" w:themeColor="text1"/>
          <w:sz w:val="22"/>
          <w:szCs w:val="22"/>
        </w:rPr>
        <w:t>et al.</w:t>
      </w:r>
      <w:r w:rsidR="00526D27">
        <w:rPr>
          <w:rFonts w:ascii="Arial" w:hAnsi="Arial" w:cs="Arial"/>
          <w:color w:val="000000" w:themeColor="text1"/>
          <w:sz w:val="22"/>
          <w:szCs w:val="22"/>
        </w:rPr>
        <w:t xml:space="preserve">, </w:t>
      </w:r>
      <w:r w:rsidR="00526D27" w:rsidRPr="00526D27">
        <w:rPr>
          <w:rFonts w:ascii="Arial" w:hAnsi="Arial" w:cs="Arial"/>
          <w:color w:val="000000" w:themeColor="text1"/>
          <w:sz w:val="22"/>
          <w:szCs w:val="22"/>
        </w:rPr>
        <w:t>2025)</w:t>
      </w:r>
      <w:r>
        <w:rPr>
          <w:rFonts w:ascii="Arial" w:hAnsi="Arial" w:cs="Arial"/>
          <w:color w:val="000000" w:themeColor="text1"/>
          <w:sz w:val="22"/>
          <w:szCs w:val="22"/>
        </w:rPr>
        <w:t>.</w:t>
      </w:r>
    </w:p>
    <w:tbl>
      <w:tblPr>
        <w:tblStyle w:val="TableGrid"/>
        <w:tblW w:w="0" w:type="auto"/>
        <w:tblLook w:val="04A0" w:firstRow="1" w:lastRow="0" w:firstColumn="1" w:lastColumn="0" w:noHBand="0" w:noVBand="1"/>
      </w:tblPr>
      <w:tblGrid>
        <w:gridCol w:w="4361"/>
        <w:gridCol w:w="4881"/>
      </w:tblGrid>
      <w:tr w:rsidR="00B33D73" w:rsidRPr="008E1B58" w14:paraId="5EC9ECD2" w14:textId="77777777" w:rsidTr="00A0202E">
        <w:tc>
          <w:tcPr>
            <w:tcW w:w="4361" w:type="dxa"/>
          </w:tcPr>
          <w:p w14:paraId="48480A49" w14:textId="053042F6" w:rsidR="00B33D73" w:rsidRPr="008E1B58" w:rsidRDefault="002E0C6C" w:rsidP="003542B1">
            <w:pPr>
              <w:spacing w:after="120" w:line="360" w:lineRule="auto"/>
              <w:jc w:val="center"/>
              <w:rPr>
                <w:rFonts w:ascii="Arial" w:hAnsi="Arial" w:cs="Arial"/>
                <w:b/>
                <w:bCs/>
                <w:color w:val="000000" w:themeColor="text1"/>
                <w:sz w:val="24"/>
                <w:szCs w:val="24"/>
              </w:rPr>
            </w:pPr>
            <w:r w:rsidRPr="008E1B58">
              <w:rPr>
                <w:rFonts w:ascii="Arial" w:hAnsi="Arial" w:cs="Arial"/>
                <w:b/>
                <w:bCs/>
                <w:color w:val="000000" w:themeColor="text1"/>
                <w:sz w:val="24"/>
                <w:szCs w:val="24"/>
              </w:rPr>
              <w:t>Short term Impact</w:t>
            </w:r>
          </w:p>
        </w:tc>
        <w:tc>
          <w:tcPr>
            <w:tcW w:w="4881" w:type="dxa"/>
          </w:tcPr>
          <w:p w14:paraId="0EBF5FC6" w14:textId="4771A60F" w:rsidR="00B33D73" w:rsidRPr="008E1B58" w:rsidRDefault="002E0C6C" w:rsidP="003542B1">
            <w:pPr>
              <w:spacing w:after="120" w:line="360" w:lineRule="auto"/>
              <w:jc w:val="center"/>
              <w:rPr>
                <w:rFonts w:ascii="Arial" w:hAnsi="Arial" w:cs="Arial"/>
                <w:b/>
                <w:bCs/>
                <w:color w:val="000000" w:themeColor="text1"/>
                <w:sz w:val="24"/>
                <w:szCs w:val="24"/>
              </w:rPr>
            </w:pPr>
            <w:r w:rsidRPr="008E1B58">
              <w:rPr>
                <w:rFonts w:ascii="Arial" w:hAnsi="Arial" w:cs="Arial"/>
                <w:b/>
                <w:bCs/>
                <w:color w:val="000000" w:themeColor="text1"/>
                <w:sz w:val="24"/>
                <w:szCs w:val="24"/>
              </w:rPr>
              <w:t>Long-term impact</w:t>
            </w:r>
          </w:p>
        </w:tc>
      </w:tr>
      <w:tr w:rsidR="00B33D73" w14:paraId="2F2773D1" w14:textId="77777777" w:rsidTr="00A0202E">
        <w:tc>
          <w:tcPr>
            <w:tcW w:w="4361" w:type="dxa"/>
          </w:tcPr>
          <w:p w14:paraId="038F0F7B" w14:textId="701913C0" w:rsidR="00B33D73" w:rsidRDefault="00BF1B39" w:rsidP="003542B1">
            <w:pPr>
              <w:spacing w:after="120" w:line="360" w:lineRule="auto"/>
              <w:jc w:val="both"/>
              <w:rPr>
                <w:rFonts w:ascii="Arial" w:hAnsi="Arial" w:cs="Arial"/>
                <w:color w:val="000000" w:themeColor="text1"/>
                <w:sz w:val="22"/>
                <w:szCs w:val="22"/>
              </w:rPr>
            </w:pPr>
            <w:r w:rsidRPr="00BF1B39">
              <w:rPr>
                <w:rFonts w:ascii="Arial" w:hAnsi="Arial" w:cs="Arial"/>
                <w:color w:val="000000" w:themeColor="text1"/>
                <w:sz w:val="22"/>
                <w:szCs w:val="22"/>
              </w:rPr>
              <w:t>Memory loss</w:t>
            </w:r>
            <w:r w:rsidR="00802F6A">
              <w:rPr>
                <w:rFonts w:ascii="Arial" w:hAnsi="Arial" w:cs="Arial"/>
                <w:color w:val="000000" w:themeColor="text1"/>
                <w:sz w:val="22"/>
                <w:szCs w:val="22"/>
              </w:rPr>
              <w:t>,</w:t>
            </w:r>
            <w:r w:rsidRPr="00BF1B39">
              <w:rPr>
                <w:rFonts w:ascii="Arial" w:hAnsi="Arial" w:cs="Arial"/>
                <w:color w:val="000000" w:themeColor="text1"/>
                <w:sz w:val="22"/>
                <w:szCs w:val="22"/>
              </w:rPr>
              <w:t xml:space="preserve"> confusion</w:t>
            </w:r>
            <w:r w:rsidR="00802F6A">
              <w:rPr>
                <w:rFonts w:ascii="Arial" w:hAnsi="Arial" w:cs="Arial"/>
                <w:color w:val="000000" w:themeColor="text1"/>
                <w:sz w:val="22"/>
                <w:szCs w:val="22"/>
              </w:rPr>
              <w:t xml:space="preserve"> and falls</w:t>
            </w:r>
          </w:p>
        </w:tc>
        <w:tc>
          <w:tcPr>
            <w:tcW w:w="4881" w:type="dxa"/>
          </w:tcPr>
          <w:p w14:paraId="22519756" w14:textId="29CD7F8C" w:rsidR="00B33D73" w:rsidRDefault="00BA3B2D" w:rsidP="003542B1">
            <w:pPr>
              <w:spacing w:after="120" w:line="360" w:lineRule="auto"/>
              <w:jc w:val="both"/>
              <w:rPr>
                <w:rFonts w:ascii="Arial" w:hAnsi="Arial" w:cs="Arial"/>
                <w:color w:val="000000" w:themeColor="text1"/>
                <w:sz w:val="22"/>
                <w:szCs w:val="22"/>
              </w:rPr>
            </w:pPr>
            <w:r w:rsidRPr="00BA3B2D">
              <w:rPr>
                <w:rFonts w:ascii="Arial" w:hAnsi="Arial" w:cs="Arial"/>
                <w:color w:val="000000" w:themeColor="text1"/>
                <w:sz w:val="22"/>
                <w:szCs w:val="22"/>
              </w:rPr>
              <w:t>Progressive cognitive decline</w:t>
            </w:r>
          </w:p>
        </w:tc>
      </w:tr>
      <w:tr w:rsidR="00B33D73" w14:paraId="49CAF9DF" w14:textId="77777777" w:rsidTr="00A0202E">
        <w:tc>
          <w:tcPr>
            <w:tcW w:w="4361" w:type="dxa"/>
          </w:tcPr>
          <w:p w14:paraId="1792EDE6" w14:textId="12F35072" w:rsidR="00B33D73" w:rsidRDefault="00CE684A" w:rsidP="003542B1">
            <w:pPr>
              <w:spacing w:after="120" w:line="360" w:lineRule="auto"/>
              <w:jc w:val="both"/>
              <w:rPr>
                <w:rFonts w:ascii="Arial" w:hAnsi="Arial" w:cs="Arial"/>
                <w:color w:val="000000" w:themeColor="text1"/>
                <w:sz w:val="22"/>
                <w:szCs w:val="22"/>
              </w:rPr>
            </w:pPr>
            <w:r w:rsidRPr="00CE684A">
              <w:rPr>
                <w:rFonts w:ascii="Arial" w:hAnsi="Arial" w:cs="Arial"/>
                <w:color w:val="000000" w:themeColor="text1"/>
                <w:sz w:val="22"/>
                <w:szCs w:val="22"/>
              </w:rPr>
              <w:t>Difficulty managing daily activities</w:t>
            </w:r>
          </w:p>
        </w:tc>
        <w:tc>
          <w:tcPr>
            <w:tcW w:w="4881" w:type="dxa"/>
          </w:tcPr>
          <w:p w14:paraId="7ABD4347" w14:textId="1AE3DC1B" w:rsidR="00B33D73" w:rsidRDefault="00B01E09" w:rsidP="003542B1">
            <w:pPr>
              <w:spacing w:after="120" w:line="360" w:lineRule="auto"/>
              <w:jc w:val="both"/>
              <w:rPr>
                <w:rFonts w:ascii="Arial" w:hAnsi="Arial" w:cs="Arial"/>
                <w:color w:val="000000" w:themeColor="text1"/>
                <w:sz w:val="22"/>
                <w:szCs w:val="22"/>
              </w:rPr>
            </w:pPr>
            <w:r w:rsidRPr="00B01E09">
              <w:rPr>
                <w:rFonts w:ascii="Arial" w:hAnsi="Arial" w:cs="Arial"/>
                <w:color w:val="000000" w:themeColor="text1"/>
                <w:sz w:val="22"/>
                <w:szCs w:val="22"/>
              </w:rPr>
              <w:t>Loss of independence</w:t>
            </w:r>
            <w:r w:rsidR="00C33A6A">
              <w:rPr>
                <w:rFonts w:ascii="Arial" w:hAnsi="Arial" w:cs="Arial"/>
                <w:color w:val="000000" w:themeColor="text1"/>
                <w:sz w:val="22"/>
                <w:szCs w:val="22"/>
              </w:rPr>
              <w:t xml:space="preserve"> and reduced QoL</w:t>
            </w:r>
          </w:p>
        </w:tc>
      </w:tr>
      <w:tr w:rsidR="00B33D73" w14:paraId="7DEFA789" w14:textId="77777777" w:rsidTr="00A0202E">
        <w:tc>
          <w:tcPr>
            <w:tcW w:w="4361" w:type="dxa"/>
          </w:tcPr>
          <w:p w14:paraId="0AE0BC41" w14:textId="554CA1F2" w:rsidR="00B33D73" w:rsidRDefault="00B56A9C" w:rsidP="003542B1">
            <w:pPr>
              <w:spacing w:after="120" w:line="360" w:lineRule="auto"/>
              <w:jc w:val="both"/>
              <w:rPr>
                <w:rFonts w:ascii="Arial" w:hAnsi="Arial" w:cs="Arial"/>
                <w:color w:val="000000" w:themeColor="text1"/>
                <w:sz w:val="22"/>
                <w:szCs w:val="22"/>
              </w:rPr>
            </w:pPr>
            <w:r w:rsidRPr="00B56A9C">
              <w:rPr>
                <w:rFonts w:ascii="Arial" w:hAnsi="Arial" w:cs="Arial"/>
                <w:color w:val="000000" w:themeColor="text1"/>
                <w:sz w:val="22"/>
                <w:szCs w:val="22"/>
              </w:rPr>
              <w:lastRenderedPageBreak/>
              <w:t>Anxiety, depression and distress</w:t>
            </w:r>
          </w:p>
        </w:tc>
        <w:tc>
          <w:tcPr>
            <w:tcW w:w="4881" w:type="dxa"/>
          </w:tcPr>
          <w:p w14:paraId="6AA2ADBA" w14:textId="5CF81048" w:rsidR="00B33D73" w:rsidRDefault="00B65690" w:rsidP="003542B1">
            <w:pPr>
              <w:spacing w:after="120" w:line="360" w:lineRule="auto"/>
              <w:jc w:val="both"/>
              <w:rPr>
                <w:rFonts w:ascii="Arial" w:hAnsi="Arial" w:cs="Arial"/>
                <w:color w:val="000000" w:themeColor="text1"/>
                <w:sz w:val="22"/>
                <w:szCs w:val="22"/>
              </w:rPr>
            </w:pPr>
            <w:r>
              <w:rPr>
                <w:rFonts w:ascii="Arial" w:hAnsi="Arial" w:cs="Arial"/>
                <w:color w:val="000000" w:themeColor="text1"/>
                <w:sz w:val="22"/>
                <w:szCs w:val="22"/>
              </w:rPr>
              <w:t>Increased</w:t>
            </w:r>
            <w:r w:rsidRPr="00B65690">
              <w:rPr>
                <w:rFonts w:ascii="Arial" w:hAnsi="Arial" w:cs="Arial"/>
                <w:color w:val="000000" w:themeColor="text1"/>
                <w:sz w:val="22"/>
                <w:szCs w:val="22"/>
              </w:rPr>
              <w:t xml:space="preserve"> disability and dependence</w:t>
            </w:r>
          </w:p>
        </w:tc>
      </w:tr>
      <w:tr w:rsidR="00B33D73" w14:paraId="30D878E8" w14:textId="77777777" w:rsidTr="00A0202E">
        <w:tc>
          <w:tcPr>
            <w:tcW w:w="4361" w:type="dxa"/>
          </w:tcPr>
          <w:p w14:paraId="6DFB3358" w14:textId="0655DD55" w:rsidR="00B33D73" w:rsidRDefault="00E0171C" w:rsidP="003542B1">
            <w:pPr>
              <w:spacing w:after="120" w:line="360" w:lineRule="auto"/>
              <w:jc w:val="both"/>
              <w:rPr>
                <w:rFonts w:ascii="Arial" w:hAnsi="Arial" w:cs="Arial"/>
                <w:color w:val="000000" w:themeColor="text1"/>
                <w:sz w:val="22"/>
                <w:szCs w:val="22"/>
              </w:rPr>
            </w:pPr>
            <w:r w:rsidRPr="00E0171C">
              <w:rPr>
                <w:rFonts w:ascii="Arial" w:hAnsi="Arial" w:cs="Arial"/>
                <w:color w:val="000000" w:themeColor="text1"/>
                <w:sz w:val="22"/>
                <w:szCs w:val="22"/>
              </w:rPr>
              <w:t>Social withdrawal and loneliness</w:t>
            </w:r>
          </w:p>
        </w:tc>
        <w:tc>
          <w:tcPr>
            <w:tcW w:w="4881" w:type="dxa"/>
          </w:tcPr>
          <w:p w14:paraId="58EDAB7B" w14:textId="69111C63" w:rsidR="00B33D73" w:rsidRDefault="00A0202E" w:rsidP="003542B1">
            <w:pPr>
              <w:spacing w:after="120" w:line="360" w:lineRule="auto"/>
              <w:jc w:val="both"/>
              <w:rPr>
                <w:rFonts w:ascii="Arial" w:hAnsi="Arial" w:cs="Arial"/>
                <w:color w:val="000000" w:themeColor="text1"/>
                <w:sz w:val="22"/>
                <w:szCs w:val="22"/>
              </w:rPr>
            </w:pPr>
            <w:r w:rsidRPr="00A0202E">
              <w:rPr>
                <w:rFonts w:ascii="Arial" w:hAnsi="Arial" w:cs="Arial"/>
                <w:color w:val="000000" w:themeColor="text1"/>
                <w:sz w:val="22"/>
                <w:szCs w:val="22"/>
              </w:rPr>
              <w:t xml:space="preserve">Increased risk of institutional or residential </w:t>
            </w:r>
            <w:r w:rsidR="00532163">
              <w:rPr>
                <w:rFonts w:ascii="Arial" w:hAnsi="Arial" w:cs="Arial"/>
                <w:color w:val="000000" w:themeColor="text1"/>
                <w:sz w:val="22"/>
                <w:szCs w:val="22"/>
              </w:rPr>
              <w:t>care</w:t>
            </w:r>
          </w:p>
        </w:tc>
      </w:tr>
      <w:tr w:rsidR="00B33D73" w14:paraId="73E2A055" w14:textId="77777777" w:rsidTr="00A0202E">
        <w:tc>
          <w:tcPr>
            <w:tcW w:w="4361" w:type="dxa"/>
          </w:tcPr>
          <w:p w14:paraId="7BA33358" w14:textId="6479133B" w:rsidR="00B33D73" w:rsidRDefault="00B51BDE" w:rsidP="003542B1">
            <w:pPr>
              <w:spacing w:after="120" w:line="360" w:lineRule="auto"/>
              <w:jc w:val="both"/>
              <w:rPr>
                <w:rFonts w:ascii="Arial" w:hAnsi="Arial" w:cs="Arial"/>
                <w:color w:val="000000" w:themeColor="text1"/>
                <w:sz w:val="22"/>
                <w:szCs w:val="22"/>
              </w:rPr>
            </w:pPr>
            <w:r w:rsidRPr="00B51BDE">
              <w:rPr>
                <w:rFonts w:ascii="Arial" w:hAnsi="Arial" w:cs="Arial"/>
                <w:color w:val="000000" w:themeColor="text1"/>
                <w:sz w:val="22"/>
                <w:szCs w:val="22"/>
              </w:rPr>
              <w:t>Increased healthcare appointments</w:t>
            </w:r>
          </w:p>
        </w:tc>
        <w:tc>
          <w:tcPr>
            <w:tcW w:w="4881" w:type="dxa"/>
          </w:tcPr>
          <w:p w14:paraId="3EF5B9B8" w14:textId="68E0E8DB" w:rsidR="00B33D73" w:rsidRDefault="00612481" w:rsidP="003542B1">
            <w:pPr>
              <w:spacing w:after="120" w:line="360" w:lineRule="auto"/>
              <w:jc w:val="both"/>
              <w:rPr>
                <w:rFonts w:ascii="Arial" w:hAnsi="Arial" w:cs="Arial"/>
                <w:color w:val="000000" w:themeColor="text1"/>
                <w:sz w:val="22"/>
                <w:szCs w:val="22"/>
              </w:rPr>
            </w:pPr>
            <w:r>
              <w:rPr>
                <w:rFonts w:ascii="Arial" w:hAnsi="Arial" w:cs="Arial"/>
                <w:color w:val="000000" w:themeColor="text1"/>
                <w:sz w:val="22"/>
                <w:szCs w:val="22"/>
              </w:rPr>
              <w:t>Higher</w:t>
            </w:r>
            <w:r w:rsidRPr="00612481">
              <w:rPr>
                <w:rFonts w:ascii="Arial" w:hAnsi="Arial" w:cs="Arial"/>
                <w:color w:val="000000" w:themeColor="text1"/>
                <w:sz w:val="22"/>
                <w:szCs w:val="22"/>
              </w:rPr>
              <w:t xml:space="preserve"> long-term health and social-care </w:t>
            </w:r>
            <w:r w:rsidR="00532163">
              <w:rPr>
                <w:rFonts w:ascii="Arial" w:hAnsi="Arial" w:cs="Arial"/>
                <w:color w:val="000000" w:themeColor="text1"/>
                <w:sz w:val="22"/>
                <w:szCs w:val="22"/>
              </w:rPr>
              <w:t>costs</w:t>
            </w:r>
          </w:p>
        </w:tc>
      </w:tr>
    </w:tbl>
    <w:p w14:paraId="20F105BB" w14:textId="77777777" w:rsidR="00F90917" w:rsidRDefault="00F90917" w:rsidP="008E7EB3">
      <w:pPr>
        <w:spacing w:line="360" w:lineRule="auto"/>
        <w:jc w:val="both"/>
        <w:rPr>
          <w:rFonts w:ascii="Arial" w:hAnsi="Arial" w:cs="Arial"/>
          <w:color w:val="000000" w:themeColor="text1"/>
          <w:sz w:val="22"/>
          <w:szCs w:val="22"/>
        </w:rPr>
      </w:pPr>
    </w:p>
    <w:p w14:paraId="230D3219" w14:textId="70A3CFC8" w:rsidR="0081288B" w:rsidRPr="009D0FDE" w:rsidRDefault="00B82076" w:rsidP="008E7EB3">
      <w:pPr>
        <w:spacing w:line="360" w:lineRule="auto"/>
        <w:jc w:val="both"/>
        <w:rPr>
          <w:rFonts w:ascii="Arial" w:hAnsi="Arial" w:cs="Arial"/>
          <w:b/>
          <w:bCs/>
          <w:color w:val="000000" w:themeColor="text1"/>
          <w:sz w:val="28"/>
          <w:szCs w:val="28"/>
        </w:rPr>
      </w:pPr>
      <w:r w:rsidRPr="009D0FDE">
        <w:rPr>
          <w:rFonts w:ascii="Arial" w:hAnsi="Arial" w:cs="Arial"/>
          <w:b/>
          <w:bCs/>
          <w:color w:val="000000" w:themeColor="text1"/>
          <w:sz w:val="28"/>
          <w:szCs w:val="28"/>
        </w:rPr>
        <w:t>Health Intervention Programme and Evaluation of Its Impact.</w:t>
      </w:r>
    </w:p>
    <w:p w14:paraId="3234E134" w14:textId="77777777" w:rsidR="003638D8" w:rsidRDefault="00CC47C3" w:rsidP="00581280">
      <w:pPr>
        <w:spacing w:line="360" w:lineRule="auto"/>
        <w:jc w:val="both"/>
        <w:rPr>
          <w:rFonts w:ascii="Arial" w:hAnsi="Arial" w:cs="Arial"/>
          <w:color w:val="000000" w:themeColor="text1"/>
          <w:sz w:val="22"/>
          <w:szCs w:val="22"/>
        </w:rPr>
      </w:pPr>
      <w:r w:rsidRPr="00CC47C3">
        <w:rPr>
          <w:rFonts w:ascii="Arial" w:hAnsi="Arial" w:cs="Arial"/>
          <w:color w:val="000000" w:themeColor="text1"/>
          <w:sz w:val="22"/>
          <w:szCs w:val="22"/>
        </w:rPr>
        <w:t xml:space="preserve">A comprehensive dementia intervention should promote healthy ageing, physical activity, cardiovascular risk reduction, social engagement and early diagnosis among adults aged 65+. Evaluation should measure </w:t>
      </w:r>
      <w:r w:rsidR="00936E43">
        <w:rPr>
          <w:rFonts w:ascii="Arial" w:hAnsi="Arial" w:cs="Arial"/>
          <w:color w:val="000000" w:themeColor="text1"/>
          <w:sz w:val="22"/>
          <w:szCs w:val="22"/>
        </w:rPr>
        <w:t>diagnostic rates, cognitive health, quality of life, hospital admissions, independence, and service use to assess effectiveness, identify inequalities,</w:t>
      </w:r>
      <w:r w:rsidRPr="00CC47C3">
        <w:rPr>
          <w:rFonts w:ascii="Arial" w:hAnsi="Arial" w:cs="Arial"/>
          <w:color w:val="000000" w:themeColor="text1"/>
          <w:sz w:val="22"/>
          <w:szCs w:val="22"/>
        </w:rPr>
        <w:t xml:space="preserve"> and guide continuous improvement</w:t>
      </w:r>
      <w:r w:rsidR="003638D8">
        <w:rPr>
          <w:rFonts w:ascii="Arial" w:hAnsi="Arial" w:cs="Arial"/>
          <w:color w:val="000000" w:themeColor="text1"/>
          <w:sz w:val="22"/>
          <w:szCs w:val="22"/>
        </w:rPr>
        <w:t xml:space="preserve"> (</w:t>
      </w:r>
      <w:r w:rsidR="00581280" w:rsidRPr="00581280">
        <w:rPr>
          <w:rFonts w:ascii="Arial" w:hAnsi="Arial" w:cs="Arial"/>
          <w:color w:val="000000" w:themeColor="text1"/>
          <w:sz w:val="22"/>
          <w:szCs w:val="22"/>
        </w:rPr>
        <w:t xml:space="preserve">Li </w:t>
      </w:r>
      <w:r w:rsidR="00581280" w:rsidRPr="00581280">
        <w:rPr>
          <w:rFonts w:ascii="Arial" w:hAnsi="Arial" w:cs="Arial"/>
          <w:i/>
          <w:iCs/>
          <w:color w:val="000000" w:themeColor="text1"/>
          <w:sz w:val="22"/>
          <w:szCs w:val="22"/>
        </w:rPr>
        <w:t>et al.</w:t>
      </w:r>
      <w:r w:rsidR="00581280" w:rsidRPr="00581280">
        <w:rPr>
          <w:rFonts w:ascii="Arial" w:hAnsi="Arial" w:cs="Arial"/>
          <w:color w:val="000000" w:themeColor="text1"/>
          <w:sz w:val="22"/>
          <w:szCs w:val="22"/>
        </w:rPr>
        <w:t xml:space="preserve"> 2025)</w:t>
      </w:r>
      <w:r w:rsidR="003638D8">
        <w:rPr>
          <w:rFonts w:ascii="Arial" w:hAnsi="Arial" w:cs="Arial"/>
          <w:color w:val="000000" w:themeColor="text1"/>
          <w:sz w:val="22"/>
          <w:szCs w:val="22"/>
        </w:rPr>
        <w:t>.</w:t>
      </w:r>
      <w:r w:rsidR="00581280" w:rsidRPr="00581280">
        <w:rPr>
          <w:rFonts w:ascii="Arial" w:hAnsi="Arial" w:cs="Arial"/>
          <w:color w:val="000000" w:themeColor="text1"/>
          <w:sz w:val="22"/>
          <w:szCs w:val="22"/>
        </w:rPr>
        <w:t xml:space="preserve"> </w:t>
      </w:r>
    </w:p>
    <w:p w14:paraId="661A4DC7" w14:textId="77777777" w:rsidR="008E7EB3" w:rsidRDefault="008E7EB3" w:rsidP="0086492B">
      <w:pPr>
        <w:spacing w:line="360" w:lineRule="auto"/>
        <w:jc w:val="both"/>
        <w:rPr>
          <w:rFonts w:ascii="Arial" w:hAnsi="Arial" w:cs="Arial"/>
          <w:color w:val="000000" w:themeColor="text1"/>
          <w:sz w:val="22"/>
          <w:szCs w:val="22"/>
        </w:rPr>
      </w:pPr>
    </w:p>
    <w:p w14:paraId="5CC4701D" w14:textId="053842F8" w:rsidR="005B1305" w:rsidRDefault="005B1305" w:rsidP="0086492B">
      <w:pPr>
        <w:spacing w:line="360" w:lineRule="auto"/>
        <w:jc w:val="both"/>
        <w:rPr>
          <w:rFonts w:ascii="Arial" w:hAnsi="Arial" w:cs="Arial"/>
          <w:b/>
          <w:bCs/>
          <w:color w:val="000000" w:themeColor="text1"/>
          <w:sz w:val="28"/>
          <w:szCs w:val="28"/>
        </w:rPr>
      </w:pPr>
      <w:r w:rsidRPr="00D0212B">
        <w:rPr>
          <w:rFonts w:ascii="Arial" w:hAnsi="Arial" w:cs="Arial"/>
          <w:b/>
          <w:bCs/>
          <w:color w:val="000000" w:themeColor="text1"/>
          <w:sz w:val="28"/>
          <w:szCs w:val="28"/>
        </w:rPr>
        <w:t>Strengths and Weaknesses of the Epidemiological Approach</w:t>
      </w:r>
      <w:r w:rsidR="00D30CF3" w:rsidRPr="00D0212B">
        <w:rPr>
          <w:rFonts w:ascii="Arial" w:hAnsi="Arial" w:cs="Arial"/>
          <w:b/>
          <w:bCs/>
          <w:color w:val="000000" w:themeColor="text1"/>
          <w:sz w:val="28"/>
          <w:szCs w:val="28"/>
        </w:rPr>
        <w:t>:</w:t>
      </w:r>
    </w:p>
    <w:p w14:paraId="1AF3515E" w14:textId="1D621CD7" w:rsidR="009C4D9D" w:rsidRPr="00F246FC" w:rsidRDefault="00865B52" w:rsidP="0086492B">
      <w:pPr>
        <w:spacing w:line="360" w:lineRule="auto"/>
        <w:jc w:val="both"/>
        <w:rPr>
          <w:rFonts w:ascii="Arial" w:hAnsi="Arial" w:cs="Arial"/>
          <w:color w:val="000000" w:themeColor="text1"/>
          <w:sz w:val="22"/>
          <w:szCs w:val="22"/>
        </w:rPr>
      </w:pPr>
      <w:r w:rsidRPr="00F246FC">
        <w:rPr>
          <w:rFonts w:ascii="Arial" w:hAnsi="Arial" w:cs="Arial"/>
          <w:color w:val="000000" w:themeColor="text1"/>
          <w:sz w:val="22"/>
          <w:szCs w:val="22"/>
        </w:rPr>
        <w:t>(</w:t>
      </w:r>
      <w:r w:rsidR="009C4D9D" w:rsidRPr="00F246FC">
        <w:rPr>
          <w:rFonts w:ascii="Arial" w:hAnsi="Arial" w:cs="Arial"/>
          <w:color w:val="000000" w:themeColor="text1"/>
          <w:sz w:val="22"/>
          <w:szCs w:val="22"/>
        </w:rPr>
        <w:t>Hazan</w:t>
      </w:r>
      <w:r w:rsidRPr="00F246FC">
        <w:rPr>
          <w:rFonts w:ascii="Arial" w:hAnsi="Arial" w:cs="Arial"/>
          <w:color w:val="000000" w:themeColor="text1"/>
          <w:sz w:val="22"/>
          <w:szCs w:val="22"/>
        </w:rPr>
        <w:t>,</w:t>
      </w:r>
      <w:r w:rsidR="009C4D9D" w:rsidRPr="00F246FC">
        <w:rPr>
          <w:rFonts w:ascii="Arial" w:hAnsi="Arial" w:cs="Arial"/>
          <w:color w:val="000000" w:themeColor="text1"/>
          <w:sz w:val="22"/>
          <w:szCs w:val="22"/>
        </w:rPr>
        <w:t xml:space="preserve"> Howard and Isaacs, 2026) </w:t>
      </w:r>
    </w:p>
    <w:tbl>
      <w:tblPr>
        <w:tblStyle w:val="TableGrid"/>
        <w:tblW w:w="0" w:type="auto"/>
        <w:tblLook w:val="04A0" w:firstRow="1" w:lastRow="0" w:firstColumn="1" w:lastColumn="0" w:noHBand="0" w:noVBand="1"/>
      </w:tblPr>
      <w:tblGrid>
        <w:gridCol w:w="4621"/>
        <w:gridCol w:w="4621"/>
      </w:tblGrid>
      <w:tr w:rsidR="00D30CF3" w:rsidRPr="00794280" w14:paraId="65E004C1" w14:textId="77777777" w:rsidTr="00D30CF3">
        <w:tc>
          <w:tcPr>
            <w:tcW w:w="4621" w:type="dxa"/>
          </w:tcPr>
          <w:p w14:paraId="442BC7D3" w14:textId="1332BE9D" w:rsidR="00D30CF3" w:rsidRPr="00794280" w:rsidRDefault="00D30CF3" w:rsidP="0086492B">
            <w:pPr>
              <w:spacing w:line="360" w:lineRule="auto"/>
              <w:jc w:val="center"/>
              <w:rPr>
                <w:rFonts w:ascii="Arial" w:hAnsi="Arial" w:cs="Arial"/>
                <w:b/>
                <w:bCs/>
                <w:color w:val="000000" w:themeColor="text1"/>
                <w:sz w:val="24"/>
                <w:szCs w:val="24"/>
              </w:rPr>
            </w:pPr>
            <w:r w:rsidRPr="00794280">
              <w:rPr>
                <w:rFonts w:ascii="Arial" w:hAnsi="Arial" w:cs="Arial"/>
                <w:b/>
                <w:bCs/>
                <w:color w:val="000000" w:themeColor="text1"/>
                <w:sz w:val="24"/>
                <w:szCs w:val="24"/>
              </w:rPr>
              <w:t>Strengths</w:t>
            </w:r>
          </w:p>
        </w:tc>
        <w:tc>
          <w:tcPr>
            <w:tcW w:w="4621" w:type="dxa"/>
          </w:tcPr>
          <w:p w14:paraId="5E9DC6C9" w14:textId="56536942" w:rsidR="00D30CF3" w:rsidRPr="00794280" w:rsidRDefault="00D30CF3" w:rsidP="0086492B">
            <w:pPr>
              <w:spacing w:line="360" w:lineRule="auto"/>
              <w:jc w:val="center"/>
              <w:rPr>
                <w:rFonts w:ascii="Arial" w:hAnsi="Arial" w:cs="Arial"/>
                <w:b/>
                <w:bCs/>
                <w:color w:val="000000" w:themeColor="text1"/>
                <w:sz w:val="24"/>
                <w:szCs w:val="24"/>
              </w:rPr>
            </w:pPr>
            <w:r w:rsidRPr="00794280">
              <w:rPr>
                <w:rFonts w:ascii="Arial" w:hAnsi="Arial" w:cs="Arial"/>
                <w:b/>
                <w:bCs/>
                <w:color w:val="000000" w:themeColor="text1"/>
                <w:sz w:val="24"/>
                <w:szCs w:val="24"/>
              </w:rPr>
              <w:t>Weaknesses</w:t>
            </w:r>
          </w:p>
        </w:tc>
      </w:tr>
      <w:tr w:rsidR="00D30CF3" w:rsidRPr="00BE18E4" w14:paraId="7B2D9ECC" w14:textId="77777777" w:rsidTr="00D30CF3">
        <w:tc>
          <w:tcPr>
            <w:tcW w:w="4621" w:type="dxa"/>
          </w:tcPr>
          <w:p w14:paraId="5E2343FE" w14:textId="606B22A9" w:rsidR="00D30CF3" w:rsidRPr="00BE18E4" w:rsidRDefault="00D375BA" w:rsidP="0086492B">
            <w:pPr>
              <w:spacing w:line="360" w:lineRule="auto"/>
              <w:jc w:val="both"/>
              <w:rPr>
                <w:rFonts w:ascii="Arial" w:hAnsi="Arial" w:cs="Arial"/>
                <w:color w:val="000000" w:themeColor="text1"/>
                <w:sz w:val="22"/>
                <w:szCs w:val="22"/>
              </w:rPr>
            </w:pPr>
            <w:r w:rsidRPr="00BE18E4">
              <w:rPr>
                <w:rFonts w:ascii="Arial" w:hAnsi="Arial" w:cs="Arial"/>
                <w:color w:val="000000" w:themeColor="text1"/>
                <w:sz w:val="22"/>
                <w:szCs w:val="22"/>
              </w:rPr>
              <w:t>Identifies dementia trends and health inequalities</w:t>
            </w:r>
          </w:p>
        </w:tc>
        <w:tc>
          <w:tcPr>
            <w:tcW w:w="4621" w:type="dxa"/>
          </w:tcPr>
          <w:p w14:paraId="09F445FD" w14:textId="2277A52D" w:rsidR="00D30CF3" w:rsidRPr="00BE18E4" w:rsidRDefault="0040081F" w:rsidP="0086492B">
            <w:pPr>
              <w:spacing w:line="360" w:lineRule="auto"/>
              <w:jc w:val="both"/>
              <w:rPr>
                <w:rFonts w:ascii="Arial" w:hAnsi="Arial" w:cs="Arial"/>
                <w:color w:val="000000" w:themeColor="text1"/>
                <w:sz w:val="22"/>
                <w:szCs w:val="22"/>
              </w:rPr>
            </w:pPr>
            <w:r w:rsidRPr="00BE18E4">
              <w:rPr>
                <w:rFonts w:ascii="Arial" w:hAnsi="Arial" w:cs="Arial"/>
                <w:color w:val="000000" w:themeColor="text1"/>
                <w:sz w:val="22"/>
                <w:szCs w:val="22"/>
              </w:rPr>
              <w:t>Dementia may be underdiagnosed</w:t>
            </w:r>
          </w:p>
        </w:tc>
      </w:tr>
      <w:tr w:rsidR="00D30CF3" w:rsidRPr="00BE18E4" w14:paraId="1FEC911A" w14:textId="77777777" w:rsidTr="00D30CF3">
        <w:tc>
          <w:tcPr>
            <w:tcW w:w="4621" w:type="dxa"/>
          </w:tcPr>
          <w:p w14:paraId="2031F88A" w14:textId="5691CC66" w:rsidR="00D30CF3" w:rsidRPr="00BE18E4" w:rsidRDefault="00CD74C4" w:rsidP="0086492B">
            <w:pPr>
              <w:spacing w:line="360" w:lineRule="auto"/>
              <w:jc w:val="both"/>
              <w:rPr>
                <w:rFonts w:ascii="Arial" w:hAnsi="Arial" w:cs="Arial"/>
                <w:color w:val="000000" w:themeColor="text1"/>
                <w:sz w:val="22"/>
                <w:szCs w:val="22"/>
              </w:rPr>
            </w:pPr>
            <w:r w:rsidRPr="00BE18E4">
              <w:rPr>
                <w:rFonts w:ascii="Arial" w:hAnsi="Arial" w:cs="Arial"/>
                <w:color w:val="000000" w:themeColor="text1"/>
                <w:sz w:val="22"/>
                <w:szCs w:val="22"/>
              </w:rPr>
              <w:t>Supports evidence-based planning and resource allocation</w:t>
            </w:r>
          </w:p>
        </w:tc>
        <w:tc>
          <w:tcPr>
            <w:tcW w:w="4621" w:type="dxa"/>
          </w:tcPr>
          <w:p w14:paraId="3818867F" w14:textId="5950CFDB" w:rsidR="00D30CF3" w:rsidRPr="00BE18E4" w:rsidRDefault="0040081F" w:rsidP="0086492B">
            <w:pPr>
              <w:spacing w:line="360" w:lineRule="auto"/>
              <w:jc w:val="both"/>
              <w:rPr>
                <w:rFonts w:ascii="Arial" w:hAnsi="Arial" w:cs="Arial"/>
                <w:color w:val="000000" w:themeColor="text1"/>
                <w:sz w:val="22"/>
                <w:szCs w:val="22"/>
              </w:rPr>
            </w:pPr>
            <w:r w:rsidRPr="00BE18E4">
              <w:rPr>
                <w:rFonts w:ascii="Arial" w:hAnsi="Arial" w:cs="Arial"/>
                <w:color w:val="000000" w:themeColor="text1"/>
                <w:sz w:val="22"/>
                <w:szCs w:val="22"/>
              </w:rPr>
              <w:t>Epidemiological data may be incomplete</w:t>
            </w:r>
          </w:p>
        </w:tc>
      </w:tr>
      <w:tr w:rsidR="00D30CF3" w:rsidRPr="00BE18E4" w14:paraId="5ACE0E86" w14:textId="77777777" w:rsidTr="00D30CF3">
        <w:tc>
          <w:tcPr>
            <w:tcW w:w="4621" w:type="dxa"/>
          </w:tcPr>
          <w:p w14:paraId="5187598D" w14:textId="1EB018E0" w:rsidR="00D30CF3" w:rsidRPr="00BE18E4" w:rsidRDefault="00CD74C4" w:rsidP="0086492B">
            <w:pPr>
              <w:spacing w:line="360" w:lineRule="auto"/>
              <w:jc w:val="both"/>
              <w:rPr>
                <w:rFonts w:ascii="Arial" w:hAnsi="Arial" w:cs="Arial"/>
                <w:color w:val="000000" w:themeColor="text1"/>
                <w:sz w:val="22"/>
                <w:szCs w:val="22"/>
              </w:rPr>
            </w:pPr>
            <w:r w:rsidRPr="00BE18E4">
              <w:rPr>
                <w:rFonts w:ascii="Arial" w:hAnsi="Arial" w:cs="Arial"/>
                <w:color w:val="000000" w:themeColor="text1"/>
                <w:sz w:val="22"/>
                <w:szCs w:val="22"/>
              </w:rPr>
              <w:t>Enables evaluation of public health interventions</w:t>
            </w:r>
            <w:r w:rsidR="009D44BD">
              <w:rPr>
                <w:rFonts w:ascii="Arial" w:hAnsi="Arial" w:cs="Arial"/>
                <w:color w:val="000000" w:themeColor="text1"/>
                <w:sz w:val="22"/>
                <w:szCs w:val="22"/>
              </w:rPr>
              <w:t xml:space="preserve"> (</w:t>
            </w:r>
            <w:r w:rsidR="009D44BD" w:rsidRPr="00247391">
              <w:rPr>
                <w:rFonts w:ascii="Arial" w:hAnsi="Arial" w:cs="Arial"/>
                <w:color w:val="000000" w:themeColor="text1"/>
                <w:sz w:val="22"/>
                <w:szCs w:val="22"/>
              </w:rPr>
              <w:t>Lesko and Fox</w:t>
            </w:r>
            <w:r w:rsidR="009D44BD">
              <w:rPr>
                <w:rFonts w:ascii="Arial" w:hAnsi="Arial" w:cs="Arial"/>
                <w:color w:val="000000" w:themeColor="text1"/>
                <w:sz w:val="22"/>
                <w:szCs w:val="22"/>
              </w:rPr>
              <w:t xml:space="preserve"> </w:t>
            </w:r>
            <w:r w:rsidR="009D44BD" w:rsidRPr="00247391">
              <w:rPr>
                <w:rFonts w:ascii="Arial" w:hAnsi="Arial" w:cs="Arial"/>
                <w:color w:val="000000" w:themeColor="text1"/>
                <w:sz w:val="22"/>
                <w:szCs w:val="22"/>
              </w:rPr>
              <w:t>2025)</w:t>
            </w:r>
            <w:r w:rsidRPr="00BE18E4">
              <w:rPr>
                <w:rFonts w:ascii="Arial" w:hAnsi="Arial" w:cs="Arial"/>
                <w:color w:val="000000" w:themeColor="text1"/>
                <w:sz w:val="22"/>
                <w:szCs w:val="22"/>
              </w:rPr>
              <w:t>.</w:t>
            </w:r>
          </w:p>
        </w:tc>
        <w:tc>
          <w:tcPr>
            <w:tcW w:w="4621" w:type="dxa"/>
          </w:tcPr>
          <w:p w14:paraId="50835E86" w14:textId="48C19E9C" w:rsidR="00D30CF3" w:rsidRPr="00BE18E4" w:rsidRDefault="00BE18E4" w:rsidP="0086492B">
            <w:pPr>
              <w:spacing w:line="360" w:lineRule="auto"/>
              <w:jc w:val="both"/>
              <w:rPr>
                <w:rFonts w:ascii="Arial" w:hAnsi="Arial" w:cs="Arial"/>
                <w:color w:val="000000" w:themeColor="text1"/>
                <w:sz w:val="22"/>
                <w:szCs w:val="22"/>
              </w:rPr>
            </w:pPr>
            <w:r w:rsidRPr="00BE18E4">
              <w:rPr>
                <w:rFonts w:ascii="Arial" w:hAnsi="Arial" w:cs="Arial"/>
                <w:color w:val="000000" w:themeColor="text1"/>
                <w:sz w:val="22"/>
                <w:szCs w:val="22"/>
              </w:rPr>
              <w:t>Confounding factors can affect results</w:t>
            </w:r>
            <w:r w:rsidR="00447081">
              <w:rPr>
                <w:rFonts w:ascii="Arial" w:hAnsi="Arial" w:cs="Arial"/>
                <w:color w:val="000000" w:themeColor="text1"/>
                <w:sz w:val="22"/>
                <w:szCs w:val="22"/>
              </w:rPr>
              <w:t xml:space="preserve"> (</w:t>
            </w:r>
            <w:r w:rsidR="00447081" w:rsidRPr="00247391">
              <w:rPr>
                <w:rFonts w:ascii="Arial" w:hAnsi="Arial" w:cs="Arial"/>
                <w:color w:val="000000" w:themeColor="text1"/>
                <w:sz w:val="22"/>
                <w:szCs w:val="22"/>
              </w:rPr>
              <w:t>Lesko and Fox</w:t>
            </w:r>
            <w:r w:rsidR="00447081">
              <w:rPr>
                <w:rFonts w:ascii="Arial" w:hAnsi="Arial" w:cs="Arial"/>
                <w:color w:val="000000" w:themeColor="text1"/>
                <w:sz w:val="22"/>
                <w:szCs w:val="22"/>
              </w:rPr>
              <w:t xml:space="preserve"> </w:t>
            </w:r>
            <w:r w:rsidR="00447081" w:rsidRPr="00247391">
              <w:rPr>
                <w:rFonts w:ascii="Arial" w:hAnsi="Arial" w:cs="Arial"/>
                <w:color w:val="000000" w:themeColor="text1"/>
                <w:sz w:val="22"/>
                <w:szCs w:val="22"/>
              </w:rPr>
              <w:t>2025)</w:t>
            </w:r>
            <w:r w:rsidRPr="00BE18E4">
              <w:rPr>
                <w:rFonts w:ascii="Arial" w:hAnsi="Arial" w:cs="Arial"/>
                <w:color w:val="000000" w:themeColor="text1"/>
                <w:sz w:val="22"/>
                <w:szCs w:val="22"/>
              </w:rPr>
              <w:t>.</w:t>
            </w:r>
          </w:p>
        </w:tc>
      </w:tr>
    </w:tbl>
    <w:p w14:paraId="6255AEF8" w14:textId="77777777" w:rsidR="00247391" w:rsidRPr="00E33DC4" w:rsidRDefault="00247391" w:rsidP="00740ABB">
      <w:pPr>
        <w:spacing w:line="360" w:lineRule="auto"/>
        <w:jc w:val="both"/>
        <w:rPr>
          <w:rFonts w:ascii="Arial" w:hAnsi="Arial" w:cs="Arial"/>
          <w:color w:val="000000" w:themeColor="text1"/>
          <w:sz w:val="22"/>
          <w:szCs w:val="22"/>
        </w:rPr>
      </w:pPr>
    </w:p>
    <w:p w14:paraId="3F875B05" w14:textId="4E15267A" w:rsidR="003370AA" w:rsidRPr="00CF54E7" w:rsidRDefault="003370AA" w:rsidP="00C76305">
      <w:pPr>
        <w:spacing w:line="360" w:lineRule="auto"/>
        <w:ind w:right="100"/>
        <w:jc w:val="both"/>
        <w:rPr>
          <w:rFonts w:ascii="Arial" w:hAnsi="Arial" w:cs="Arial"/>
          <w:b/>
          <w:bCs/>
          <w:color w:val="000000" w:themeColor="text1"/>
          <w:sz w:val="28"/>
          <w:szCs w:val="28"/>
        </w:rPr>
      </w:pPr>
      <w:r w:rsidRPr="00CF54E7">
        <w:rPr>
          <w:rFonts w:ascii="Arial" w:hAnsi="Arial" w:cs="Arial"/>
          <w:b/>
          <w:bCs/>
          <w:color w:val="000000" w:themeColor="text1"/>
          <w:sz w:val="28"/>
          <w:szCs w:val="28"/>
        </w:rPr>
        <w:t>Conclusion</w:t>
      </w:r>
    </w:p>
    <w:p w14:paraId="46BBB7F1" w14:textId="6E39D024" w:rsidR="003370AA" w:rsidRPr="00E33DC4" w:rsidRDefault="009361A3" w:rsidP="00C76305">
      <w:pPr>
        <w:spacing w:line="360" w:lineRule="auto"/>
        <w:ind w:right="100"/>
        <w:jc w:val="both"/>
        <w:rPr>
          <w:rFonts w:ascii="Arial" w:hAnsi="Arial" w:cs="Arial"/>
          <w:color w:val="000000" w:themeColor="text1"/>
          <w:sz w:val="22"/>
          <w:szCs w:val="22"/>
        </w:rPr>
      </w:pPr>
      <w:r w:rsidRPr="00E33DC4">
        <w:rPr>
          <w:rFonts w:ascii="Arial" w:hAnsi="Arial" w:cs="Arial"/>
          <w:color w:val="000000" w:themeColor="text1"/>
          <w:sz w:val="22"/>
          <w:szCs w:val="22"/>
        </w:rPr>
        <w:t>Epidemiological approaches provide strong evidence for identifying disease trends, risk factors</w:t>
      </w:r>
      <w:r w:rsidR="009B07D2" w:rsidRPr="00E33DC4">
        <w:rPr>
          <w:rFonts w:ascii="Arial" w:hAnsi="Arial" w:cs="Arial"/>
          <w:color w:val="000000" w:themeColor="text1"/>
          <w:sz w:val="22"/>
          <w:szCs w:val="22"/>
        </w:rPr>
        <w:t>,</w:t>
      </w:r>
      <w:r w:rsidRPr="00E33DC4">
        <w:rPr>
          <w:rFonts w:ascii="Arial" w:hAnsi="Arial" w:cs="Arial"/>
          <w:color w:val="000000" w:themeColor="text1"/>
          <w:sz w:val="22"/>
          <w:szCs w:val="22"/>
        </w:rPr>
        <w:t xml:space="preserve"> and evaluating interventions. However, limitations include underdiagnosis, delayed reporting, incomplete datasets, regional variations</w:t>
      </w:r>
      <w:r w:rsidR="00453A05">
        <w:rPr>
          <w:rFonts w:ascii="Arial" w:hAnsi="Arial" w:cs="Arial"/>
          <w:color w:val="000000" w:themeColor="text1"/>
          <w:sz w:val="22"/>
          <w:szCs w:val="22"/>
        </w:rPr>
        <w:t>,</w:t>
      </w:r>
      <w:r w:rsidRPr="00E33DC4">
        <w:rPr>
          <w:rFonts w:ascii="Arial" w:hAnsi="Arial" w:cs="Arial"/>
          <w:color w:val="000000" w:themeColor="text1"/>
          <w:sz w:val="22"/>
          <w:szCs w:val="22"/>
        </w:rPr>
        <w:t xml:space="preserve"> and difficulties establishing causality, which may affect the accuracy of surveillance and public health planning. </w:t>
      </w:r>
      <w:r w:rsidR="003370AA" w:rsidRPr="00E33DC4">
        <w:rPr>
          <w:rFonts w:ascii="Arial" w:hAnsi="Arial" w:cs="Arial"/>
          <w:color w:val="000000" w:themeColor="text1"/>
          <w:sz w:val="22"/>
          <w:szCs w:val="22"/>
        </w:rPr>
        <w:t>Dementia remains a major public health challenge among adults aged 65 years and over in the UK. Effective epidemiological surveillance, prevention strategies, early diagnosis and evidence-based interventions are essential to reduce disease burden, improve quality of life and promote healthy ageing through equitable healthcare provision.</w:t>
      </w:r>
    </w:p>
    <w:p w14:paraId="1BD6905A" w14:textId="77777777" w:rsidR="00474904" w:rsidRDefault="00474904" w:rsidP="00FD276A">
      <w:pPr>
        <w:spacing w:line="360" w:lineRule="auto"/>
        <w:ind w:right="100"/>
        <w:jc w:val="both"/>
        <w:rPr>
          <w:rFonts w:ascii="Arial" w:hAnsi="Arial" w:cs="Arial"/>
          <w:sz w:val="22"/>
          <w:szCs w:val="22"/>
        </w:rPr>
      </w:pPr>
    </w:p>
    <w:p w14:paraId="048D0106" w14:textId="306CF934" w:rsidR="00B8428C" w:rsidRDefault="00B8428C">
      <w:pPr>
        <w:spacing w:after="200" w:line="276" w:lineRule="auto"/>
        <w:rPr>
          <w:rFonts w:ascii="Arial" w:hAnsi="Arial" w:cs="Arial"/>
          <w:sz w:val="22"/>
          <w:szCs w:val="22"/>
        </w:rPr>
      </w:pPr>
      <w:r>
        <w:rPr>
          <w:rFonts w:ascii="Arial" w:hAnsi="Arial" w:cs="Arial"/>
          <w:sz w:val="22"/>
          <w:szCs w:val="22"/>
        </w:rPr>
        <w:br w:type="page"/>
      </w:r>
    </w:p>
    <w:p w14:paraId="5FA1184E" w14:textId="77777777" w:rsidR="00B8428C" w:rsidRPr="00FD276A" w:rsidRDefault="00B8428C" w:rsidP="00FD276A">
      <w:pPr>
        <w:spacing w:line="360" w:lineRule="auto"/>
        <w:ind w:right="100"/>
        <w:jc w:val="both"/>
        <w:rPr>
          <w:rFonts w:ascii="Arial" w:hAnsi="Arial" w:cs="Arial"/>
          <w:sz w:val="22"/>
          <w:szCs w:val="22"/>
        </w:rPr>
      </w:pPr>
    </w:p>
    <w:p w14:paraId="643D716F" w14:textId="2F0A096B" w:rsidR="00EB2DAB" w:rsidRDefault="00EB2DAB" w:rsidP="00FD276A">
      <w:pPr>
        <w:spacing w:line="360" w:lineRule="auto"/>
        <w:ind w:right="100"/>
        <w:rPr>
          <w:rFonts w:ascii="Arial" w:hAnsi="Arial" w:cs="Arial"/>
          <w:b/>
          <w:bCs/>
          <w:sz w:val="32"/>
          <w:szCs w:val="32"/>
        </w:rPr>
      </w:pPr>
      <w:r w:rsidRPr="00FD276A">
        <w:rPr>
          <w:rFonts w:ascii="Arial" w:hAnsi="Arial" w:cs="Arial"/>
          <w:b/>
          <w:bCs/>
          <w:sz w:val="32"/>
          <w:szCs w:val="32"/>
        </w:rPr>
        <w:t>Reference</w:t>
      </w:r>
    </w:p>
    <w:p w14:paraId="726677A3" w14:textId="77777777" w:rsidR="00936DBE" w:rsidRPr="00B015E2" w:rsidRDefault="00936DBE" w:rsidP="00C3269E">
      <w:pPr>
        <w:spacing w:after="120" w:line="360" w:lineRule="auto"/>
        <w:rPr>
          <w:rFonts w:ascii="Arial" w:hAnsi="Arial" w:cs="Arial"/>
          <w:color w:val="000000" w:themeColor="text1"/>
          <w:sz w:val="22"/>
          <w:szCs w:val="22"/>
        </w:rPr>
      </w:pPr>
    </w:p>
    <w:p w14:paraId="6008A50B" w14:textId="77777777" w:rsidR="00936DBE" w:rsidRPr="00B015E2" w:rsidRDefault="00936DBE" w:rsidP="00C3269E">
      <w:pPr>
        <w:spacing w:after="120" w:line="360" w:lineRule="auto"/>
        <w:ind w:left="360"/>
        <w:jc w:val="both"/>
        <w:rPr>
          <w:rFonts w:ascii="Arial" w:hAnsi="Arial" w:cs="Arial"/>
          <w:color w:val="000000" w:themeColor="text1"/>
          <w:sz w:val="22"/>
          <w:szCs w:val="22"/>
        </w:rPr>
      </w:pPr>
      <w:r w:rsidRPr="00B015E2">
        <w:rPr>
          <w:rFonts w:ascii="Arial" w:hAnsi="Arial" w:cs="Arial"/>
          <w:color w:val="000000" w:themeColor="text1"/>
          <w:sz w:val="22"/>
          <w:szCs w:val="22"/>
        </w:rPr>
        <w:t xml:space="preserve">Aarons, G.A.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(2017) “‘Scaling-out’ evidence-based interventions to new populations or new health care delivery systems,” </w:t>
      </w:r>
      <w:r w:rsidRPr="00B015E2">
        <w:rPr>
          <w:rFonts w:ascii="Arial" w:hAnsi="Arial" w:cs="Arial"/>
          <w:i/>
          <w:iCs/>
          <w:color w:val="000000" w:themeColor="text1"/>
          <w:sz w:val="22"/>
          <w:szCs w:val="22"/>
        </w:rPr>
        <w:t xml:space="preserve">Implementation </w:t>
      </w:r>
      <w:proofErr w:type="gramStart"/>
      <w:r w:rsidRPr="00B015E2">
        <w:rPr>
          <w:rFonts w:ascii="Arial" w:hAnsi="Arial" w:cs="Arial"/>
          <w:i/>
          <w:iCs/>
          <w:color w:val="000000" w:themeColor="text1"/>
          <w:sz w:val="22"/>
          <w:szCs w:val="22"/>
        </w:rPr>
        <w:t>science :</w:t>
      </w:r>
      <w:proofErr w:type="gramEnd"/>
      <w:r w:rsidRPr="00B015E2">
        <w:rPr>
          <w:rFonts w:ascii="Arial" w:hAnsi="Arial" w:cs="Arial"/>
          <w:i/>
          <w:iCs/>
          <w:color w:val="000000" w:themeColor="text1"/>
          <w:sz w:val="22"/>
          <w:szCs w:val="22"/>
        </w:rPr>
        <w:t xml:space="preserve"> IS.</w:t>
      </w:r>
      <w:r w:rsidRPr="00B015E2">
        <w:rPr>
          <w:rFonts w:ascii="Arial" w:hAnsi="Arial" w:cs="Arial"/>
          <w:color w:val="000000" w:themeColor="text1"/>
          <w:sz w:val="22"/>
          <w:szCs w:val="22"/>
        </w:rPr>
        <w:t xml:space="preserve">, 12(1). Available at: </w:t>
      </w:r>
      <w:hyperlink r:id="rId8" w:history="1">
        <w:r w:rsidRPr="00B015E2">
          <w:rPr>
            <w:rStyle w:val="Hyperlink"/>
            <w:rFonts w:ascii="Arial" w:hAnsi="Arial" w:cs="Arial"/>
            <w:sz w:val="22"/>
            <w:szCs w:val="22"/>
          </w:rPr>
          <w:t>https://doi.org/10.1186/s13012-017-0640-6</w:t>
        </w:r>
      </w:hyperlink>
      <w:r w:rsidRPr="00B015E2">
        <w:rPr>
          <w:rFonts w:ascii="Arial" w:hAnsi="Arial" w:cs="Arial"/>
          <w:color w:val="000000" w:themeColor="text1"/>
          <w:sz w:val="22"/>
          <w:szCs w:val="22"/>
        </w:rPr>
        <w:t>. (Accessed: 11 August 2026).</w:t>
      </w:r>
    </w:p>
    <w:p w14:paraId="46B08883" w14:textId="77777777" w:rsidR="00936DBE" w:rsidRPr="00B015E2" w:rsidRDefault="00936DBE" w:rsidP="00C3269E">
      <w:pPr>
        <w:spacing w:after="120" w:line="360" w:lineRule="auto"/>
        <w:ind w:left="360"/>
        <w:rPr>
          <w:rFonts w:ascii="Arial" w:hAnsi="Arial" w:cs="Arial"/>
          <w:color w:val="000000" w:themeColor="text1"/>
          <w:sz w:val="22"/>
          <w:szCs w:val="22"/>
        </w:rPr>
      </w:pPr>
      <w:r w:rsidRPr="009601A5">
        <w:rPr>
          <w:rFonts w:ascii="Arial" w:hAnsi="Arial" w:cs="Arial"/>
          <w:color w:val="000000" w:themeColor="text1"/>
          <w:sz w:val="22"/>
          <w:szCs w:val="22"/>
        </w:rPr>
        <w:t xml:space="preserve">Abdi, Y.H. </w:t>
      </w:r>
      <w:r w:rsidRPr="009601A5">
        <w:rPr>
          <w:rFonts w:ascii="Arial" w:hAnsi="Arial" w:cs="Arial"/>
          <w:i/>
          <w:iCs/>
          <w:color w:val="000000" w:themeColor="text1"/>
          <w:sz w:val="22"/>
          <w:szCs w:val="22"/>
        </w:rPr>
        <w:t>et al.</w:t>
      </w:r>
      <w:r w:rsidRPr="009601A5">
        <w:rPr>
          <w:rFonts w:ascii="Arial" w:hAnsi="Arial" w:cs="Arial"/>
          <w:color w:val="000000" w:themeColor="text1"/>
          <w:sz w:val="22"/>
          <w:szCs w:val="22"/>
        </w:rPr>
        <w:t xml:space="preserve"> </w:t>
      </w:r>
      <w:r w:rsidRPr="00B015E2">
        <w:rPr>
          <w:rFonts w:ascii="Arial" w:hAnsi="Arial" w:cs="Arial"/>
          <w:color w:val="000000" w:themeColor="text1"/>
          <w:sz w:val="22"/>
          <w:szCs w:val="22"/>
        </w:rPr>
        <w:t xml:space="preserve">(2025) “Understanding Global Health Inequality and Inequity: Causes, Consequences, and the Path Toward Justice in Healthcare”, </w:t>
      </w:r>
      <w:r w:rsidRPr="00B015E2">
        <w:rPr>
          <w:rFonts w:ascii="Arial" w:hAnsi="Arial" w:cs="Arial"/>
          <w:i/>
          <w:iCs/>
          <w:color w:val="000000" w:themeColor="text1"/>
          <w:sz w:val="22"/>
          <w:szCs w:val="22"/>
        </w:rPr>
        <w:t>Public health challenges.</w:t>
      </w:r>
      <w:r w:rsidRPr="00B015E2">
        <w:rPr>
          <w:rFonts w:ascii="Arial" w:hAnsi="Arial" w:cs="Arial"/>
          <w:color w:val="000000" w:themeColor="text1"/>
          <w:sz w:val="22"/>
          <w:szCs w:val="22"/>
        </w:rPr>
        <w:t xml:space="preserve">, 4(4). Available at: </w:t>
      </w:r>
      <w:hyperlink r:id="rId9" w:history="1">
        <w:r w:rsidRPr="00B015E2">
          <w:rPr>
            <w:rStyle w:val="Hyperlink"/>
            <w:rFonts w:ascii="Arial" w:hAnsi="Arial" w:cs="Arial"/>
            <w:color w:val="000000" w:themeColor="text1"/>
            <w:sz w:val="22"/>
            <w:szCs w:val="22"/>
          </w:rPr>
          <w:t>https://doi.org/10.1002/puh2.70156</w:t>
        </w:r>
      </w:hyperlink>
      <w:r w:rsidRPr="00B015E2">
        <w:rPr>
          <w:rFonts w:ascii="Arial" w:hAnsi="Arial" w:cs="Arial"/>
          <w:color w:val="000000" w:themeColor="text1"/>
          <w:sz w:val="22"/>
          <w:szCs w:val="22"/>
        </w:rPr>
        <w:t>. (Accessed: 30 July 2026).</w:t>
      </w:r>
    </w:p>
    <w:p w14:paraId="7D71EA8B"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Age UK (2026) </w:t>
      </w:r>
      <w:r w:rsidRPr="00B015E2">
        <w:rPr>
          <w:rFonts w:ascii="Arial" w:hAnsi="Arial" w:cs="Arial"/>
          <w:i/>
          <w:iCs/>
          <w:color w:val="000000" w:themeColor="text1"/>
          <w:sz w:val="22"/>
          <w:szCs w:val="22"/>
        </w:rPr>
        <w:t>Carer's Allowance</w:t>
      </w:r>
      <w:r w:rsidRPr="00B015E2">
        <w:rPr>
          <w:rFonts w:ascii="Arial" w:hAnsi="Arial" w:cs="Arial"/>
          <w:color w:val="000000" w:themeColor="text1"/>
          <w:sz w:val="22"/>
          <w:szCs w:val="22"/>
        </w:rPr>
        <w:t xml:space="preserve">. Available at: </w:t>
      </w:r>
      <w:hyperlink r:id="rId10" w:tgtFrame="_new" w:history="1">
        <w:r w:rsidRPr="00B015E2">
          <w:rPr>
            <w:rStyle w:val="Hyperlink"/>
            <w:rFonts w:ascii="Arial" w:hAnsi="Arial" w:cs="Arial"/>
            <w:color w:val="000000" w:themeColor="text1"/>
            <w:sz w:val="22"/>
            <w:szCs w:val="22"/>
          </w:rPr>
          <w:t>https://www.ageuk.org.uk/information-advice/money-legal/benefits-entitlements/carers-allowance/</w:t>
        </w:r>
      </w:hyperlink>
      <w:r w:rsidRPr="00B015E2">
        <w:rPr>
          <w:rFonts w:ascii="Arial" w:hAnsi="Arial" w:cs="Arial"/>
          <w:color w:val="000000" w:themeColor="text1"/>
          <w:sz w:val="22"/>
          <w:szCs w:val="22"/>
        </w:rPr>
        <w:t>. (Accessed: 5 August 2026).</w:t>
      </w:r>
    </w:p>
    <w:p w14:paraId="163FD85A"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Age UK (2026) </w:t>
      </w:r>
      <w:r w:rsidRPr="00B015E2">
        <w:rPr>
          <w:rFonts w:ascii="Arial" w:hAnsi="Arial" w:cs="Arial"/>
          <w:i/>
          <w:iCs/>
          <w:color w:val="000000" w:themeColor="text1"/>
          <w:sz w:val="22"/>
          <w:szCs w:val="22"/>
        </w:rPr>
        <w:t>Financial support for carers</w:t>
      </w:r>
      <w:r w:rsidRPr="00B015E2">
        <w:rPr>
          <w:rFonts w:ascii="Arial" w:hAnsi="Arial" w:cs="Arial"/>
          <w:color w:val="000000" w:themeColor="text1"/>
          <w:sz w:val="22"/>
          <w:szCs w:val="22"/>
        </w:rPr>
        <w:t xml:space="preserve">. Available at: </w:t>
      </w:r>
      <w:hyperlink r:id="rId11" w:tgtFrame="_new" w:history="1">
        <w:r w:rsidRPr="00B015E2">
          <w:rPr>
            <w:rStyle w:val="Hyperlink"/>
            <w:rFonts w:ascii="Arial" w:hAnsi="Arial" w:cs="Arial"/>
            <w:color w:val="000000" w:themeColor="text1"/>
            <w:sz w:val="22"/>
            <w:szCs w:val="22"/>
          </w:rPr>
          <w:t>https://www.ageuk.org.uk/information-advice/care/helping-a-loved-one/financial-support/</w:t>
        </w:r>
      </w:hyperlink>
      <w:r w:rsidRPr="00B015E2">
        <w:rPr>
          <w:rFonts w:ascii="Arial" w:hAnsi="Arial" w:cs="Arial"/>
          <w:color w:val="000000" w:themeColor="text1"/>
          <w:sz w:val="22"/>
          <w:szCs w:val="22"/>
        </w:rPr>
        <w:t>. (Accessed: 5 August 2026).</w:t>
      </w:r>
    </w:p>
    <w:p w14:paraId="2A5B9FEE"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Age UK (2026) </w:t>
      </w:r>
      <w:r w:rsidRPr="00B015E2">
        <w:rPr>
          <w:rFonts w:ascii="Arial" w:hAnsi="Arial" w:cs="Arial"/>
          <w:i/>
          <w:iCs/>
          <w:color w:val="000000" w:themeColor="text1"/>
          <w:sz w:val="22"/>
          <w:szCs w:val="22"/>
        </w:rPr>
        <w:t>What is a carer's assessment?</w:t>
      </w:r>
      <w:r w:rsidRPr="00B015E2">
        <w:rPr>
          <w:rFonts w:ascii="Arial" w:hAnsi="Arial" w:cs="Arial"/>
          <w:color w:val="000000" w:themeColor="text1"/>
          <w:sz w:val="22"/>
          <w:szCs w:val="22"/>
        </w:rPr>
        <w:t xml:space="preserve"> Available at: </w:t>
      </w:r>
      <w:hyperlink r:id="rId12" w:tgtFrame="_new" w:history="1">
        <w:r w:rsidRPr="00B015E2">
          <w:rPr>
            <w:rStyle w:val="Hyperlink"/>
            <w:rFonts w:ascii="Arial" w:hAnsi="Arial" w:cs="Arial"/>
            <w:color w:val="000000" w:themeColor="text1"/>
            <w:sz w:val="22"/>
            <w:szCs w:val="22"/>
          </w:rPr>
          <w:t>https://www.ageuk.org.uk/information-advice/care/helping-a-loved-one/getting-a-carers-assessment/</w:t>
        </w:r>
      </w:hyperlink>
      <w:r w:rsidRPr="00B015E2">
        <w:rPr>
          <w:rFonts w:ascii="Arial" w:hAnsi="Arial" w:cs="Arial"/>
          <w:color w:val="000000" w:themeColor="text1"/>
          <w:sz w:val="22"/>
          <w:szCs w:val="22"/>
        </w:rPr>
        <w:t>. (Accessed: 5 August 2026).</w:t>
      </w:r>
    </w:p>
    <w:p w14:paraId="18133FE3"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Alzheimer’s Society (2023) “Over half of local authorities in England are failing to meet dementia diagnosis targets”, 24 October. Available at: </w:t>
      </w:r>
      <w:hyperlink r:id="rId13" w:tgtFrame="_blank" w:history="1">
        <w:r w:rsidRPr="00B015E2">
          <w:rPr>
            <w:rStyle w:val="Hyperlink"/>
            <w:rFonts w:ascii="Arial" w:hAnsi="Arial" w:cs="Arial"/>
            <w:color w:val="000000" w:themeColor="text1"/>
            <w:sz w:val="22"/>
            <w:szCs w:val="22"/>
          </w:rPr>
          <w:t>Alzheimer’s Society article</w:t>
        </w:r>
      </w:hyperlink>
      <w:r w:rsidRPr="00B015E2">
        <w:rPr>
          <w:rFonts w:ascii="Arial" w:hAnsi="Arial" w:cs="Arial"/>
          <w:color w:val="000000" w:themeColor="text1"/>
          <w:sz w:val="22"/>
          <w:szCs w:val="22"/>
        </w:rPr>
        <w:t>. (Accessed: 8 August 2026).</w:t>
      </w:r>
    </w:p>
    <w:p w14:paraId="35869373"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Alzheimer’s Society (2025) </w:t>
      </w:r>
      <w:r w:rsidRPr="00B015E2">
        <w:rPr>
          <w:rFonts w:ascii="Arial" w:hAnsi="Arial" w:cs="Arial"/>
          <w:i/>
          <w:iCs/>
          <w:color w:val="000000" w:themeColor="text1"/>
          <w:sz w:val="22"/>
          <w:szCs w:val="22"/>
        </w:rPr>
        <w:t>Dementia UK: Update</w:t>
      </w:r>
      <w:r w:rsidRPr="00B015E2">
        <w:rPr>
          <w:rFonts w:ascii="Arial" w:hAnsi="Arial" w:cs="Arial"/>
          <w:color w:val="000000" w:themeColor="text1"/>
          <w:sz w:val="22"/>
          <w:szCs w:val="22"/>
        </w:rPr>
        <w:t xml:space="preserve">. London: Alzheimer’s Society. Available at: </w:t>
      </w:r>
      <w:hyperlink r:id="rId14" w:history="1">
        <w:r w:rsidRPr="00B015E2">
          <w:rPr>
            <w:rStyle w:val="Hyperlink"/>
            <w:rFonts w:ascii="Arial" w:hAnsi="Arial" w:cs="Arial"/>
            <w:color w:val="000000" w:themeColor="text1"/>
            <w:sz w:val="22"/>
            <w:szCs w:val="22"/>
          </w:rPr>
          <w:t>https://www.alzheimers.org.uk/about-us/policy-and-influencing/dementia-uk</w:t>
        </w:r>
      </w:hyperlink>
      <w:r w:rsidRPr="00B015E2">
        <w:rPr>
          <w:rFonts w:ascii="Arial" w:hAnsi="Arial" w:cs="Arial"/>
          <w:color w:val="000000" w:themeColor="text1"/>
          <w:sz w:val="22"/>
          <w:szCs w:val="22"/>
        </w:rPr>
        <w:t>. (Accessed: 31 July 2026).</w:t>
      </w:r>
    </w:p>
    <w:p w14:paraId="06D36E29" w14:textId="77777777" w:rsidR="00936DBE" w:rsidRPr="00B015E2" w:rsidRDefault="00936DBE" w:rsidP="00C3269E">
      <w:pPr>
        <w:spacing w:after="120" w:line="360" w:lineRule="auto"/>
        <w:ind w:left="360" w:right="100"/>
        <w:rPr>
          <w:rFonts w:ascii="Arial" w:hAnsi="Arial" w:cs="Arial"/>
          <w:color w:val="000000" w:themeColor="text1"/>
          <w:sz w:val="22"/>
          <w:szCs w:val="22"/>
        </w:rPr>
      </w:pPr>
      <w:r w:rsidRPr="00B015E2">
        <w:rPr>
          <w:rFonts w:ascii="Arial" w:hAnsi="Arial" w:cs="Arial"/>
          <w:color w:val="000000" w:themeColor="text1"/>
          <w:sz w:val="22"/>
          <w:szCs w:val="22"/>
        </w:rPr>
        <w:t xml:space="preserve">Bharadwaj, H.R.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(2026) “Inequalities in Gastrointestinal Care Provision in the United Kingdom,” </w:t>
      </w:r>
      <w:r w:rsidRPr="00B015E2">
        <w:rPr>
          <w:rFonts w:ascii="Arial" w:hAnsi="Arial" w:cs="Arial"/>
          <w:i/>
          <w:iCs/>
          <w:color w:val="000000" w:themeColor="text1"/>
          <w:sz w:val="22"/>
          <w:szCs w:val="22"/>
        </w:rPr>
        <w:t>Digestive diseases and sciences.</w:t>
      </w:r>
      <w:r w:rsidRPr="00B015E2">
        <w:rPr>
          <w:rFonts w:ascii="Arial" w:hAnsi="Arial" w:cs="Arial"/>
          <w:color w:val="000000" w:themeColor="text1"/>
          <w:sz w:val="22"/>
          <w:szCs w:val="22"/>
        </w:rPr>
        <w:t xml:space="preserve">, 71(3), pp. 822–837. Available at: </w:t>
      </w:r>
      <w:hyperlink r:id="rId15" w:history="1">
        <w:r w:rsidRPr="00B015E2">
          <w:rPr>
            <w:rStyle w:val="Hyperlink"/>
            <w:rFonts w:ascii="Arial" w:hAnsi="Arial" w:cs="Arial"/>
            <w:color w:val="000000" w:themeColor="text1"/>
            <w:sz w:val="22"/>
            <w:szCs w:val="22"/>
          </w:rPr>
          <w:t>https://doi.org/10.1007/s10620-025-09432-x</w:t>
        </w:r>
      </w:hyperlink>
      <w:r w:rsidRPr="00B015E2">
        <w:rPr>
          <w:rFonts w:ascii="Arial" w:hAnsi="Arial" w:cs="Arial"/>
          <w:color w:val="000000" w:themeColor="text1"/>
          <w:sz w:val="22"/>
          <w:szCs w:val="22"/>
        </w:rPr>
        <w:t>. (Accessed: 5 August 2026).</w:t>
      </w:r>
    </w:p>
    <w:p w14:paraId="7835C407" w14:textId="77777777" w:rsidR="00936DBE" w:rsidRPr="00B015E2" w:rsidRDefault="00936DBE" w:rsidP="00C3269E">
      <w:pPr>
        <w:spacing w:after="120" w:line="360" w:lineRule="auto"/>
        <w:ind w:left="360"/>
        <w:jc w:val="both"/>
        <w:rPr>
          <w:rFonts w:ascii="Arial" w:hAnsi="Arial" w:cs="Arial"/>
          <w:color w:val="000000" w:themeColor="text1"/>
          <w:sz w:val="22"/>
          <w:szCs w:val="22"/>
        </w:rPr>
      </w:pPr>
      <w:r w:rsidRPr="009601A5">
        <w:rPr>
          <w:rFonts w:ascii="Arial" w:hAnsi="Arial" w:cs="Arial"/>
          <w:color w:val="000000" w:themeColor="text1"/>
          <w:sz w:val="22"/>
          <w:szCs w:val="22"/>
        </w:rPr>
        <w:t xml:space="preserve">Brandt, E.J. </w:t>
      </w:r>
      <w:r w:rsidRPr="009601A5">
        <w:rPr>
          <w:rFonts w:ascii="Arial" w:hAnsi="Arial" w:cs="Arial"/>
          <w:i/>
          <w:iCs/>
          <w:color w:val="000000" w:themeColor="text1"/>
          <w:sz w:val="22"/>
          <w:szCs w:val="22"/>
        </w:rPr>
        <w:t>et al.</w:t>
      </w:r>
      <w:r w:rsidRPr="009601A5">
        <w:rPr>
          <w:rFonts w:ascii="Arial" w:hAnsi="Arial" w:cs="Arial"/>
          <w:color w:val="000000" w:themeColor="text1"/>
          <w:sz w:val="22"/>
          <w:szCs w:val="22"/>
        </w:rPr>
        <w:t xml:space="preserve"> </w:t>
      </w:r>
      <w:r w:rsidRPr="00B015E2">
        <w:rPr>
          <w:rFonts w:ascii="Arial" w:hAnsi="Arial" w:cs="Arial"/>
          <w:color w:val="000000" w:themeColor="text1"/>
          <w:sz w:val="22"/>
          <w:szCs w:val="22"/>
        </w:rPr>
        <w:t xml:space="preserve">(2023) “Assessing and Addressing Social Determinants of Cardiovascular Health,” </w:t>
      </w:r>
      <w:r w:rsidRPr="00B015E2">
        <w:rPr>
          <w:rFonts w:ascii="Arial" w:hAnsi="Arial" w:cs="Arial"/>
          <w:i/>
          <w:iCs/>
          <w:color w:val="000000" w:themeColor="text1"/>
          <w:sz w:val="22"/>
          <w:szCs w:val="22"/>
        </w:rPr>
        <w:t>Journal of the American College of Cardiology.</w:t>
      </w:r>
      <w:r w:rsidRPr="00B015E2">
        <w:rPr>
          <w:rFonts w:ascii="Arial" w:hAnsi="Arial" w:cs="Arial"/>
          <w:color w:val="000000" w:themeColor="text1"/>
          <w:sz w:val="22"/>
          <w:szCs w:val="22"/>
        </w:rPr>
        <w:t xml:space="preserve">, 81(14), pp. 1368–1385. Available at: </w:t>
      </w:r>
      <w:hyperlink r:id="rId16" w:history="1">
        <w:r w:rsidRPr="00B015E2">
          <w:rPr>
            <w:rStyle w:val="Hyperlink"/>
            <w:rFonts w:ascii="Arial" w:hAnsi="Arial" w:cs="Arial"/>
            <w:sz w:val="22"/>
            <w:szCs w:val="22"/>
          </w:rPr>
          <w:t>https://doi.org/10.1016/j.jacc.2023.01.042</w:t>
        </w:r>
      </w:hyperlink>
      <w:r w:rsidRPr="00B015E2">
        <w:rPr>
          <w:rFonts w:ascii="Arial" w:hAnsi="Arial" w:cs="Arial"/>
          <w:color w:val="000000" w:themeColor="text1"/>
          <w:sz w:val="22"/>
          <w:szCs w:val="22"/>
        </w:rPr>
        <w:t xml:space="preserve">. (Accessed: 13 August 2026). </w:t>
      </w:r>
    </w:p>
    <w:p w14:paraId="41AE3608" w14:textId="77777777" w:rsidR="00936DBE" w:rsidRPr="00B015E2" w:rsidRDefault="00936DBE" w:rsidP="00C3269E">
      <w:pPr>
        <w:spacing w:after="120" w:line="360" w:lineRule="auto"/>
        <w:ind w:left="360" w:right="100"/>
        <w:rPr>
          <w:rFonts w:ascii="Arial" w:hAnsi="Arial" w:cs="Arial"/>
          <w:color w:val="000000" w:themeColor="text1"/>
          <w:sz w:val="22"/>
          <w:szCs w:val="22"/>
        </w:rPr>
      </w:pPr>
      <w:r w:rsidRPr="00B015E2">
        <w:rPr>
          <w:rFonts w:ascii="Arial" w:hAnsi="Arial" w:cs="Arial"/>
          <w:color w:val="000000" w:themeColor="text1"/>
          <w:sz w:val="22"/>
          <w:szCs w:val="22"/>
        </w:rPr>
        <w:lastRenderedPageBreak/>
        <w:t xml:space="preserve">Care Quality Commission (2025) </w:t>
      </w:r>
      <w:r w:rsidRPr="00B015E2">
        <w:rPr>
          <w:rFonts w:ascii="Arial" w:hAnsi="Arial" w:cs="Arial"/>
          <w:i/>
          <w:iCs/>
          <w:color w:val="000000" w:themeColor="text1"/>
          <w:sz w:val="22"/>
          <w:szCs w:val="22"/>
        </w:rPr>
        <w:t>State of Care 2024/25: Primary and Community Care</w:t>
      </w:r>
      <w:r w:rsidRPr="00B015E2">
        <w:rPr>
          <w:rFonts w:ascii="Arial" w:hAnsi="Arial" w:cs="Arial"/>
          <w:color w:val="000000" w:themeColor="text1"/>
          <w:sz w:val="22"/>
          <w:szCs w:val="22"/>
        </w:rPr>
        <w:t xml:space="preserve">. Available at: </w:t>
      </w:r>
      <w:hyperlink r:id="rId17" w:tgtFrame="_new" w:history="1">
        <w:r w:rsidRPr="00B015E2">
          <w:rPr>
            <w:rStyle w:val="Hyperlink"/>
            <w:rFonts w:ascii="Arial" w:hAnsi="Arial" w:cs="Arial"/>
            <w:color w:val="000000" w:themeColor="text1"/>
            <w:sz w:val="22"/>
            <w:szCs w:val="22"/>
          </w:rPr>
          <w:t>https://www.cqc.org.uk/publications/major-report/state-care/2024-2025/access/primary</w:t>
        </w:r>
      </w:hyperlink>
      <w:r w:rsidRPr="00B015E2">
        <w:rPr>
          <w:rFonts w:ascii="Arial" w:hAnsi="Arial" w:cs="Arial"/>
          <w:color w:val="000000" w:themeColor="text1"/>
          <w:sz w:val="22"/>
          <w:szCs w:val="22"/>
        </w:rPr>
        <w:t xml:space="preserve">. (Accessed: 6 August 2026). </w:t>
      </w:r>
    </w:p>
    <w:p w14:paraId="535BA38D" w14:textId="77777777" w:rsidR="00936DBE" w:rsidRPr="00B015E2" w:rsidRDefault="00936DBE" w:rsidP="00C3269E">
      <w:pPr>
        <w:spacing w:after="120" w:line="360" w:lineRule="auto"/>
        <w:ind w:left="360"/>
        <w:rPr>
          <w:rFonts w:ascii="Arial" w:hAnsi="Arial" w:cs="Arial"/>
          <w:color w:val="000000" w:themeColor="text1"/>
          <w:sz w:val="22"/>
          <w:szCs w:val="22"/>
        </w:rPr>
      </w:pPr>
      <w:r w:rsidRPr="00C73DB5">
        <w:rPr>
          <w:rFonts w:ascii="Arial" w:hAnsi="Arial" w:cs="Arial"/>
          <w:color w:val="000000" w:themeColor="text1"/>
          <w:sz w:val="22"/>
          <w:szCs w:val="22"/>
        </w:rPr>
        <w:t xml:space="preserve">Centre for Ageing Better (2025) “Homes”, </w:t>
      </w:r>
      <w:r w:rsidRPr="00C73DB5">
        <w:rPr>
          <w:rFonts w:ascii="Arial" w:hAnsi="Arial" w:cs="Arial"/>
          <w:i/>
          <w:iCs/>
          <w:color w:val="000000" w:themeColor="text1"/>
          <w:sz w:val="22"/>
          <w:szCs w:val="22"/>
        </w:rPr>
        <w:t>The State of Ageing 2025</w:t>
      </w:r>
      <w:r w:rsidRPr="00C73DB5">
        <w:rPr>
          <w:rFonts w:ascii="Arial" w:hAnsi="Arial" w:cs="Arial"/>
          <w:color w:val="000000" w:themeColor="text1"/>
          <w:sz w:val="22"/>
          <w:szCs w:val="22"/>
        </w:rPr>
        <w:t>. Available at:</w:t>
      </w:r>
      <w:r w:rsidRPr="00B015E2">
        <w:rPr>
          <w:rFonts w:ascii="Arial" w:hAnsi="Arial" w:cs="Arial"/>
          <w:color w:val="000000" w:themeColor="text1"/>
          <w:sz w:val="22"/>
          <w:szCs w:val="22"/>
        </w:rPr>
        <w:t xml:space="preserve"> </w:t>
      </w:r>
      <w:hyperlink r:id="rId18" w:tgtFrame="_new" w:history="1">
        <w:r w:rsidRPr="00B015E2">
          <w:rPr>
            <w:rStyle w:val="Hyperlink"/>
            <w:rFonts w:ascii="Arial" w:hAnsi="Arial" w:cs="Arial"/>
            <w:color w:val="000000" w:themeColor="text1"/>
            <w:sz w:val="22"/>
            <w:szCs w:val="22"/>
          </w:rPr>
          <w:t>https://ageing-better.org.uk/homes-state-ageing-2025</w:t>
        </w:r>
      </w:hyperlink>
      <w:r w:rsidRPr="00B015E2">
        <w:rPr>
          <w:rFonts w:ascii="Arial" w:hAnsi="Arial" w:cs="Arial"/>
          <w:color w:val="000000" w:themeColor="text1"/>
          <w:sz w:val="22"/>
          <w:szCs w:val="22"/>
        </w:rPr>
        <w:t xml:space="preserve">. (Accessed: 7 August 2026). </w:t>
      </w:r>
    </w:p>
    <w:p w14:paraId="7D9E3F78" w14:textId="77777777" w:rsidR="00936DBE" w:rsidRPr="00B015E2" w:rsidRDefault="00936DBE" w:rsidP="00C3269E">
      <w:pPr>
        <w:spacing w:after="120" w:line="360" w:lineRule="auto"/>
        <w:ind w:left="360" w:right="100"/>
        <w:rPr>
          <w:rFonts w:ascii="Arial" w:hAnsi="Arial" w:cs="Arial"/>
          <w:color w:val="000000" w:themeColor="text1"/>
          <w:sz w:val="22"/>
          <w:szCs w:val="22"/>
        </w:rPr>
      </w:pPr>
      <w:r w:rsidRPr="00B015E2">
        <w:rPr>
          <w:rFonts w:ascii="Arial" w:hAnsi="Arial" w:cs="Arial"/>
          <w:color w:val="000000" w:themeColor="text1"/>
          <w:sz w:val="22"/>
          <w:szCs w:val="22"/>
        </w:rPr>
        <w:t xml:space="preserve">Dunnell, K. (2008) “Ageing and mortality in the UK--national statistician’s annual article on the population.” </w:t>
      </w:r>
      <w:r w:rsidRPr="00B015E2">
        <w:rPr>
          <w:rFonts w:ascii="Arial" w:hAnsi="Arial" w:cs="Arial"/>
          <w:i/>
          <w:iCs/>
          <w:color w:val="000000" w:themeColor="text1"/>
          <w:sz w:val="22"/>
          <w:szCs w:val="22"/>
        </w:rPr>
        <w:t>Population trends.</w:t>
      </w:r>
      <w:r w:rsidRPr="00B015E2">
        <w:rPr>
          <w:rFonts w:ascii="Arial" w:hAnsi="Arial" w:cs="Arial"/>
          <w:color w:val="000000" w:themeColor="text1"/>
          <w:sz w:val="22"/>
          <w:szCs w:val="22"/>
        </w:rPr>
        <w:t xml:space="preserve"> (134), pp. 6–23. (Accessed: 5 August 2026).</w:t>
      </w:r>
    </w:p>
    <w:p w14:paraId="3AF5EA56" w14:textId="77777777" w:rsidR="00936DBE" w:rsidRPr="00B015E2" w:rsidRDefault="00936DBE" w:rsidP="0055709C">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Epidemiological surveillance: Importance &amp; methods. (2019). </w:t>
      </w:r>
      <w:proofErr w:type="spellStart"/>
      <w:r w:rsidRPr="00B015E2">
        <w:rPr>
          <w:rFonts w:ascii="Arial" w:hAnsi="Arial" w:cs="Arial"/>
          <w:i/>
          <w:iCs/>
          <w:color w:val="000000" w:themeColor="text1"/>
          <w:sz w:val="22"/>
          <w:szCs w:val="22"/>
        </w:rPr>
        <w:t>StudySmarter</w:t>
      </w:r>
      <w:proofErr w:type="spellEnd"/>
      <w:r w:rsidRPr="00B015E2">
        <w:rPr>
          <w:rFonts w:ascii="Arial" w:hAnsi="Arial" w:cs="Arial"/>
          <w:i/>
          <w:iCs/>
          <w:color w:val="000000" w:themeColor="text1"/>
          <w:sz w:val="22"/>
          <w:szCs w:val="22"/>
        </w:rPr>
        <w:t xml:space="preserve"> UK</w:t>
      </w:r>
      <w:r w:rsidRPr="00B015E2">
        <w:rPr>
          <w:rFonts w:ascii="Arial" w:hAnsi="Arial" w:cs="Arial"/>
          <w:color w:val="000000" w:themeColor="text1"/>
          <w:sz w:val="22"/>
          <w:szCs w:val="22"/>
        </w:rPr>
        <w:t xml:space="preserve">. Available at: </w:t>
      </w:r>
      <w:hyperlink r:id="rId19" w:history="1">
        <w:r w:rsidRPr="00B015E2">
          <w:rPr>
            <w:rStyle w:val="Hyperlink"/>
            <w:rFonts w:ascii="Arial" w:hAnsi="Arial" w:cs="Arial"/>
            <w:color w:val="000000" w:themeColor="text1"/>
            <w:sz w:val="22"/>
            <w:szCs w:val="22"/>
          </w:rPr>
          <w:t>https://www.studysmarter.co.uk/explanations/medicine/epidemiology/epidemiological-surveillance/</w:t>
        </w:r>
      </w:hyperlink>
      <w:r w:rsidRPr="00B015E2">
        <w:rPr>
          <w:rFonts w:ascii="Arial" w:hAnsi="Arial" w:cs="Arial"/>
          <w:color w:val="000000" w:themeColor="text1"/>
          <w:sz w:val="22"/>
          <w:szCs w:val="22"/>
        </w:rPr>
        <w:t>. (Accessed 8 Aug. 2026).</w:t>
      </w:r>
    </w:p>
    <w:p w14:paraId="072BB5F2"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Farah, W. (2026) “No equity without equality: universalism, antiracism and the NHS,” </w:t>
      </w:r>
      <w:r w:rsidRPr="00B015E2">
        <w:rPr>
          <w:rFonts w:ascii="Arial" w:hAnsi="Arial" w:cs="Arial"/>
          <w:i/>
          <w:iCs/>
          <w:color w:val="000000" w:themeColor="text1"/>
          <w:sz w:val="22"/>
          <w:szCs w:val="22"/>
        </w:rPr>
        <w:t>Race &amp; class.</w:t>
      </w:r>
      <w:r w:rsidRPr="00B015E2">
        <w:rPr>
          <w:rFonts w:ascii="Arial" w:hAnsi="Arial" w:cs="Arial"/>
          <w:color w:val="000000" w:themeColor="text1"/>
          <w:sz w:val="22"/>
          <w:szCs w:val="22"/>
        </w:rPr>
        <w:t xml:space="preserve">, 68(1), pp. 94–109. Available at: </w:t>
      </w:r>
      <w:hyperlink r:id="rId20" w:history="1">
        <w:r w:rsidRPr="00B015E2">
          <w:rPr>
            <w:rStyle w:val="Hyperlink"/>
            <w:rFonts w:ascii="Arial" w:hAnsi="Arial" w:cs="Arial"/>
            <w:color w:val="000000" w:themeColor="text1"/>
            <w:sz w:val="22"/>
            <w:szCs w:val="22"/>
          </w:rPr>
          <w:t>https://doi.org/10.1177/03063968261434853</w:t>
        </w:r>
      </w:hyperlink>
      <w:r w:rsidRPr="00B015E2">
        <w:rPr>
          <w:rFonts w:ascii="Arial" w:hAnsi="Arial" w:cs="Arial"/>
          <w:color w:val="000000" w:themeColor="text1"/>
          <w:sz w:val="22"/>
          <w:szCs w:val="22"/>
        </w:rPr>
        <w:t>. (Accessed: 5 August 2026).</w:t>
      </w:r>
    </w:p>
    <w:p w14:paraId="32EFAA14"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Gandy, R.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(2017) “Evaluating the delivery, impact, costs and benefits of an active lives programme for older people living in the community”, </w:t>
      </w:r>
      <w:r w:rsidRPr="00B015E2">
        <w:rPr>
          <w:rFonts w:ascii="Arial" w:hAnsi="Arial" w:cs="Arial"/>
          <w:i/>
          <w:iCs/>
          <w:color w:val="000000" w:themeColor="text1"/>
          <w:sz w:val="22"/>
          <w:szCs w:val="22"/>
        </w:rPr>
        <w:t>Primary health care research &amp; development.</w:t>
      </w:r>
      <w:r w:rsidRPr="00B015E2">
        <w:rPr>
          <w:rFonts w:ascii="Arial" w:hAnsi="Arial" w:cs="Arial"/>
          <w:color w:val="000000" w:themeColor="text1"/>
          <w:sz w:val="22"/>
          <w:szCs w:val="22"/>
        </w:rPr>
        <w:t xml:space="preserve">, 18(2), pp. 122–134. Available at: </w:t>
      </w:r>
      <w:hyperlink r:id="rId21" w:history="1">
        <w:r w:rsidRPr="00B015E2">
          <w:rPr>
            <w:rStyle w:val="Hyperlink"/>
            <w:rFonts w:ascii="Arial" w:hAnsi="Arial" w:cs="Arial"/>
            <w:color w:val="000000" w:themeColor="text1"/>
            <w:sz w:val="22"/>
            <w:szCs w:val="22"/>
          </w:rPr>
          <w:t>https://doi.org/10.1017/S146342361600027X</w:t>
        </w:r>
      </w:hyperlink>
      <w:r w:rsidRPr="00B015E2">
        <w:rPr>
          <w:rFonts w:ascii="Arial" w:hAnsi="Arial" w:cs="Arial"/>
          <w:color w:val="000000" w:themeColor="text1"/>
          <w:sz w:val="22"/>
          <w:szCs w:val="22"/>
        </w:rPr>
        <w:t>. (Accessed: 30 July 2026).</w:t>
      </w:r>
    </w:p>
    <w:p w14:paraId="2F5C9EB4" w14:textId="77777777" w:rsidR="00936DBE" w:rsidRPr="00B015E2" w:rsidRDefault="00936DBE" w:rsidP="00C3269E">
      <w:pPr>
        <w:spacing w:after="120" w:line="360" w:lineRule="auto"/>
        <w:ind w:left="360" w:right="100"/>
        <w:rPr>
          <w:rFonts w:ascii="Arial" w:hAnsi="Arial" w:cs="Arial"/>
          <w:color w:val="000000" w:themeColor="text1"/>
          <w:sz w:val="22"/>
          <w:szCs w:val="22"/>
        </w:rPr>
      </w:pPr>
      <w:r w:rsidRPr="009601A5">
        <w:rPr>
          <w:rFonts w:ascii="Arial" w:hAnsi="Arial" w:cs="Arial"/>
          <w:color w:val="000000" w:themeColor="text1"/>
          <w:sz w:val="22"/>
          <w:szCs w:val="22"/>
        </w:rPr>
        <w:t>González-</w:t>
      </w:r>
      <w:proofErr w:type="spellStart"/>
      <w:r w:rsidRPr="009601A5">
        <w:rPr>
          <w:rFonts w:ascii="Arial" w:hAnsi="Arial" w:cs="Arial"/>
          <w:color w:val="000000" w:themeColor="text1"/>
          <w:sz w:val="22"/>
          <w:szCs w:val="22"/>
        </w:rPr>
        <w:t>Álamos</w:t>
      </w:r>
      <w:proofErr w:type="spellEnd"/>
      <w:r w:rsidRPr="009601A5">
        <w:rPr>
          <w:rFonts w:ascii="Arial" w:hAnsi="Arial" w:cs="Arial"/>
          <w:color w:val="000000" w:themeColor="text1"/>
          <w:sz w:val="22"/>
          <w:szCs w:val="22"/>
        </w:rPr>
        <w:t xml:space="preserve">, M. </w:t>
      </w:r>
      <w:r w:rsidRPr="009601A5">
        <w:rPr>
          <w:rFonts w:ascii="Arial" w:hAnsi="Arial" w:cs="Arial"/>
          <w:i/>
          <w:iCs/>
          <w:color w:val="000000" w:themeColor="text1"/>
          <w:sz w:val="22"/>
          <w:szCs w:val="22"/>
        </w:rPr>
        <w:t>et al.</w:t>
      </w:r>
      <w:r w:rsidRPr="009601A5">
        <w:rPr>
          <w:rFonts w:ascii="Arial" w:hAnsi="Arial" w:cs="Arial"/>
          <w:color w:val="000000" w:themeColor="text1"/>
          <w:sz w:val="22"/>
          <w:szCs w:val="22"/>
        </w:rPr>
        <w:t xml:space="preserve"> </w:t>
      </w:r>
      <w:r w:rsidRPr="00B015E2">
        <w:rPr>
          <w:rFonts w:ascii="Arial" w:hAnsi="Arial" w:cs="Arial"/>
          <w:color w:val="000000" w:themeColor="text1"/>
          <w:sz w:val="22"/>
          <w:szCs w:val="22"/>
        </w:rPr>
        <w:t xml:space="preserve">(2026) “Life satisfaction, loneliness, and mental health in older adults: sociodemographic influences in a cross-sectional analysis,” </w:t>
      </w:r>
      <w:r w:rsidRPr="00B015E2">
        <w:rPr>
          <w:rFonts w:ascii="Arial" w:hAnsi="Arial" w:cs="Arial"/>
          <w:i/>
          <w:iCs/>
          <w:color w:val="000000" w:themeColor="text1"/>
          <w:sz w:val="22"/>
          <w:szCs w:val="22"/>
        </w:rPr>
        <w:t>BMC geriatrics.</w:t>
      </w:r>
      <w:r w:rsidRPr="00B015E2">
        <w:rPr>
          <w:rFonts w:ascii="Arial" w:hAnsi="Arial" w:cs="Arial"/>
          <w:color w:val="000000" w:themeColor="text1"/>
          <w:sz w:val="22"/>
          <w:szCs w:val="22"/>
        </w:rPr>
        <w:t xml:space="preserve">, 26(1). Available at: </w:t>
      </w:r>
      <w:hyperlink r:id="rId22" w:history="1">
        <w:r w:rsidRPr="00B015E2">
          <w:rPr>
            <w:rStyle w:val="Hyperlink"/>
            <w:rFonts w:ascii="Arial" w:hAnsi="Arial" w:cs="Arial"/>
            <w:color w:val="000000" w:themeColor="text1"/>
            <w:sz w:val="22"/>
            <w:szCs w:val="22"/>
          </w:rPr>
          <w:t>https://doi.org/10.1186/s12877-026-07671-9</w:t>
        </w:r>
      </w:hyperlink>
      <w:r w:rsidRPr="00B015E2">
        <w:rPr>
          <w:rFonts w:ascii="Arial" w:hAnsi="Arial" w:cs="Arial"/>
          <w:color w:val="000000" w:themeColor="text1"/>
          <w:sz w:val="22"/>
          <w:szCs w:val="22"/>
        </w:rPr>
        <w:t xml:space="preserve">. (Accessed: 6 August 2026). </w:t>
      </w:r>
    </w:p>
    <w:p w14:paraId="0F412647"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Hazan, J., Howard, R. and Isaacs, J.D. (2026) “England’s Dementia Diagnosis Landscape: Strengths, Limitations, and Future Directions,” </w:t>
      </w:r>
      <w:r w:rsidRPr="00B015E2">
        <w:rPr>
          <w:rFonts w:ascii="Arial" w:hAnsi="Arial" w:cs="Arial"/>
          <w:i/>
          <w:iCs/>
          <w:color w:val="000000" w:themeColor="text1"/>
          <w:sz w:val="22"/>
          <w:szCs w:val="22"/>
        </w:rPr>
        <w:t>International journal of geriatric psychiatry.</w:t>
      </w:r>
      <w:r w:rsidRPr="00B015E2">
        <w:rPr>
          <w:rFonts w:ascii="Arial" w:hAnsi="Arial" w:cs="Arial"/>
          <w:color w:val="000000" w:themeColor="text1"/>
          <w:sz w:val="22"/>
          <w:szCs w:val="22"/>
        </w:rPr>
        <w:t xml:space="preserve">, 41(7). Available at: </w:t>
      </w:r>
      <w:hyperlink r:id="rId23" w:history="1">
        <w:r w:rsidRPr="00B015E2">
          <w:rPr>
            <w:rStyle w:val="Hyperlink"/>
            <w:rFonts w:ascii="Arial" w:hAnsi="Arial" w:cs="Arial"/>
            <w:sz w:val="22"/>
            <w:szCs w:val="22"/>
          </w:rPr>
          <w:t>https://doi.org/10.1002/gps.70236</w:t>
        </w:r>
      </w:hyperlink>
      <w:r w:rsidRPr="00B015E2">
        <w:rPr>
          <w:rFonts w:ascii="Arial" w:hAnsi="Arial" w:cs="Arial"/>
          <w:color w:val="000000" w:themeColor="text1"/>
          <w:sz w:val="22"/>
          <w:szCs w:val="22"/>
        </w:rPr>
        <w:t>. (Accessed: 11 August 2026).</w:t>
      </w:r>
    </w:p>
    <w:p w14:paraId="51661ED3"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Holdroyd, I.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(2022) “Systematic review of the effectiveness of the health inequalities strategy in England between 1999 and 2010,” </w:t>
      </w:r>
      <w:r w:rsidRPr="00B015E2">
        <w:rPr>
          <w:rFonts w:ascii="Arial" w:hAnsi="Arial" w:cs="Arial"/>
          <w:i/>
          <w:iCs/>
          <w:color w:val="000000" w:themeColor="text1"/>
          <w:sz w:val="22"/>
          <w:szCs w:val="22"/>
        </w:rPr>
        <w:t>BMJ open.</w:t>
      </w:r>
      <w:r w:rsidRPr="00B015E2">
        <w:rPr>
          <w:rFonts w:ascii="Arial" w:hAnsi="Arial" w:cs="Arial"/>
          <w:color w:val="000000" w:themeColor="text1"/>
          <w:sz w:val="22"/>
          <w:szCs w:val="22"/>
        </w:rPr>
        <w:t xml:space="preserve">, 12(9). Available at: </w:t>
      </w:r>
      <w:hyperlink r:id="rId24" w:history="1">
        <w:r w:rsidRPr="00B015E2">
          <w:rPr>
            <w:rStyle w:val="Hyperlink"/>
            <w:rFonts w:ascii="Arial" w:hAnsi="Arial" w:cs="Arial"/>
            <w:color w:val="000000" w:themeColor="text1"/>
            <w:sz w:val="22"/>
            <w:szCs w:val="22"/>
          </w:rPr>
          <w:t>https://doi.org/10.1136/bmjopen-2022-063137</w:t>
        </w:r>
      </w:hyperlink>
      <w:r w:rsidRPr="00B015E2">
        <w:rPr>
          <w:rFonts w:ascii="Arial" w:hAnsi="Arial" w:cs="Arial"/>
          <w:color w:val="000000" w:themeColor="text1"/>
          <w:sz w:val="22"/>
          <w:szCs w:val="22"/>
        </w:rPr>
        <w:t>. (Accessed: 1 August 2026).</w:t>
      </w:r>
    </w:p>
    <w:p w14:paraId="55B964DC"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lastRenderedPageBreak/>
        <w:t xml:space="preserve">Kisling, L.A. and Das, J.M. (2023) “Prevention strategies", </w:t>
      </w:r>
      <w:r w:rsidRPr="00B015E2">
        <w:rPr>
          <w:rFonts w:ascii="Arial" w:hAnsi="Arial" w:cs="Arial"/>
          <w:i/>
          <w:iCs/>
          <w:color w:val="000000" w:themeColor="text1"/>
          <w:sz w:val="22"/>
          <w:szCs w:val="22"/>
        </w:rPr>
        <w:t>Nih.gov</w:t>
      </w:r>
      <w:r w:rsidRPr="00B015E2">
        <w:rPr>
          <w:rFonts w:ascii="Arial" w:hAnsi="Arial" w:cs="Arial"/>
          <w:color w:val="000000" w:themeColor="text1"/>
          <w:sz w:val="22"/>
          <w:szCs w:val="22"/>
        </w:rPr>
        <w:t xml:space="preserve">. </w:t>
      </w:r>
      <w:proofErr w:type="spellStart"/>
      <w:r w:rsidRPr="00B015E2">
        <w:rPr>
          <w:rFonts w:ascii="Arial" w:hAnsi="Arial" w:cs="Arial"/>
          <w:color w:val="000000" w:themeColor="text1"/>
          <w:sz w:val="22"/>
          <w:szCs w:val="22"/>
        </w:rPr>
        <w:t>StatPearls</w:t>
      </w:r>
      <w:proofErr w:type="spellEnd"/>
      <w:r w:rsidRPr="00B015E2">
        <w:rPr>
          <w:rFonts w:ascii="Arial" w:hAnsi="Arial" w:cs="Arial"/>
          <w:color w:val="000000" w:themeColor="text1"/>
          <w:sz w:val="22"/>
          <w:szCs w:val="22"/>
        </w:rPr>
        <w:t xml:space="preserve"> Publishing. Available at: </w:t>
      </w:r>
      <w:hyperlink r:id="rId25" w:history="1">
        <w:r w:rsidRPr="00B015E2">
          <w:rPr>
            <w:rStyle w:val="Hyperlink"/>
            <w:rFonts w:ascii="Arial" w:hAnsi="Arial" w:cs="Arial"/>
            <w:color w:val="000000" w:themeColor="text1"/>
            <w:sz w:val="22"/>
            <w:szCs w:val="22"/>
          </w:rPr>
          <w:t>https://www.ncbi.nlm.nih.gov/sites/books/NBK537222/</w:t>
        </w:r>
      </w:hyperlink>
      <w:r w:rsidRPr="00B015E2">
        <w:rPr>
          <w:rFonts w:ascii="Arial" w:hAnsi="Arial" w:cs="Arial"/>
          <w:color w:val="000000" w:themeColor="text1"/>
          <w:sz w:val="22"/>
          <w:szCs w:val="22"/>
        </w:rPr>
        <w:t>. (Accessed: 7 August 2026).</w:t>
      </w:r>
    </w:p>
    <w:p w14:paraId="445F2E74" w14:textId="77777777" w:rsidR="00936DBE" w:rsidRPr="00B015E2" w:rsidRDefault="00936DBE" w:rsidP="00C3269E">
      <w:pPr>
        <w:spacing w:after="120" w:line="360" w:lineRule="auto"/>
        <w:ind w:left="360"/>
        <w:jc w:val="both"/>
        <w:rPr>
          <w:rFonts w:ascii="Arial" w:hAnsi="Arial" w:cs="Arial"/>
          <w:color w:val="000000" w:themeColor="text1"/>
          <w:sz w:val="22"/>
          <w:szCs w:val="22"/>
        </w:rPr>
      </w:pPr>
      <w:r w:rsidRPr="00B015E2">
        <w:rPr>
          <w:rFonts w:ascii="Arial" w:hAnsi="Arial" w:cs="Arial"/>
          <w:color w:val="000000" w:themeColor="text1"/>
          <w:sz w:val="22"/>
          <w:szCs w:val="22"/>
        </w:rPr>
        <w:t xml:space="preserve">Lesko, C.R. and Fox, M.P. (2025) “An evolved interpretation of Austin Bradford Hill’s causal viewpoints and their influence on epidemiologic methods,” </w:t>
      </w:r>
      <w:r w:rsidRPr="00B015E2">
        <w:rPr>
          <w:rFonts w:ascii="Arial" w:hAnsi="Arial" w:cs="Arial"/>
          <w:i/>
          <w:iCs/>
          <w:color w:val="000000" w:themeColor="text1"/>
          <w:sz w:val="22"/>
          <w:szCs w:val="22"/>
        </w:rPr>
        <w:t>American journal of epidemiology.</w:t>
      </w:r>
      <w:r w:rsidRPr="00B015E2">
        <w:rPr>
          <w:rFonts w:ascii="Arial" w:hAnsi="Arial" w:cs="Arial"/>
          <w:color w:val="000000" w:themeColor="text1"/>
          <w:sz w:val="22"/>
          <w:szCs w:val="22"/>
        </w:rPr>
        <w:t xml:space="preserve">, 194(6), pp. 1476–1481. Available at: </w:t>
      </w:r>
      <w:hyperlink r:id="rId26" w:history="1">
        <w:r w:rsidRPr="00B015E2">
          <w:rPr>
            <w:rStyle w:val="Hyperlink"/>
            <w:rFonts w:ascii="Arial" w:hAnsi="Arial" w:cs="Arial"/>
            <w:sz w:val="22"/>
            <w:szCs w:val="22"/>
          </w:rPr>
          <w:t>https://doi.org/10.1093/aje/kwae367</w:t>
        </w:r>
      </w:hyperlink>
      <w:r w:rsidRPr="00B015E2">
        <w:rPr>
          <w:rFonts w:ascii="Arial" w:hAnsi="Arial" w:cs="Arial"/>
          <w:color w:val="000000" w:themeColor="text1"/>
          <w:sz w:val="22"/>
          <w:szCs w:val="22"/>
        </w:rPr>
        <w:t xml:space="preserve">. </w:t>
      </w:r>
      <w:proofErr w:type="gramStart"/>
      <w:r w:rsidRPr="00B015E2">
        <w:rPr>
          <w:rFonts w:ascii="Arial" w:hAnsi="Arial" w:cs="Arial"/>
          <w:color w:val="000000" w:themeColor="text1"/>
          <w:sz w:val="22"/>
          <w:szCs w:val="22"/>
        </w:rPr>
        <w:t>.(</w:t>
      </w:r>
      <w:proofErr w:type="gramEnd"/>
      <w:r w:rsidRPr="00B015E2">
        <w:rPr>
          <w:rFonts w:ascii="Arial" w:hAnsi="Arial" w:cs="Arial"/>
          <w:color w:val="000000" w:themeColor="text1"/>
          <w:sz w:val="22"/>
          <w:szCs w:val="22"/>
        </w:rPr>
        <w:t>Accessed: 11 August 2026).</w:t>
      </w:r>
    </w:p>
    <w:p w14:paraId="1285EC83" w14:textId="32FE0263" w:rsidR="00936DBE" w:rsidRPr="00B015E2" w:rsidRDefault="00936DBE" w:rsidP="00C3269E">
      <w:pPr>
        <w:spacing w:after="120" w:line="360" w:lineRule="auto"/>
        <w:ind w:left="360"/>
        <w:jc w:val="both"/>
        <w:rPr>
          <w:rFonts w:ascii="Arial" w:hAnsi="Arial" w:cs="Arial"/>
          <w:color w:val="000000" w:themeColor="text1"/>
          <w:sz w:val="22"/>
          <w:szCs w:val="22"/>
        </w:rPr>
      </w:pPr>
      <w:r w:rsidRPr="00B015E2">
        <w:rPr>
          <w:rFonts w:ascii="Arial" w:hAnsi="Arial" w:cs="Arial"/>
          <w:color w:val="000000" w:themeColor="text1"/>
          <w:sz w:val="22"/>
          <w:szCs w:val="22"/>
        </w:rPr>
        <w:t xml:space="preserve">Li, X.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(2025) “The virtual reality intervention programs and dementia care education: A systematic review,” </w:t>
      </w:r>
      <w:r w:rsidRPr="00B015E2">
        <w:rPr>
          <w:rFonts w:ascii="Arial" w:hAnsi="Arial" w:cs="Arial"/>
          <w:i/>
          <w:iCs/>
          <w:color w:val="000000" w:themeColor="text1"/>
          <w:sz w:val="22"/>
          <w:szCs w:val="22"/>
        </w:rPr>
        <w:t>Educational gerontology.</w:t>
      </w:r>
      <w:r w:rsidRPr="00B015E2">
        <w:rPr>
          <w:rFonts w:ascii="Arial" w:hAnsi="Arial" w:cs="Arial"/>
          <w:color w:val="000000" w:themeColor="text1"/>
          <w:sz w:val="22"/>
          <w:szCs w:val="22"/>
        </w:rPr>
        <w:t xml:space="preserve">, 51(6), pp. 598–614. Available at: </w:t>
      </w:r>
      <w:hyperlink r:id="rId27" w:history="1">
        <w:r w:rsidRPr="00B015E2">
          <w:rPr>
            <w:rStyle w:val="Hyperlink"/>
            <w:rFonts w:ascii="Arial" w:hAnsi="Arial" w:cs="Arial"/>
            <w:sz w:val="22"/>
            <w:szCs w:val="22"/>
          </w:rPr>
          <w:t>https://doi.org/10.1080/03601277.2025.2466131</w:t>
        </w:r>
      </w:hyperlink>
      <w:r w:rsidRPr="00B015E2">
        <w:rPr>
          <w:rFonts w:ascii="Arial" w:hAnsi="Arial" w:cs="Arial"/>
          <w:color w:val="000000" w:themeColor="text1"/>
          <w:sz w:val="22"/>
          <w:szCs w:val="22"/>
        </w:rPr>
        <w:t>.</w:t>
      </w:r>
      <w:r w:rsidR="00724278">
        <w:rPr>
          <w:rFonts w:ascii="Arial" w:hAnsi="Arial" w:cs="Arial"/>
          <w:color w:val="000000" w:themeColor="text1"/>
          <w:sz w:val="22"/>
          <w:szCs w:val="22"/>
        </w:rPr>
        <w:t xml:space="preserve"> </w:t>
      </w:r>
      <w:r w:rsidRPr="00B015E2">
        <w:rPr>
          <w:rFonts w:ascii="Arial" w:hAnsi="Arial" w:cs="Arial"/>
          <w:color w:val="000000" w:themeColor="text1"/>
          <w:sz w:val="22"/>
          <w:szCs w:val="22"/>
        </w:rPr>
        <w:t>(Accessed: 11 August 2026).</w:t>
      </w:r>
    </w:p>
    <w:p w14:paraId="36CF254C"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Livingston, G.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(2024) ‘Dementia prevention, intervention, and care: 2024 report of the Lancet Standing Commission’, </w:t>
      </w:r>
      <w:r w:rsidRPr="00B015E2">
        <w:rPr>
          <w:rFonts w:ascii="Arial" w:hAnsi="Arial" w:cs="Arial"/>
          <w:i/>
          <w:iCs/>
          <w:color w:val="000000" w:themeColor="text1"/>
          <w:sz w:val="22"/>
          <w:szCs w:val="22"/>
        </w:rPr>
        <w:t>The Lancet</w:t>
      </w:r>
      <w:r w:rsidRPr="00B015E2">
        <w:rPr>
          <w:rFonts w:ascii="Arial" w:hAnsi="Arial" w:cs="Arial"/>
          <w:color w:val="000000" w:themeColor="text1"/>
          <w:sz w:val="22"/>
          <w:szCs w:val="22"/>
        </w:rPr>
        <w:t xml:space="preserve">, 404(10452), pp. 572–628. </w:t>
      </w:r>
      <w:proofErr w:type="spellStart"/>
      <w:r w:rsidRPr="00B015E2">
        <w:rPr>
          <w:rFonts w:ascii="Arial" w:hAnsi="Arial" w:cs="Arial"/>
          <w:color w:val="000000" w:themeColor="text1"/>
          <w:sz w:val="22"/>
          <w:szCs w:val="22"/>
        </w:rPr>
        <w:t>doi</w:t>
      </w:r>
      <w:proofErr w:type="spellEnd"/>
      <w:r w:rsidRPr="00B015E2">
        <w:rPr>
          <w:rFonts w:ascii="Arial" w:hAnsi="Arial" w:cs="Arial"/>
          <w:color w:val="000000" w:themeColor="text1"/>
          <w:sz w:val="22"/>
          <w:szCs w:val="22"/>
        </w:rPr>
        <w:t>: 10.1016/S0140-6736(24)01296-0. (Accessed: 25 July 2026).</w:t>
      </w:r>
    </w:p>
    <w:p w14:paraId="43D6A7EE"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Marmot, M., Allen, J., Boyce, T., Goldblatt, P. and Morrison, J. (2020) </w:t>
      </w:r>
      <w:r w:rsidRPr="00B015E2">
        <w:rPr>
          <w:rFonts w:ascii="Arial" w:hAnsi="Arial" w:cs="Arial"/>
          <w:i/>
          <w:iCs/>
          <w:color w:val="000000" w:themeColor="text1"/>
          <w:sz w:val="22"/>
          <w:szCs w:val="22"/>
        </w:rPr>
        <w:t>Health Equity in England: The Marmot Review 10 Years On</w:t>
      </w:r>
      <w:r w:rsidRPr="00B015E2">
        <w:rPr>
          <w:rFonts w:ascii="Arial" w:hAnsi="Arial" w:cs="Arial"/>
          <w:color w:val="000000" w:themeColor="text1"/>
          <w:sz w:val="22"/>
          <w:szCs w:val="22"/>
        </w:rPr>
        <w:t xml:space="preserve">. London: Institute of Health Equity. Available at: </w:t>
      </w:r>
      <w:hyperlink r:id="rId28" w:history="1">
        <w:r w:rsidRPr="00B015E2">
          <w:rPr>
            <w:rStyle w:val="Hyperlink"/>
            <w:rFonts w:ascii="Arial" w:hAnsi="Arial" w:cs="Arial"/>
            <w:color w:val="000000" w:themeColor="text1"/>
            <w:sz w:val="22"/>
            <w:szCs w:val="22"/>
          </w:rPr>
          <w:t xml:space="preserve">Health equity in England: </w:t>
        </w:r>
        <w:proofErr w:type="gramStart"/>
        <w:r w:rsidRPr="00B015E2">
          <w:rPr>
            <w:rStyle w:val="Hyperlink"/>
            <w:rFonts w:ascii="Arial" w:hAnsi="Arial" w:cs="Arial"/>
            <w:color w:val="000000" w:themeColor="text1"/>
            <w:sz w:val="22"/>
            <w:szCs w:val="22"/>
          </w:rPr>
          <w:t>the</w:t>
        </w:r>
        <w:proofErr w:type="gramEnd"/>
        <w:r w:rsidRPr="00B015E2">
          <w:rPr>
            <w:rStyle w:val="Hyperlink"/>
            <w:rFonts w:ascii="Arial" w:hAnsi="Arial" w:cs="Arial"/>
            <w:color w:val="000000" w:themeColor="text1"/>
            <w:sz w:val="22"/>
            <w:szCs w:val="22"/>
          </w:rPr>
          <w:t xml:space="preserve"> Marmot review 10 years on - UCL Discovery</w:t>
        </w:r>
      </w:hyperlink>
      <w:r w:rsidRPr="00B015E2">
        <w:rPr>
          <w:rFonts w:ascii="Arial" w:hAnsi="Arial" w:cs="Arial"/>
          <w:color w:val="000000" w:themeColor="text1"/>
          <w:sz w:val="22"/>
          <w:szCs w:val="22"/>
        </w:rPr>
        <w:t>. (Accessed: 25 July 2026).</w:t>
      </w:r>
    </w:p>
    <w:p w14:paraId="1CF52EB4" w14:textId="77777777" w:rsidR="00936DBE" w:rsidRPr="00B015E2" w:rsidRDefault="00936DBE" w:rsidP="00C3269E">
      <w:pPr>
        <w:spacing w:after="120" w:line="360" w:lineRule="auto"/>
        <w:ind w:left="360" w:right="100"/>
        <w:rPr>
          <w:rFonts w:ascii="Arial" w:hAnsi="Arial" w:cs="Arial"/>
          <w:color w:val="000000" w:themeColor="text1"/>
          <w:sz w:val="22"/>
          <w:szCs w:val="22"/>
        </w:rPr>
      </w:pPr>
      <w:r w:rsidRPr="00B015E2">
        <w:rPr>
          <w:rFonts w:ascii="Arial" w:hAnsi="Arial" w:cs="Arial"/>
          <w:color w:val="000000" w:themeColor="text1"/>
          <w:sz w:val="22"/>
          <w:szCs w:val="22"/>
        </w:rPr>
        <w:t xml:space="preserve">Na, S.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(2026) “Physical activity and Alzheimer’s disease risk across genetic susceptibility: a prospective UK Biobank study using accelerometer data,” </w:t>
      </w:r>
      <w:r w:rsidRPr="00B015E2">
        <w:rPr>
          <w:rFonts w:ascii="Arial" w:hAnsi="Arial" w:cs="Arial"/>
          <w:i/>
          <w:iCs/>
          <w:color w:val="000000" w:themeColor="text1"/>
          <w:sz w:val="22"/>
          <w:szCs w:val="22"/>
        </w:rPr>
        <w:t>Journal of neurology.</w:t>
      </w:r>
      <w:r w:rsidRPr="00B015E2">
        <w:rPr>
          <w:rFonts w:ascii="Arial" w:hAnsi="Arial" w:cs="Arial"/>
          <w:color w:val="000000" w:themeColor="text1"/>
          <w:sz w:val="22"/>
          <w:szCs w:val="22"/>
        </w:rPr>
        <w:t xml:space="preserve">, 273(1). Available at: </w:t>
      </w:r>
      <w:hyperlink r:id="rId29" w:history="1">
        <w:r w:rsidRPr="00B015E2">
          <w:rPr>
            <w:rStyle w:val="Hyperlink"/>
            <w:rFonts w:ascii="Arial" w:hAnsi="Arial" w:cs="Arial"/>
            <w:color w:val="000000" w:themeColor="text1"/>
            <w:sz w:val="22"/>
            <w:szCs w:val="22"/>
          </w:rPr>
          <w:t>https://doi.org/10.1007/s00415-025-13524-z</w:t>
        </w:r>
      </w:hyperlink>
      <w:r w:rsidRPr="00B015E2">
        <w:rPr>
          <w:rFonts w:ascii="Arial" w:hAnsi="Arial" w:cs="Arial"/>
          <w:color w:val="000000" w:themeColor="text1"/>
          <w:sz w:val="22"/>
          <w:szCs w:val="22"/>
        </w:rPr>
        <w:t>. (Accessed: 5 August 2026).</w:t>
      </w:r>
    </w:p>
    <w:p w14:paraId="050D6FAF" w14:textId="77777777" w:rsidR="00936DBE" w:rsidRPr="00B015E2" w:rsidRDefault="00936DBE" w:rsidP="00C3269E">
      <w:pPr>
        <w:spacing w:after="120" w:line="360" w:lineRule="auto"/>
        <w:ind w:left="360"/>
        <w:jc w:val="both"/>
        <w:rPr>
          <w:rFonts w:ascii="Arial" w:hAnsi="Arial" w:cs="Arial"/>
          <w:color w:val="000000" w:themeColor="text1"/>
          <w:sz w:val="22"/>
          <w:szCs w:val="22"/>
        </w:rPr>
      </w:pPr>
      <w:r w:rsidRPr="00B015E2">
        <w:rPr>
          <w:rFonts w:ascii="Arial" w:hAnsi="Arial" w:cs="Arial"/>
          <w:color w:val="000000" w:themeColor="text1"/>
          <w:sz w:val="22"/>
          <w:szCs w:val="22"/>
        </w:rPr>
        <w:t xml:space="preserve">National Institute for Health and Care Excellence (2022) </w:t>
      </w:r>
      <w:r w:rsidRPr="00B015E2">
        <w:rPr>
          <w:rFonts w:ascii="Arial" w:hAnsi="Arial" w:cs="Arial"/>
          <w:i/>
          <w:iCs/>
          <w:color w:val="000000" w:themeColor="text1"/>
          <w:sz w:val="22"/>
          <w:szCs w:val="22"/>
        </w:rPr>
        <w:t>Health inequalities: Improving access to services</w:t>
      </w:r>
      <w:r w:rsidRPr="00B015E2">
        <w:rPr>
          <w:rFonts w:ascii="Arial" w:hAnsi="Arial" w:cs="Arial"/>
          <w:color w:val="000000" w:themeColor="text1"/>
          <w:sz w:val="22"/>
          <w:szCs w:val="22"/>
        </w:rPr>
        <w:t xml:space="preserve">. London: NICE. Available at: </w:t>
      </w:r>
      <w:hyperlink r:id="rId30" w:tgtFrame="_new" w:history="1">
        <w:r w:rsidRPr="00B015E2">
          <w:rPr>
            <w:rStyle w:val="Hyperlink"/>
            <w:rFonts w:ascii="Arial" w:hAnsi="Arial" w:cs="Arial"/>
            <w:color w:val="000000" w:themeColor="text1"/>
            <w:sz w:val="22"/>
            <w:szCs w:val="22"/>
          </w:rPr>
          <w:t>https://www.nice.org.uk/</w:t>
        </w:r>
      </w:hyperlink>
      <w:r w:rsidRPr="00B015E2">
        <w:rPr>
          <w:rFonts w:ascii="Arial" w:hAnsi="Arial" w:cs="Arial"/>
          <w:color w:val="000000" w:themeColor="text1"/>
          <w:sz w:val="22"/>
          <w:szCs w:val="22"/>
        </w:rPr>
        <w:t>. (Accessed: 8 August 2026).</w:t>
      </w:r>
    </w:p>
    <w:p w14:paraId="6F823A34" w14:textId="77777777" w:rsidR="00936DBE" w:rsidRPr="00B015E2" w:rsidRDefault="00936DBE" w:rsidP="00C3269E">
      <w:pPr>
        <w:spacing w:after="120" w:line="360" w:lineRule="auto"/>
        <w:ind w:left="360"/>
        <w:jc w:val="both"/>
        <w:rPr>
          <w:rFonts w:ascii="Arial" w:hAnsi="Arial" w:cs="Arial"/>
          <w:color w:val="000000" w:themeColor="text1"/>
          <w:sz w:val="22"/>
          <w:szCs w:val="22"/>
        </w:rPr>
      </w:pPr>
      <w:r w:rsidRPr="00B015E2">
        <w:rPr>
          <w:rFonts w:ascii="Arial" w:hAnsi="Arial" w:cs="Arial"/>
          <w:color w:val="000000" w:themeColor="text1"/>
          <w:sz w:val="22"/>
          <w:szCs w:val="22"/>
        </w:rPr>
        <w:t xml:space="preserve">National Institute for Health and Care Excellence (2022) </w:t>
      </w:r>
      <w:r w:rsidRPr="00B015E2">
        <w:rPr>
          <w:rFonts w:ascii="Arial" w:hAnsi="Arial" w:cs="Arial"/>
          <w:i/>
          <w:iCs/>
          <w:color w:val="000000" w:themeColor="text1"/>
          <w:sz w:val="22"/>
          <w:szCs w:val="22"/>
        </w:rPr>
        <w:t>Health inequalities: Improving access to services</w:t>
      </w:r>
      <w:r w:rsidRPr="00B015E2">
        <w:rPr>
          <w:rFonts w:ascii="Arial" w:hAnsi="Arial" w:cs="Arial"/>
          <w:color w:val="000000" w:themeColor="text1"/>
          <w:sz w:val="22"/>
          <w:szCs w:val="22"/>
        </w:rPr>
        <w:t xml:space="preserve">. London: NICE. Available at: </w:t>
      </w:r>
      <w:hyperlink r:id="rId31" w:tgtFrame="_new" w:history="1">
        <w:r w:rsidRPr="00B015E2">
          <w:rPr>
            <w:rStyle w:val="Hyperlink"/>
            <w:rFonts w:ascii="Arial" w:hAnsi="Arial" w:cs="Arial"/>
            <w:color w:val="000000" w:themeColor="text1"/>
            <w:sz w:val="22"/>
            <w:szCs w:val="22"/>
          </w:rPr>
          <w:t>https://www.nice.org.uk/</w:t>
        </w:r>
      </w:hyperlink>
      <w:r w:rsidRPr="00B015E2">
        <w:rPr>
          <w:rFonts w:ascii="Arial" w:hAnsi="Arial" w:cs="Arial"/>
          <w:color w:val="000000" w:themeColor="text1"/>
          <w:sz w:val="22"/>
          <w:szCs w:val="22"/>
        </w:rPr>
        <w:t>. (Accessed: 8 August 2026).</w:t>
      </w:r>
    </w:p>
    <w:p w14:paraId="71FFCE7B" w14:textId="55AE6B8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National Institute for Health and Care Excellence (NICE) (2018) </w:t>
      </w:r>
      <w:r w:rsidRPr="00B015E2">
        <w:rPr>
          <w:rFonts w:ascii="Arial" w:hAnsi="Arial" w:cs="Arial"/>
          <w:i/>
          <w:iCs/>
          <w:color w:val="000000" w:themeColor="text1"/>
          <w:sz w:val="22"/>
          <w:szCs w:val="22"/>
        </w:rPr>
        <w:t>Dementia: Assessment, management and support for people living with dementia and their carers (NG97).</w:t>
      </w:r>
      <w:r w:rsidRPr="00B015E2">
        <w:rPr>
          <w:rFonts w:ascii="Arial" w:hAnsi="Arial" w:cs="Arial"/>
          <w:color w:val="000000" w:themeColor="text1"/>
          <w:sz w:val="22"/>
          <w:szCs w:val="22"/>
        </w:rPr>
        <w:t xml:space="preserve"> Available at: </w:t>
      </w:r>
      <w:hyperlink r:id="rId32" w:history="1">
        <w:r w:rsidRPr="00B015E2">
          <w:rPr>
            <w:rStyle w:val="Hyperlink"/>
            <w:rFonts w:ascii="Arial" w:hAnsi="Arial" w:cs="Arial"/>
            <w:color w:val="000000" w:themeColor="text1"/>
            <w:sz w:val="22"/>
            <w:szCs w:val="22"/>
          </w:rPr>
          <w:t>https://www.nice.org.uk/guidance/ng97</w:t>
        </w:r>
      </w:hyperlink>
      <w:r w:rsidR="00724278">
        <w:rPr>
          <w:rFonts w:ascii="Arial" w:hAnsi="Arial" w:cs="Arial"/>
          <w:sz w:val="22"/>
          <w:szCs w:val="22"/>
        </w:rPr>
        <w:t>.</w:t>
      </w:r>
      <w:r w:rsidRPr="00B015E2">
        <w:rPr>
          <w:rFonts w:ascii="Arial" w:hAnsi="Arial" w:cs="Arial"/>
          <w:color w:val="000000" w:themeColor="text1"/>
          <w:sz w:val="22"/>
          <w:szCs w:val="22"/>
        </w:rPr>
        <w:t xml:space="preserve"> (Accessed: 19 July 2026). </w:t>
      </w:r>
    </w:p>
    <w:p w14:paraId="7DA12C9B" w14:textId="13F54341"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lastRenderedPageBreak/>
        <w:t xml:space="preserve">National Institute for Health and Care Excellence (NICE) (2018) </w:t>
      </w:r>
      <w:r w:rsidRPr="00B015E2">
        <w:rPr>
          <w:rFonts w:ascii="Arial" w:hAnsi="Arial" w:cs="Arial"/>
          <w:i/>
          <w:iCs/>
          <w:color w:val="000000" w:themeColor="text1"/>
          <w:sz w:val="22"/>
          <w:szCs w:val="22"/>
        </w:rPr>
        <w:t>Dementia: Assessment, management and support for people living with dementia and their carers (NG97)</w:t>
      </w:r>
      <w:r w:rsidRPr="00B015E2">
        <w:rPr>
          <w:rFonts w:ascii="Arial" w:hAnsi="Arial" w:cs="Arial"/>
          <w:color w:val="000000" w:themeColor="text1"/>
          <w:sz w:val="22"/>
          <w:szCs w:val="22"/>
        </w:rPr>
        <w:t xml:space="preserve">. London: NICE. Available at: </w:t>
      </w:r>
      <w:hyperlink r:id="rId33" w:tgtFrame="_new" w:history="1">
        <w:r w:rsidRPr="00B015E2">
          <w:rPr>
            <w:rStyle w:val="Hyperlink"/>
            <w:rFonts w:ascii="Arial" w:hAnsi="Arial" w:cs="Arial"/>
            <w:color w:val="000000" w:themeColor="text1"/>
            <w:sz w:val="22"/>
            <w:szCs w:val="22"/>
          </w:rPr>
          <w:t>https://www.nice.org.uk/guidance/ng97</w:t>
        </w:r>
      </w:hyperlink>
      <w:r w:rsidR="009C0AB3" w:rsidRPr="00B015E2">
        <w:rPr>
          <w:rFonts w:ascii="Arial" w:hAnsi="Arial" w:cs="Arial"/>
          <w:sz w:val="22"/>
          <w:szCs w:val="22"/>
        </w:rPr>
        <w:t>.</w:t>
      </w:r>
      <w:r w:rsidRPr="00B015E2">
        <w:rPr>
          <w:rFonts w:ascii="Arial" w:hAnsi="Arial" w:cs="Arial"/>
          <w:color w:val="000000" w:themeColor="text1"/>
          <w:sz w:val="22"/>
          <w:szCs w:val="22"/>
        </w:rPr>
        <w:t xml:space="preserve"> (Accessed: 31 July 2026).</w:t>
      </w:r>
    </w:p>
    <w:p w14:paraId="7EAB7F1F" w14:textId="77777777" w:rsidR="000A111C" w:rsidRPr="00B015E2" w:rsidRDefault="00936DBE" w:rsidP="000A111C">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NHS England (2019) </w:t>
      </w:r>
      <w:r w:rsidRPr="00B015E2">
        <w:rPr>
          <w:rFonts w:ascii="Arial" w:hAnsi="Arial" w:cs="Arial"/>
          <w:i/>
          <w:iCs/>
          <w:color w:val="000000" w:themeColor="text1"/>
          <w:sz w:val="22"/>
          <w:szCs w:val="22"/>
        </w:rPr>
        <w:t>The NHS Long Term Plan</w:t>
      </w:r>
      <w:r w:rsidRPr="00B015E2">
        <w:rPr>
          <w:rFonts w:ascii="Arial" w:hAnsi="Arial" w:cs="Arial"/>
          <w:color w:val="000000" w:themeColor="text1"/>
          <w:sz w:val="22"/>
          <w:szCs w:val="22"/>
        </w:rPr>
        <w:t xml:space="preserve">. London: NHS England. Available at: </w:t>
      </w:r>
      <w:hyperlink r:id="rId34" w:tgtFrame="_new" w:history="1">
        <w:r w:rsidRPr="00B015E2">
          <w:rPr>
            <w:rStyle w:val="Hyperlink"/>
            <w:rFonts w:ascii="Arial" w:hAnsi="Arial" w:cs="Arial"/>
            <w:color w:val="000000" w:themeColor="text1"/>
            <w:sz w:val="22"/>
            <w:szCs w:val="22"/>
          </w:rPr>
          <w:t>https://www.longtermplan.nhs.uk</w:t>
        </w:r>
      </w:hyperlink>
      <w:r w:rsidRPr="00B015E2">
        <w:rPr>
          <w:rFonts w:ascii="Arial" w:hAnsi="Arial" w:cs="Arial"/>
          <w:color w:val="000000" w:themeColor="text1"/>
          <w:sz w:val="22"/>
          <w:szCs w:val="22"/>
        </w:rPr>
        <w:t>. (Accessed: 31 July 2026).</w:t>
      </w:r>
      <w:r w:rsidR="000A111C" w:rsidRPr="00B015E2">
        <w:rPr>
          <w:rFonts w:ascii="Arial" w:hAnsi="Arial" w:cs="Arial"/>
          <w:color w:val="000000" w:themeColor="text1"/>
          <w:sz w:val="22"/>
          <w:szCs w:val="22"/>
        </w:rPr>
        <w:t xml:space="preserve"> </w:t>
      </w:r>
    </w:p>
    <w:p w14:paraId="36ABD441" w14:textId="2648ABD8" w:rsidR="00641445" w:rsidRPr="00B015E2" w:rsidRDefault="00641445" w:rsidP="000A111C">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NHS England (2025) “Recorded Dementia Diagnoses: Monthly Data”. </w:t>
      </w:r>
      <w:r w:rsidRPr="00B015E2">
        <w:rPr>
          <w:rFonts w:ascii="Arial" w:hAnsi="Arial" w:cs="Arial"/>
          <w:i/>
          <w:iCs/>
          <w:color w:val="000000" w:themeColor="text1"/>
          <w:sz w:val="22"/>
          <w:szCs w:val="22"/>
        </w:rPr>
        <w:t>London: NHS England.</w:t>
      </w:r>
      <w:r w:rsidRPr="00B015E2">
        <w:rPr>
          <w:rFonts w:ascii="Arial" w:hAnsi="Arial" w:cs="Arial"/>
          <w:color w:val="000000" w:themeColor="text1"/>
          <w:sz w:val="22"/>
          <w:szCs w:val="22"/>
        </w:rPr>
        <w:t xml:space="preserve"> Available at: </w:t>
      </w:r>
      <w:hyperlink r:id="rId35" w:history="1">
        <w:r w:rsidR="00331AA4" w:rsidRPr="00AC28D8">
          <w:rPr>
            <w:rStyle w:val="Hyperlink"/>
            <w:rFonts w:ascii="Arial" w:hAnsi="Arial" w:cs="Arial"/>
            <w:sz w:val="22"/>
            <w:szCs w:val="22"/>
          </w:rPr>
          <w:t>https://www.england.nhs.uk/mental-health/dementia/dementia-data/?utm_source=chatgpt.com</w:t>
        </w:r>
      </w:hyperlink>
      <w:r w:rsidR="00331AA4">
        <w:rPr>
          <w:rFonts w:ascii="Arial" w:hAnsi="Arial" w:cs="Arial"/>
          <w:color w:val="000000" w:themeColor="text1"/>
          <w:sz w:val="22"/>
          <w:szCs w:val="22"/>
        </w:rPr>
        <w:t xml:space="preserve">. </w:t>
      </w:r>
      <w:r w:rsidRPr="00B015E2">
        <w:rPr>
          <w:rFonts w:ascii="Arial" w:hAnsi="Arial" w:cs="Arial"/>
          <w:color w:val="000000" w:themeColor="text1"/>
          <w:sz w:val="22"/>
          <w:szCs w:val="22"/>
        </w:rPr>
        <w:t xml:space="preserve"> (Accessed: 14 August 2026).</w:t>
      </w:r>
    </w:p>
    <w:p w14:paraId="74F1B419" w14:textId="77777777" w:rsidR="00936DBE" w:rsidRPr="00B015E2" w:rsidRDefault="00936DBE" w:rsidP="00C3269E">
      <w:pPr>
        <w:spacing w:after="120" w:line="360" w:lineRule="auto"/>
        <w:ind w:left="360"/>
        <w:jc w:val="both"/>
        <w:rPr>
          <w:rFonts w:ascii="Arial" w:hAnsi="Arial" w:cs="Arial"/>
          <w:color w:val="000000" w:themeColor="text1"/>
          <w:sz w:val="22"/>
          <w:szCs w:val="22"/>
        </w:rPr>
      </w:pPr>
      <w:r w:rsidRPr="00B015E2">
        <w:rPr>
          <w:rFonts w:ascii="Arial" w:hAnsi="Arial" w:cs="Arial"/>
          <w:color w:val="000000" w:themeColor="text1"/>
          <w:sz w:val="22"/>
          <w:szCs w:val="22"/>
        </w:rPr>
        <w:t xml:space="preserve">NHS England (2026) </w:t>
      </w:r>
      <w:r w:rsidRPr="00B015E2">
        <w:rPr>
          <w:rFonts w:ascii="Arial" w:hAnsi="Arial" w:cs="Arial"/>
          <w:i/>
          <w:iCs/>
          <w:color w:val="000000" w:themeColor="text1"/>
          <w:sz w:val="22"/>
          <w:szCs w:val="22"/>
        </w:rPr>
        <w:t>Dementia diagnosis data: March 2026</w:t>
      </w:r>
      <w:r w:rsidRPr="00B015E2">
        <w:rPr>
          <w:rFonts w:ascii="Arial" w:hAnsi="Arial" w:cs="Arial"/>
          <w:color w:val="000000" w:themeColor="text1"/>
          <w:sz w:val="22"/>
          <w:szCs w:val="22"/>
        </w:rPr>
        <w:t xml:space="preserve">. Available at: </w:t>
      </w:r>
      <w:hyperlink r:id="rId36" w:tgtFrame="_new" w:history="1">
        <w:r w:rsidRPr="00B015E2">
          <w:rPr>
            <w:rStyle w:val="Hyperlink"/>
            <w:rFonts w:ascii="Arial" w:hAnsi="Arial" w:cs="Arial"/>
            <w:color w:val="000000" w:themeColor="text1"/>
            <w:sz w:val="22"/>
            <w:szCs w:val="22"/>
          </w:rPr>
          <w:t>https://www.england.nhs.uk/statistics/statistical-work-areas/dementia/</w:t>
        </w:r>
      </w:hyperlink>
      <w:r w:rsidRPr="00B015E2">
        <w:rPr>
          <w:rFonts w:ascii="Arial" w:hAnsi="Arial" w:cs="Arial"/>
          <w:sz w:val="22"/>
          <w:szCs w:val="22"/>
        </w:rPr>
        <w:t>.</w:t>
      </w:r>
      <w:r w:rsidRPr="00B015E2">
        <w:rPr>
          <w:rFonts w:ascii="Arial" w:hAnsi="Arial" w:cs="Arial"/>
          <w:color w:val="000000" w:themeColor="text1"/>
          <w:sz w:val="22"/>
          <w:szCs w:val="22"/>
        </w:rPr>
        <w:t xml:space="preserve"> (Accessed: 8 August 2026).</w:t>
      </w:r>
    </w:p>
    <w:p w14:paraId="10739091" w14:textId="77777777" w:rsidR="002717E4" w:rsidRPr="00B015E2" w:rsidRDefault="00936DBE" w:rsidP="002717E4">
      <w:pPr>
        <w:spacing w:after="120" w:line="360" w:lineRule="auto"/>
        <w:ind w:left="360"/>
        <w:jc w:val="both"/>
        <w:rPr>
          <w:rFonts w:ascii="Arial" w:hAnsi="Arial" w:cs="Arial"/>
          <w:color w:val="000000" w:themeColor="text1"/>
          <w:sz w:val="22"/>
          <w:szCs w:val="22"/>
        </w:rPr>
      </w:pPr>
      <w:r w:rsidRPr="00B015E2">
        <w:rPr>
          <w:rFonts w:ascii="Arial" w:hAnsi="Arial" w:cs="Arial"/>
          <w:color w:val="000000" w:themeColor="text1"/>
          <w:sz w:val="22"/>
          <w:szCs w:val="22"/>
        </w:rPr>
        <w:t xml:space="preserve">Office for Health Improvement and Disparities (2024) </w:t>
      </w:r>
      <w:r w:rsidRPr="00B015E2">
        <w:rPr>
          <w:rFonts w:ascii="Arial" w:hAnsi="Arial" w:cs="Arial"/>
          <w:i/>
          <w:iCs/>
          <w:color w:val="000000" w:themeColor="text1"/>
          <w:sz w:val="22"/>
          <w:szCs w:val="22"/>
        </w:rPr>
        <w:t>Public Health Profiles</w:t>
      </w:r>
      <w:r w:rsidRPr="00B015E2">
        <w:rPr>
          <w:rFonts w:ascii="Arial" w:hAnsi="Arial" w:cs="Arial"/>
          <w:color w:val="000000" w:themeColor="text1"/>
          <w:sz w:val="22"/>
          <w:szCs w:val="22"/>
        </w:rPr>
        <w:t>. London: Department of Health and Social Care.</w:t>
      </w:r>
      <w:r w:rsidR="000C4477" w:rsidRPr="00B015E2">
        <w:rPr>
          <w:rFonts w:ascii="Arial" w:hAnsi="Arial" w:cs="Arial"/>
          <w:color w:val="000000" w:themeColor="text1"/>
          <w:sz w:val="22"/>
          <w:szCs w:val="22"/>
        </w:rPr>
        <w:t xml:space="preserve"> Available at: </w:t>
      </w:r>
      <w:hyperlink r:id="rId37" w:history="1">
        <w:r w:rsidR="000C4477" w:rsidRPr="00B015E2">
          <w:rPr>
            <w:rStyle w:val="Hyperlink"/>
            <w:rFonts w:ascii="Arial" w:hAnsi="Arial" w:cs="Arial"/>
            <w:sz w:val="22"/>
            <w:szCs w:val="22"/>
          </w:rPr>
          <w:t>Fingertips | Department of Health and Social Care</w:t>
        </w:r>
      </w:hyperlink>
      <w:r w:rsidR="002717E4" w:rsidRPr="00B015E2">
        <w:rPr>
          <w:rFonts w:ascii="Arial" w:hAnsi="Arial" w:cs="Arial"/>
          <w:color w:val="000000" w:themeColor="text1"/>
          <w:sz w:val="22"/>
          <w:szCs w:val="22"/>
        </w:rPr>
        <w:t>. (Accessed: 8 August 2026).</w:t>
      </w:r>
    </w:p>
    <w:p w14:paraId="7809E91D" w14:textId="2B55A7E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Office for National Statistics (2024) </w:t>
      </w:r>
      <w:r w:rsidRPr="00B015E2">
        <w:rPr>
          <w:rFonts w:ascii="Arial" w:hAnsi="Arial" w:cs="Arial"/>
          <w:i/>
          <w:iCs/>
          <w:color w:val="000000" w:themeColor="text1"/>
          <w:sz w:val="22"/>
          <w:szCs w:val="22"/>
        </w:rPr>
        <w:t>Deaths registered in England and Wales: 2023</w:t>
      </w:r>
      <w:r w:rsidRPr="00B015E2">
        <w:rPr>
          <w:rFonts w:ascii="Arial" w:hAnsi="Arial" w:cs="Arial"/>
          <w:color w:val="000000" w:themeColor="text1"/>
          <w:sz w:val="22"/>
          <w:szCs w:val="22"/>
        </w:rPr>
        <w:t xml:space="preserve">. Newport: Office for National Statistics. Available at: </w:t>
      </w:r>
      <w:hyperlink r:id="rId38" w:tgtFrame="_new" w:history="1">
        <w:r w:rsidRPr="00B015E2">
          <w:rPr>
            <w:rStyle w:val="Hyperlink"/>
            <w:rFonts w:ascii="Arial" w:hAnsi="Arial" w:cs="Arial"/>
            <w:color w:val="000000" w:themeColor="text1"/>
            <w:sz w:val="22"/>
            <w:szCs w:val="22"/>
          </w:rPr>
          <w:t>https://www.ons.gov.uk/peoplepopulationandcommunity/birthsdeathsandmarriages/deaths</w:t>
        </w:r>
      </w:hyperlink>
      <w:r w:rsidR="00331AA4">
        <w:rPr>
          <w:rFonts w:ascii="Arial" w:hAnsi="Arial" w:cs="Arial"/>
          <w:sz w:val="22"/>
          <w:szCs w:val="22"/>
        </w:rPr>
        <w:t xml:space="preserve">. </w:t>
      </w:r>
      <w:r w:rsidRPr="00B015E2">
        <w:rPr>
          <w:rFonts w:ascii="Arial" w:hAnsi="Arial" w:cs="Arial"/>
          <w:color w:val="000000" w:themeColor="text1"/>
          <w:sz w:val="22"/>
          <w:szCs w:val="22"/>
        </w:rPr>
        <w:t>(Accessed: 31 July 2026).</w:t>
      </w:r>
    </w:p>
    <w:p w14:paraId="2F40FA98" w14:textId="7A7E1EC3"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Office for National Statistics (2024) </w:t>
      </w:r>
      <w:r w:rsidRPr="00B015E2">
        <w:rPr>
          <w:rFonts w:ascii="Arial" w:hAnsi="Arial" w:cs="Arial"/>
          <w:i/>
          <w:iCs/>
          <w:color w:val="000000" w:themeColor="text1"/>
          <w:sz w:val="22"/>
          <w:szCs w:val="22"/>
        </w:rPr>
        <w:t>Overview of the UK population: January 2024</w:t>
      </w:r>
      <w:r w:rsidRPr="00B015E2">
        <w:rPr>
          <w:rFonts w:ascii="Arial" w:hAnsi="Arial" w:cs="Arial"/>
          <w:color w:val="000000" w:themeColor="text1"/>
          <w:sz w:val="22"/>
          <w:szCs w:val="22"/>
        </w:rPr>
        <w:t xml:space="preserve">. Newport: Office for National Statistics. Available at: </w:t>
      </w:r>
      <w:hyperlink r:id="rId39" w:history="1">
        <w:r w:rsidRPr="00B015E2">
          <w:rPr>
            <w:rStyle w:val="Hyperlink"/>
            <w:rFonts w:ascii="Arial" w:hAnsi="Arial" w:cs="Arial"/>
            <w:color w:val="000000" w:themeColor="text1"/>
            <w:sz w:val="22"/>
            <w:szCs w:val="22"/>
          </w:rPr>
          <w:t>https://www.ons.gov.uk/peoplepopulationandcommunity/populationandmigration/populationestimates/articles/overviewoftheukpopulation/january2024</w:t>
        </w:r>
      </w:hyperlink>
      <w:r w:rsidRPr="00B015E2">
        <w:rPr>
          <w:rFonts w:ascii="Arial" w:hAnsi="Arial" w:cs="Arial"/>
          <w:color w:val="000000" w:themeColor="text1"/>
          <w:sz w:val="22"/>
          <w:szCs w:val="22"/>
        </w:rPr>
        <w:t>. (Accessed: 25 July 2026).</w:t>
      </w:r>
    </w:p>
    <w:p w14:paraId="6ADA52D6" w14:textId="77777777" w:rsidR="00936DBE" w:rsidRPr="00B015E2" w:rsidRDefault="00936DBE" w:rsidP="00CC5CEB">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Office for National Statistics (2025) </w:t>
      </w:r>
      <w:r w:rsidRPr="00B015E2">
        <w:rPr>
          <w:rFonts w:ascii="Arial" w:hAnsi="Arial" w:cs="Arial"/>
          <w:i/>
          <w:iCs/>
          <w:color w:val="000000" w:themeColor="text1"/>
          <w:sz w:val="22"/>
          <w:szCs w:val="22"/>
        </w:rPr>
        <w:t>Deaths registered in England and Wales: 2024</w:t>
      </w:r>
      <w:r w:rsidRPr="00B015E2">
        <w:rPr>
          <w:rFonts w:ascii="Arial" w:hAnsi="Arial" w:cs="Arial"/>
          <w:color w:val="000000" w:themeColor="text1"/>
          <w:sz w:val="22"/>
          <w:szCs w:val="22"/>
        </w:rPr>
        <w:t xml:space="preserve">. Available at: </w:t>
      </w:r>
      <w:hyperlink r:id="rId40" w:tgtFrame="_new" w:history="1">
        <w:r w:rsidRPr="00B015E2">
          <w:rPr>
            <w:rStyle w:val="Hyperlink"/>
            <w:rFonts w:ascii="Arial" w:hAnsi="Arial" w:cs="Arial"/>
            <w:color w:val="000000" w:themeColor="text1"/>
            <w:sz w:val="22"/>
            <w:szCs w:val="22"/>
          </w:rPr>
          <w:t>https://www.ons.gov.uk/peoplepopulationandcommunity/birthsdeathsandmarriages/deaths</w:t>
        </w:r>
      </w:hyperlink>
      <w:r w:rsidRPr="00B015E2">
        <w:rPr>
          <w:rFonts w:ascii="Arial" w:hAnsi="Arial" w:cs="Arial"/>
          <w:color w:val="000000" w:themeColor="text1"/>
          <w:sz w:val="22"/>
          <w:szCs w:val="22"/>
        </w:rPr>
        <w:t xml:space="preserve"> (Accessed: 8 August 2026).</w:t>
      </w:r>
    </w:p>
    <w:p w14:paraId="54A8CFBB" w14:textId="77777777" w:rsidR="00936DBE" w:rsidRPr="00B015E2" w:rsidRDefault="00936DBE" w:rsidP="00CC5CEB">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Office for National Statistics (2025) </w:t>
      </w:r>
      <w:r w:rsidRPr="00B015E2">
        <w:rPr>
          <w:rFonts w:ascii="Arial" w:hAnsi="Arial" w:cs="Arial"/>
          <w:i/>
          <w:iCs/>
          <w:color w:val="000000" w:themeColor="text1"/>
          <w:sz w:val="22"/>
          <w:szCs w:val="22"/>
        </w:rPr>
        <w:t>Deaths registered in England and Wales: 2024</w:t>
      </w:r>
      <w:r w:rsidRPr="00B015E2">
        <w:rPr>
          <w:rFonts w:ascii="Arial" w:hAnsi="Arial" w:cs="Arial"/>
          <w:color w:val="000000" w:themeColor="text1"/>
          <w:sz w:val="22"/>
          <w:szCs w:val="22"/>
        </w:rPr>
        <w:t xml:space="preserve">. Available at: </w:t>
      </w:r>
      <w:hyperlink r:id="rId41" w:tgtFrame="_new" w:history="1">
        <w:r w:rsidRPr="00B015E2">
          <w:rPr>
            <w:rStyle w:val="Hyperlink"/>
            <w:rFonts w:ascii="Arial" w:hAnsi="Arial" w:cs="Arial"/>
            <w:color w:val="000000" w:themeColor="text1"/>
            <w:sz w:val="22"/>
            <w:szCs w:val="22"/>
          </w:rPr>
          <w:t>https://www.ons.gov.uk/peoplepopulationandcommunity/birthsdeathsandmarriages/deaths</w:t>
        </w:r>
      </w:hyperlink>
      <w:r w:rsidRPr="00B015E2">
        <w:rPr>
          <w:rFonts w:ascii="Arial" w:hAnsi="Arial" w:cs="Arial"/>
          <w:color w:val="000000" w:themeColor="text1"/>
          <w:sz w:val="22"/>
          <w:szCs w:val="22"/>
        </w:rPr>
        <w:t>. (Accessed: 8 August 2026).</w:t>
      </w:r>
    </w:p>
    <w:p w14:paraId="6B3619AA" w14:textId="536F0CAF" w:rsidR="00936DBE" w:rsidRPr="00B015E2" w:rsidRDefault="00936DBE" w:rsidP="00C3269E">
      <w:pPr>
        <w:spacing w:after="120" w:line="360" w:lineRule="auto"/>
        <w:ind w:left="360" w:right="100"/>
        <w:rPr>
          <w:rFonts w:ascii="Arial" w:hAnsi="Arial" w:cs="Arial"/>
          <w:color w:val="000000" w:themeColor="text1"/>
          <w:sz w:val="22"/>
          <w:szCs w:val="22"/>
        </w:rPr>
      </w:pPr>
      <w:r w:rsidRPr="00B015E2">
        <w:rPr>
          <w:rFonts w:ascii="Arial" w:hAnsi="Arial" w:cs="Arial"/>
          <w:color w:val="000000" w:themeColor="text1"/>
          <w:sz w:val="22"/>
          <w:szCs w:val="22"/>
        </w:rPr>
        <w:lastRenderedPageBreak/>
        <w:t xml:space="preserve">Office for National Statistics (2025) </w:t>
      </w:r>
      <w:r w:rsidRPr="00B015E2">
        <w:rPr>
          <w:rFonts w:ascii="Arial" w:hAnsi="Arial" w:cs="Arial"/>
          <w:i/>
          <w:iCs/>
          <w:color w:val="000000" w:themeColor="text1"/>
          <w:sz w:val="22"/>
          <w:szCs w:val="22"/>
        </w:rPr>
        <w:t>Experiences of NHS healthcare services in England</w:t>
      </w:r>
      <w:r w:rsidRPr="00B015E2">
        <w:rPr>
          <w:rFonts w:ascii="Arial" w:hAnsi="Arial" w:cs="Arial"/>
          <w:color w:val="000000" w:themeColor="text1"/>
          <w:sz w:val="22"/>
          <w:szCs w:val="22"/>
        </w:rPr>
        <w:t xml:space="preserve">. Available at: </w:t>
      </w:r>
      <w:hyperlink r:id="rId42" w:tgtFrame="_new" w:history="1">
        <w:r w:rsidRPr="00B015E2">
          <w:rPr>
            <w:rStyle w:val="Hyperlink"/>
            <w:rFonts w:ascii="Arial" w:hAnsi="Arial" w:cs="Arial"/>
            <w:color w:val="000000" w:themeColor="text1"/>
            <w:sz w:val="22"/>
            <w:szCs w:val="22"/>
          </w:rPr>
          <w:t>https://www.ons.gov.uk/peoplepopulationandcommunity/healthandsocialcare/healthcaresystem/bulletins/experiencesofnhshealthcareservicesinengland/latest</w:t>
        </w:r>
      </w:hyperlink>
      <w:r w:rsidRPr="00B015E2">
        <w:rPr>
          <w:rFonts w:ascii="Arial" w:hAnsi="Arial" w:cs="Arial"/>
          <w:color w:val="000000" w:themeColor="text1"/>
          <w:sz w:val="22"/>
          <w:szCs w:val="22"/>
        </w:rPr>
        <w:t>.</w:t>
      </w:r>
      <w:r w:rsidR="00CC5CEB">
        <w:rPr>
          <w:rFonts w:ascii="Arial" w:hAnsi="Arial" w:cs="Arial"/>
          <w:color w:val="000000" w:themeColor="text1"/>
          <w:sz w:val="22"/>
          <w:szCs w:val="22"/>
        </w:rPr>
        <w:t xml:space="preserve"> </w:t>
      </w:r>
      <w:r w:rsidRPr="00B015E2">
        <w:rPr>
          <w:rFonts w:ascii="Arial" w:hAnsi="Arial" w:cs="Arial"/>
          <w:color w:val="000000" w:themeColor="text1"/>
          <w:sz w:val="22"/>
          <w:szCs w:val="22"/>
        </w:rPr>
        <w:t>(Accessed: 6 August 2026).</w:t>
      </w:r>
    </w:p>
    <w:p w14:paraId="15837BB5" w14:textId="77777777" w:rsidR="00936DBE" w:rsidRPr="00B015E2" w:rsidRDefault="00936DBE" w:rsidP="00C3269E">
      <w:pPr>
        <w:spacing w:after="120" w:line="360" w:lineRule="auto"/>
        <w:ind w:left="360" w:right="100"/>
        <w:rPr>
          <w:rFonts w:ascii="Arial" w:hAnsi="Arial" w:cs="Arial"/>
          <w:color w:val="000000" w:themeColor="text1"/>
          <w:sz w:val="22"/>
          <w:szCs w:val="22"/>
        </w:rPr>
      </w:pPr>
      <w:r w:rsidRPr="009601A5">
        <w:rPr>
          <w:rFonts w:ascii="Arial" w:hAnsi="Arial" w:cs="Arial"/>
          <w:color w:val="000000" w:themeColor="text1"/>
          <w:sz w:val="22"/>
          <w:szCs w:val="22"/>
        </w:rPr>
        <w:t xml:space="preserve">Ruggiero, C.F. </w:t>
      </w:r>
      <w:r w:rsidRPr="009601A5">
        <w:rPr>
          <w:rFonts w:ascii="Arial" w:hAnsi="Arial" w:cs="Arial"/>
          <w:i/>
          <w:iCs/>
          <w:color w:val="000000" w:themeColor="text1"/>
          <w:sz w:val="22"/>
          <w:szCs w:val="22"/>
        </w:rPr>
        <w:t>et al.</w:t>
      </w:r>
      <w:r w:rsidRPr="009601A5">
        <w:rPr>
          <w:rFonts w:ascii="Arial" w:hAnsi="Arial" w:cs="Arial"/>
          <w:color w:val="000000" w:themeColor="text1"/>
          <w:sz w:val="22"/>
          <w:szCs w:val="22"/>
        </w:rPr>
        <w:t xml:space="preserve"> </w:t>
      </w:r>
      <w:r w:rsidRPr="00B015E2">
        <w:rPr>
          <w:rFonts w:ascii="Arial" w:hAnsi="Arial" w:cs="Arial"/>
          <w:color w:val="000000" w:themeColor="text1"/>
          <w:sz w:val="22"/>
          <w:szCs w:val="22"/>
        </w:rPr>
        <w:t xml:space="preserve">(2026) “Normative scores for the </w:t>
      </w:r>
      <w:proofErr w:type="gramStart"/>
      <w:r w:rsidRPr="00B015E2">
        <w:rPr>
          <w:rFonts w:ascii="Arial" w:hAnsi="Arial" w:cs="Arial"/>
          <w:color w:val="000000" w:themeColor="text1"/>
          <w:sz w:val="22"/>
          <w:szCs w:val="22"/>
        </w:rPr>
        <w:t>three factor</w:t>
      </w:r>
      <w:proofErr w:type="gramEnd"/>
      <w:r w:rsidRPr="00B015E2">
        <w:rPr>
          <w:rFonts w:ascii="Arial" w:hAnsi="Arial" w:cs="Arial"/>
          <w:color w:val="000000" w:themeColor="text1"/>
          <w:sz w:val="22"/>
          <w:szCs w:val="22"/>
        </w:rPr>
        <w:t xml:space="preserve"> eating questionnaire (TFEQ-R18) in a UK population-based cohort,” </w:t>
      </w:r>
      <w:r w:rsidRPr="00B015E2">
        <w:rPr>
          <w:rFonts w:ascii="Arial" w:hAnsi="Arial" w:cs="Arial"/>
          <w:i/>
          <w:iCs/>
          <w:color w:val="000000" w:themeColor="text1"/>
          <w:sz w:val="22"/>
          <w:szCs w:val="22"/>
        </w:rPr>
        <w:t>Appetite.</w:t>
      </w:r>
      <w:r w:rsidRPr="00B015E2">
        <w:rPr>
          <w:rFonts w:ascii="Arial" w:hAnsi="Arial" w:cs="Arial"/>
          <w:color w:val="000000" w:themeColor="text1"/>
          <w:sz w:val="22"/>
          <w:szCs w:val="22"/>
        </w:rPr>
        <w:t xml:space="preserve">, 221. Available at: </w:t>
      </w:r>
      <w:hyperlink r:id="rId43" w:history="1">
        <w:r w:rsidRPr="00B015E2">
          <w:rPr>
            <w:rStyle w:val="Hyperlink"/>
            <w:rFonts w:ascii="Arial" w:hAnsi="Arial" w:cs="Arial"/>
            <w:color w:val="000000" w:themeColor="text1"/>
            <w:sz w:val="22"/>
            <w:szCs w:val="22"/>
          </w:rPr>
          <w:t>https://doi.org/10.1016/j.appet.2026.108466</w:t>
        </w:r>
      </w:hyperlink>
      <w:r w:rsidRPr="00B015E2">
        <w:rPr>
          <w:rFonts w:ascii="Arial" w:hAnsi="Arial" w:cs="Arial"/>
          <w:color w:val="000000" w:themeColor="text1"/>
          <w:sz w:val="22"/>
          <w:szCs w:val="22"/>
        </w:rPr>
        <w:t>. (Accessed: 30 July 2026).</w:t>
      </w:r>
    </w:p>
    <w:p w14:paraId="702D866C"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Santini, S.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(2025) “‘Loneliness is a sad disease’: oldest old adults’ empirical definition of loneliness and social isolation from a mixed-method study in Northern Italy,” </w:t>
      </w:r>
      <w:r w:rsidRPr="00B015E2">
        <w:rPr>
          <w:rFonts w:ascii="Arial" w:hAnsi="Arial" w:cs="Arial"/>
          <w:i/>
          <w:iCs/>
          <w:color w:val="000000" w:themeColor="text1"/>
          <w:sz w:val="22"/>
          <w:szCs w:val="22"/>
        </w:rPr>
        <w:t>BMC geriatrics.</w:t>
      </w:r>
      <w:r w:rsidRPr="00B015E2">
        <w:rPr>
          <w:rFonts w:ascii="Arial" w:hAnsi="Arial" w:cs="Arial"/>
          <w:color w:val="000000" w:themeColor="text1"/>
          <w:sz w:val="22"/>
          <w:szCs w:val="22"/>
        </w:rPr>
        <w:t xml:space="preserve">, 25(1). Available at: </w:t>
      </w:r>
      <w:hyperlink r:id="rId44" w:history="1">
        <w:r w:rsidRPr="00B015E2">
          <w:rPr>
            <w:rStyle w:val="Hyperlink"/>
            <w:rFonts w:ascii="Arial" w:hAnsi="Arial" w:cs="Arial"/>
            <w:color w:val="000000" w:themeColor="text1"/>
            <w:sz w:val="22"/>
            <w:szCs w:val="22"/>
          </w:rPr>
          <w:t>https://doi.org/10.1186/s12877-025-05678-2</w:t>
        </w:r>
      </w:hyperlink>
      <w:r w:rsidRPr="00B015E2">
        <w:rPr>
          <w:rFonts w:ascii="Arial" w:hAnsi="Arial" w:cs="Arial"/>
          <w:color w:val="000000" w:themeColor="text1"/>
          <w:sz w:val="22"/>
          <w:szCs w:val="22"/>
        </w:rPr>
        <w:t>. (Accessed: 30 July 2026).</w:t>
      </w:r>
    </w:p>
    <w:p w14:paraId="1D8ADBDE"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Sherwood-Johnson, F.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(2023) “Dangerous care: developing theory to safeguard older adults in caring relationships in the UK,” </w:t>
      </w:r>
      <w:r w:rsidRPr="00B015E2">
        <w:rPr>
          <w:rFonts w:ascii="Arial" w:hAnsi="Arial" w:cs="Arial"/>
          <w:i/>
          <w:iCs/>
          <w:color w:val="000000" w:themeColor="text1"/>
          <w:sz w:val="22"/>
          <w:szCs w:val="22"/>
        </w:rPr>
        <w:t>The journal of adult protection.</w:t>
      </w:r>
      <w:r w:rsidRPr="00B015E2">
        <w:rPr>
          <w:rFonts w:ascii="Arial" w:hAnsi="Arial" w:cs="Arial"/>
          <w:color w:val="000000" w:themeColor="text1"/>
          <w:sz w:val="22"/>
          <w:szCs w:val="22"/>
        </w:rPr>
        <w:t xml:space="preserve">, 25(3), pp. 156–166. Available at: </w:t>
      </w:r>
      <w:hyperlink r:id="rId45" w:history="1">
        <w:r w:rsidRPr="00B015E2">
          <w:rPr>
            <w:rStyle w:val="Hyperlink"/>
            <w:rFonts w:ascii="Arial" w:hAnsi="Arial" w:cs="Arial"/>
            <w:color w:val="000000" w:themeColor="text1"/>
            <w:sz w:val="22"/>
            <w:szCs w:val="22"/>
          </w:rPr>
          <w:t>https://doi.org/10.1108/JAP-10-2022-0023</w:t>
        </w:r>
      </w:hyperlink>
      <w:r w:rsidRPr="00B015E2">
        <w:rPr>
          <w:rFonts w:ascii="Arial" w:hAnsi="Arial" w:cs="Arial"/>
          <w:color w:val="000000" w:themeColor="text1"/>
          <w:sz w:val="22"/>
          <w:szCs w:val="22"/>
        </w:rPr>
        <w:t>. (Accessed: 5 August 2026).</w:t>
      </w:r>
    </w:p>
    <w:p w14:paraId="73218639" w14:textId="77777777" w:rsidR="00936DBE" w:rsidRPr="00B015E2" w:rsidRDefault="00936DBE" w:rsidP="00C3269E">
      <w:pPr>
        <w:spacing w:after="120" w:line="360" w:lineRule="auto"/>
        <w:ind w:left="360"/>
        <w:jc w:val="both"/>
        <w:rPr>
          <w:rFonts w:ascii="Arial" w:hAnsi="Arial" w:cs="Arial"/>
          <w:color w:val="000000" w:themeColor="text1"/>
          <w:sz w:val="22"/>
          <w:szCs w:val="22"/>
        </w:rPr>
      </w:pPr>
      <w:r w:rsidRPr="00B015E2">
        <w:rPr>
          <w:rFonts w:ascii="Arial" w:hAnsi="Arial" w:cs="Arial"/>
          <w:color w:val="000000" w:themeColor="text1"/>
          <w:sz w:val="22"/>
          <w:szCs w:val="22"/>
        </w:rPr>
        <w:t xml:space="preserve">Sudlow, C.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(2015) “UK Biobank: An open access resource for identifying the causes of a wide range of complex diseases of middle and old age”, </w:t>
      </w:r>
      <w:proofErr w:type="spellStart"/>
      <w:r w:rsidRPr="00B015E2">
        <w:rPr>
          <w:rFonts w:ascii="Arial" w:hAnsi="Arial" w:cs="Arial"/>
          <w:i/>
          <w:iCs/>
          <w:color w:val="000000" w:themeColor="text1"/>
          <w:sz w:val="22"/>
          <w:szCs w:val="22"/>
        </w:rPr>
        <w:t>PLoS</w:t>
      </w:r>
      <w:proofErr w:type="spellEnd"/>
      <w:r w:rsidRPr="00B015E2">
        <w:rPr>
          <w:rFonts w:ascii="Arial" w:hAnsi="Arial" w:cs="Arial"/>
          <w:i/>
          <w:iCs/>
          <w:color w:val="000000" w:themeColor="text1"/>
          <w:sz w:val="22"/>
          <w:szCs w:val="22"/>
        </w:rPr>
        <w:t xml:space="preserve"> Medicine</w:t>
      </w:r>
      <w:r w:rsidRPr="00B015E2">
        <w:rPr>
          <w:rFonts w:ascii="Arial" w:hAnsi="Arial" w:cs="Arial"/>
          <w:color w:val="000000" w:themeColor="text1"/>
          <w:sz w:val="22"/>
          <w:szCs w:val="22"/>
        </w:rPr>
        <w:t xml:space="preserve">, 12(3), e1001779. </w:t>
      </w:r>
      <w:proofErr w:type="gramStart"/>
      <w:r w:rsidRPr="00B015E2">
        <w:rPr>
          <w:rFonts w:ascii="Arial" w:hAnsi="Arial" w:cs="Arial"/>
          <w:color w:val="000000" w:themeColor="text1"/>
          <w:sz w:val="22"/>
          <w:szCs w:val="22"/>
        </w:rPr>
        <w:t>doi:10.1371/journal.pmed</w:t>
      </w:r>
      <w:proofErr w:type="gramEnd"/>
      <w:r w:rsidRPr="00B015E2">
        <w:rPr>
          <w:rFonts w:ascii="Arial" w:hAnsi="Arial" w:cs="Arial"/>
          <w:color w:val="000000" w:themeColor="text1"/>
          <w:sz w:val="22"/>
          <w:szCs w:val="22"/>
        </w:rPr>
        <w:t>.1001779. (Accessed: 8 August 2026).</w:t>
      </w:r>
    </w:p>
    <w:p w14:paraId="682729D9" w14:textId="77777777" w:rsidR="00936DBE" w:rsidRPr="00B015E2" w:rsidRDefault="00936DBE" w:rsidP="00C3269E">
      <w:pPr>
        <w:spacing w:after="120" w:line="360" w:lineRule="auto"/>
        <w:ind w:left="360"/>
        <w:jc w:val="both"/>
        <w:rPr>
          <w:rFonts w:ascii="Arial" w:hAnsi="Arial" w:cs="Arial"/>
          <w:color w:val="000000" w:themeColor="text1"/>
          <w:sz w:val="22"/>
          <w:szCs w:val="22"/>
        </w:rPr>
      </w:pPr>
      <w:r w:rsidRPr="00B015E2">
        <w:rPr>
          <w:rFonts w:ascii="Arial" w:hAnsi="Arial" w:cs="Arial"/>
          <w:color w:val="000000" w:themeColor="text1"/>
          <w:sz w:val="22"/>
          <w:szCs w:val="22"/>
        </w:rPr>
        <w:t xml:space="preserve">Sudlow, C.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(2015) “UK Biobank: An open access resource for identifying the causes of a wide range of complex diseases of middle and old age”, </w:t>
      </w:r>
      <w:proofErr w:type="spellStart"/>
      <w:r w:rsidRPr="00B015E2">
        <w:rPr>
          <w:rFonts w:ascii="Arial" w:hAnsi="Arial" w:cs="Arial"/>
          <w:i/>
          <w:iCs/>
          <w:color w:val="000000" w:themeColor="text1"/>
          <w:sz w:val="22"/>
          <w:szCs w:val="22"/>
        </w:rPr>
        <w:t>PLoS</w:t>
      </w:r>
      <w:proofErr w:type="spellEnd"/>
      <w:r w:rsidRPr="00B015E2">
        <w:rPr>
          <w:rFonts w:ascii="Arial" w:hAnsi="Arial" w:cs="Arial"/>
          <w:i/>
          <w:iCs/>
          <w:color w:val="000000" w:themeColor="text1"/>
          <w:sz w:val="22"/>
          <w:szCs w:val="22"/>
        </w:rPr>
        <w:t xml:space="preserve"> Medicine</w:t>
      </w:r>
      <w:r w:rsidRPr="00B015E2">
        <w:rPr>
          <w:rFonts w:ascii="Arial" w:hAnsi="Arial" w:cs="Arial"/>
          <w:color w:val="000000" w:themeColor="text1"/>
          <w:sz w:val="22"/>
          <w:szCs w:val="22"/>
        </w:rPr>
        <w:t xml:space="preserve">, 12(3), e1001779. </w:t>
      </w:r>
      <w:proofErr w:type="gramStart"/>
      <w:r w:rsidRPr="00B015E2">
        <w:rPr>
          <w:rFonts w:ascii="Arial" w:hAnsi="Arial" w:cs="Arial"/>
          <w:color w:val="000000" w:themeColor="text1"/>
          <w:sz w:val="22"/>
          <w:szCs w:val="22"/>
        </w:rPr>
        <w:t>doi:10.1371/journal.pmed</w:t>
      </w:r>
      <w:proofErr w:type="gramEnd"/>
      <w:r w:rsidRPr="00B015E2">
        <w:rPr>
          <w:rFonts w:ascii="Arial" w:hAnsi="Arial" w:cs="Arial"/>
          <w:color w:val="000000" w:themeColor="text1"/>
          <w:sz w:val="22"/>
          <w:szCs w:val="22"/>
        </w:rPr>
        <w:t>.1001779. (Accessed: 8 August 2026).</w:t>
      </w:r>
    </w:p>
    <w:p w14:paraId="417D4E76" w14:textId="409BD13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Sudlow, C.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(2015) “UK Biobank: An open access resource for identifying the causes of a wide range of complex diseases of middle and old age”, </w:t>
      </w:r>
      <w:proofErr w:type="spellStart"/>
      <w:r w:rsidRPr="00B015E2">
        <w:rPr>
          <w:rFonts w:ascii="Arial" w:hAnsi="Arial" w:cs="Arial"/>
          <w:i/>
          <w:iCs/>
          <w:color w:val="000000" w:themeColor="text1"/>
          <w:sz w:val="22"/>
          <w:szCs w:val="22"/>
        </w:rPr>
        <w:t>PLoS</w:t>
      </w:r>
      <w:proofErr w:type="spellEnd"/>
      <w:r w:rsidRPr="00B015E2">
        <w:rPr>
          <w:rFonts w:ascii="Arial" w:hAnsi="Arial" w:cs="Arial"/>
          <w:i/>
          <w:iCs/>
          <w:color w:val="000000" w:themeColor="text1"/>
          <w:sz w:val="22"/>
          <w:szCs w:val="22"/>
        </w:rPr>
        <w:t xml:space="preserve"> Medicine</w:t>
      </w:r>
      <w:r w:rsidRPr="00B015E2">
        <w:rPr>
          <w:rFonts w:ascii="Arial" w:hAnsi="Arial" w:cs="Arial"/>
          <w:color w:val="000000" w:themeColor="text1"/>
          <w:sz w:val="22"/>
          <w:szCs w:val="22"/>
        </w:rPr>
        <w:t>, 12(3), e1001779. (Accessed: 25 July 2026).</w:t>
      </w:r>
    </w:p>
    <w:p w14:paraId="7F37DC88" w14:textId="751C96FC" w:rsidR="00936DBE" w:rsidRPr="00B015E2" w:rsidRDefault="00936DBE" w:rsidP="00C3269E">
      <w:pPr>
        <w:spacing w:after="120" w:line="360" w:lineRule="auto"/>
        <w:ind w:left="360"/>
        <w:jc w:val="both"/>
        <w:rPr>
          <w:rFonts w:ascii="Arial" w:hAnsi="Arial" w:cs="Arial"/>
          <w:color w:val="000000" w:themeColor="text1"/>
          <w:sz w:val="22"/>
          <w:szCs w:val="22"/>
        </w:rPr>
      </w:pPr>
      <w:r w:rsidRPr="00B015E2">
        <w:rPr>
          <w:rFonts w:ascii="Arial" w:hAnsi="Arial" w:cs="Arial"/>
          <w:color w:val="000000" w:themeColor="text1"/>
          <w:sz w:val="22"/>
          <w:szCs w:val="22"/>
        </w:rPr>
        <w:t xml:space="preserve">Tang, Y.-Y. </w:t>
      </w:r>
      <w:r w:rsidRPr="00B015E2">
        <w:rPr>
          <w:rFonts w:ascii="Arial" w:hAnsi="Arial" w:cs="Arial"/>
          <w:i/>
          <w:iCs/>
          <w:color w:val="000000" w:themeColor="text1"/>
          <w:sz w:val="22"/>
          <w:szCs w:val="22"/>
        </w:rPr>
        <w:t>et al.</w:t>
      </w:r>
      <w:r w:rsidRPr="00B015E2">
        <w:rPr>
          <w:rFonts w:ascii="Arial" w:hAnsi="Arial" w:cs="Arial"/>
          <w:color w:val="000000" w:themeColor="text1"/>
          <w:sz w:val="22"/>
          <w:szCs w:val="22"/>
        </w:rPr>
        <w:t xml:space="preserve"> (2025) “Metabolomic profiles impacted by brief mindfulness intervention with contributions to improved health,” </w:t>
      </w:r>
      <w:r w:rsidRPr="00B015E2">
        <w:rPr>
          <w:rFonts w:ascii="Arial" w:hAnsi="Arial" w:cs="Arial"/>
          <w:i/>
          <w:iCs/>
          <w:color w:val="000000" w:themeColor="text1"/>
          <w:sz w:val="22"/>
          <w:szCs w:val="22"/>
        </w:rPr>
        <w:t>Scientific reports.</w:t>
      </w:r>
      <w:r w:rsidRPr="00B015E2">
        <w:rPr>
          <w:rFonts w:ascii="Arial" w:hAnsi="Arial" w:cs="Arial"/>
          <w:color w:val="000000" w:themeColor="text1"/>
          <w:sz w:val="22"/>
          <w:szCs w:val="22"/>
        </w:rPr>
        <w:t xml:space="preserve">, 15(1). Available at: </w:t>
      </w:r>
      <w:hyperlink r:id="rId46" w:history="1">
        <w:r w:rsidR="00862223" w:rsidRPr="00AC28D8">
          <w:rPr>
            <w:rStyle w:val="Hyperlink"/>
            <w:rFonts w:ascii="Arial" w:hAnsi="Arial" w:cs="Arial"/>
            <w:sz w:val="22"/>
            <w:szCs w:val="22"/>
          </w:rPr>
          <w:t>https://doi.org/10.1038/s41598-025-12067-7</w:t>
        </w:r>
      </w:hyperlink>
      <w:r w:rsidRPr="00B015E2">
        <w:rPr>
          <w:rFonts w:ascii="Arial" w:hAnsi="Arial" w:cs="Arial"/>
          <w:color w:val="000000" w:themeColor="text1"/>
          <w:sz w:val="22"/>
          <w:szCs w:val="22"/>
        </w:rPr>
        <w:t>.</w:t>
      </w:r>
      <w:r w:rsidR="00862223">
        <w:rPr>
          <w:rFonts w:ascii="Arial" w:hAnsi="Arial" w:cs="Arial"/>
          <w:color w:val="000000" w:themeColor="text1"/>
          <w:sz w:val="22"/>
          <w:szCs w:val="22"/>
        </w:rPr>
        <w:t xml:space="preserve"> </w:t>
      </w:r>
      <w:r w:rsidRPr="00B015E2">
        <w:rPr>
          <w:rFonts w:ascii="Arial" w:hAnsi="Arial" w:cs="Arial"/>
          <w:color w:val="000000" w:themeColor="text1"/>
          <w:sz w:val="22"/>
          <w:szCs w:val="22"/>
        </w:rPr>
        <w:t>(Accessed: 11 August 2026).</w:t>
      </w:r>
    </w:p>
    <w:p w14:paraId="1D143B2E"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Van der </w:t>
      </w:r>
      <w:proofErr w:type="spellStart"/>
      <w:r w:rsidRPr="00B015E2">
        <w:rPr>
          <w:rFonts w:ascii="Arial" w:hAnsi="Arial" w:cs="Arial"/>
          <w:color w:val="000000" w:themeColor="text1"/>
          <w:sz w:val="22"/>
          <w:szCs w:val="22"/>
        </w:rPr>
        <w:t>Jeugt</w:t>
      </w:r>
      <w:proofErr w:type="spellEnd"/>
      <w:r w:rsidRPr="00B015E2">
        <w:rPr>
          <w:rFonts w:ascii="Arial" w:hAnsi="Arial" w:cs="Arial"/>
          <w:color w:val="000000" w:themeColor="text1"/>
          <w:sz w:val="22"/>
          <w:szCs w:val="22"/>
        </w:rPr>
        <w:t xml:space="preserve">, T., </w:t>
      </w:r>
      <w:proofErr w:type="spellStart"/>
      <w:r w:rsidRPr="00B015E2">
        <w:rPr>
          <w:rFonts w:ascii="Arial" w:hAnsi="Arial" w:cs="Arial"/>
          <w:color w:val="000000" w:themeColor="text1"/>
          <w:sz w:val="22"/>
          <w:szCs w:val="22"/>
        </w:rPr>
        <w:t>Caset</w:t>
      </w:r>
      <w:proofErr w:type="spellEnd"/>
      <w:r w:rsidRPr="00B015E2">
        <w:rPr>
          <w:rFonts w:ascii="Arial" w:hAnsi="Arial" w:cs="Arial"/>
          <w:color w:val="000000" w:themeColor="text1"/>
          <w:sz w:val="22"/>
          <w:szCs w:val="22"/>
        </w:rPr>
        <w:t xml:space="preserve">, F. and Van Eenoo, E. (2026) “Transport disadvantage and suppressed travel among low-income older adults: Lived experiences of social housing </w:t>
      </w:r>
      <w:r w:rsidRPr="00B015E2">
        <w:rPr>
          <w:rFonts w:ascii="Arial" w:hAnsi="Arial" w:cs="Arial"/>
          <w:color w:val="000000" w:themeColor="text1"/>
          <w:sz w:val="22"/>
          <w:szCs w:val="22"/>
        </w:rPr>
        <w:lastRenderedPageBreak/>
        <w:t xml:space="preserve">tenants in Ghent,” </w:t>
      </w:r>
      <w:r w:rsidRPr="00B015E2">
        <w:rPr>
          <w:rFonts w:ascii="Arial" w:hAnsi="Arial" w:cs="Arial"/>
          <w:i/>
          <w:iCs/>
          <w:color w:val="000000" w:themeColor="text1"/>
          <w:sz w:val="22"/>
          <w:szCs w:val="22"/>
        </w:rPr>
        <w:t>Journal of Urban Mobility</w:t>
      </w:r>
      <w:r w:rsidRPr="00B015E2">
        <w:rPr>
          <w:rFonts w:ascii="Arial" w:hAnsi="Arial" w:cs="Arial"/>
          <w:color w:val="000000" w:themeColor="text1"/>
          <w:sz w:val="22"/>
          <w:szCs w:val="22"/>
        </w:rPr>
        <w:t xml:space="preserve">, 10. Available at: </w:t>
      </w:r>
      <w:hyperlink r:id="rId47" w:history="1">
        <w:r w:rsidRPr="00B015E2">
          <w:rPr>
            <w:rStyle w:val="Hyperlink"/>
            <w:rFonts w:ascii="Arial" w:hAnsi="Arial" w:cs="Arial"/>
            <w:color w:val="000000" w:themeColor="text1"/>
            <w:sz w:val="22"/>
            <w:szCs w:val="22"/>
          </w:rPr>
          <w:t>https://doi.org/10.1016/j.urbmob.2026.100260</w:t>
        </w:r>
      </w:hyperlink>
      <w:r w:rsidRPr="00B015E2">
        <w:rPr>
          <w:rFonts w:ascii="Arial" w:hAnsi="Arial" w:cs="Arial"/>
          <w:color w:val="000000" w:themeColor="text1"/>
          <w:sz w:val="22"/>
          <w:szCs w:val="22"/>
        </w:rPr>
        <w:t>. (Accessed: 2 August 2026).</w:t>
      </w:r>
    </w:p>
    <w:p w14:paraId="2C2F0B3C" w14:textId="77777777" w:rsidR="00936DBE" w:rsidRPr="00B015E2" w:rsidRDefault="00936DBE" w:rsidP="00C3269E">
      <w:pPr>
        <w:spacing w:after="120" w:line="360" w:lineRule="auto"/>
        <w:ind w:left="360"/>
        <w:jc w:val="both"/>
        <w:rPr>
          <w:rFonts w:ascii="Arial" w:hAnsi="Arial" w:cs="Arial"/>
          <w:color w:val="000000" w:themeColor="text1"/>
          <w:sz w:val="22"/>
          <w:szCs w:val="22"/>
        </w:rPr>
      </w:pPr>
      <w:r w:rsidRPr="00B015E2">
        <w:rPr>
          <w:rFonts w:ascii="Arial" w:hAnsi="Arial" w:cs="Arial"/>
          <w:color w:val="000000" w:themeColor="text1"/>
          <w:sz w:val="22"/>
          <w:szCs w:val="22"/>
        </w:rPr>
        <w:t xml:space="preserve">Vrančić, A., Zadravec, H. and </w:t>
      </w:r>
      <w:proofErr w:type="spellStart"/>
      <w:r w:rsidRPr="00B015E2">
        <w:rPr>
          <w:rFonts w:ascii="Arial" w:hAnsi="Arial" w:cs="Arial"/>
          <w:color w:val="000000" w:themeColor="text1"/>
          <w:sz w:val="22"/>
          <w:szCs w:val="22"/>
        </w:rPr>
        <w:t>Orehovački</w:t>
      </w:r>
      <w:proofErr w:type="spellEnd"/>
      <w:r w:rsidRPr="00B015E2">
        <w:rPr>
          <w:rFonts w:ascii="Arial" w:hAnsi="Arial" w:cs="Arial"/>
          <w:color w:val="000000" w:themeColor="text1"/>
          <w:sz w:val="22"/>
          <w:szCs w:val="22"/>
        </w:rPr>
        <w:t xml:space="preserve">, T. (no date) “The Role of Smart Homes in Providing Care for Older Adults: A Systematic Literature Review from 2010 to 2023,” </w:t>
      </w:r>
      <w:r w:rsidRPr="00B015E2">
        <w:rPr>
          <w:rFonts w:ascii="Arial" w:hAnsi="Arial" w:cs="Arial"/>
          <w:i/>
          <w:iCs/>
          <w:color w:val="000000" w:themeColor="text1"/>
          <w:sz w:val="22"/>
          <w:szCs w:val="22"/>
        </w:rPr>
        <w:t>Smart cities</w:t>
      </w:r>
      <w:r w:rsidRPr="00B015E2">
        <w:rPr>
          <w:rFonts w:ascii="Arial" w:hAnsi="Arial" w:cs="Arial"/>
          <w:color w:val="000000" w:themeColor="text1"/>
          <w:sz w:val="22"/>
          <w:szCs w:val="22"/>
        </w:rPr>
        <w:t xml:space="preserve">, 7(4), pp. 1502–1550. Available at: </w:t>
      </w:r>
      <w:hyperlink r:id="rId48" w:history="1">
        <w:r w:rsidRPr="00B015E2">
          <w:rPr>
            <w:rStyle w:val="Hyperlink"/>
            <w:rFonts w:ascii="Arial" w:hAnsi="Arial" w:cs="Arial"/>
            <w:sz w:val="22"/>
            <w:szCs w:val="22"/>
          </w:rPr>
          <w:t>https://doi.org/10.3390/smartcities7040062</w:t>
        </w:r>
      </w:hyperlink>
      <w:r w:rsidRPr="00B015E2">
        <w:rPr>
          <w:rFonts w:ascii="Arial" w:hAnsi="Arial" w:cs="Arial"/>
          <w:color w:val="000000" w:themeColor="text1"/>
          <w:sz w:val="22"/>
          <w:szCs w:val="22"/>
        </w:rPr>
        <w:t>. (Accessed: 8 August 2026).</w:t>
      </w:r>
    </w:p>
    <w:p w14:paraId="23CEC721"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Wagner, C., Carmeli, C., Jackisch, J., Kivimäki, M., </w:t>
      </w:r>
      <w:proofErr w:type="spellStart"/>
      <w:r w:rsidRPr="00B015E2">
        <w:rPr>
          <w:rFonts w:ascii="Arial" w:hAnsi="Arial" w:cs="Arial"/>
          <w:color w:val="000000" w:themeColor="text1"/>
          <w:sz w:val="22"/>
          <w:szCs w:val="22"/>
        </w:rPr>
        <w:t>Cullati</w:t>
      </w:r>
      <w:proofErr w:type="spellEnd"/>
      <w:r w:rsidRPr="00B015E2">
        <w:rPr>
          <w:rFonts w:ascii="Arial" w:hAnsi="Arial" w:cs="Arial"/>
          <w:color w:val="000000" w:themeColor="text1"/>
          <w:sz w:val="22"/>
          <w:szCs w:val="22"/>
        </w:rPr>
        <w:t xml:space="preserve">, B., </w:t>
      </w:r>
      <w:proofErr w:type="spellStart"/>
      <w:r w:rsidRPr="00B015E2">
        <w:rPr>
          <w:rFonts w:ascii="Arial" w:hAnsi="Arial" w:cs="Arial"/>
          <w:color w:val="000000" w:themeColor="text1"/>
          <w:sz w:val="22"/>
          <w:szCs w:val="22"/>
        </w:rPr>
        <w:t>Cullati</w:t>
      </w:r>
      <w:proofErr w:type="spellEnd"/>
      <w:r w:rsidRPr="00B015E2">
        <w:rPr>
          <w:rFonts w:ascii="Arial" w:hAnsi="Arial" w:cs="Arial"/>
          <w:color w:val="000000" w:themeColor="text1"/>
          <w:sz w:val="22"/>
          <w:szCs w:val="22"/>
        </w:rPr>
        <w:t xml:space="preserve">, S. and </w:t>
      </w:r>
      <w:proofErr w:type="spellStart"/>
      <w:r w:rsidRPr="00B015E2">
        <w:rPr>
          <w:rFonts w:ascii="Arial" w:hAnsi="Arial" w:cs="Arial"/>
          <w:color w:val="000000" w:themeColor="text1"/>
          <w:sz w:val="22"/>
          <w:szCs w:val="22"/>
        </w:rPr>
        <w:t>Chiolero</w:t>
      </w:r>
      <w:proofErr w:type="spellEnd"/>
      <w:r w:rsidRPr="00B015E2">
        <w:rPr>
          <w:rFonts w:ascii="Arial" w:hAnsi="Arial" w:cs="Arial"/>
          <w:color w:val="000000" w:themeColor="text1"/>
          <w:sz w:val="22"/>
          <w:szCs w:val="22"/>
        </w:rPr>
        <w:t xml:space="preserve">, A. (2024) “Life course epidemiology and public health,” </w:t>
      </w:r>
      <w:r w:rsidRPr="00B015E2">
        <w:rPr>
          <w:rFonts w:ascii="Arial" w:hAnsi="Arial" w:cs="Arial"/>
          <w:i/>
          <w:iCs/>
          <w:color w:val="000000" w:themeColor="text1"/>
          <w:sz w:val="22"/>
          <w:szCs w:val="22"/>
        </w:rPr>
        <w:t>The Lancet Public Health</w:t>
      </w:r>
      <w:r w:rsidRPr="00B015E2">
        <w:rPr>
          <w:rFonts w:ascii="Arial" w:hAnsi="Arial" w:cs="Arial"/>
          <w:color w:val="000000" w:themeColor="text1"/>
          <w:sz w:val="22"/>
          <w:szCs w:val="22"/>
        </w:rPr>
        <w:t xml:space="preserve">, 9(4), pp. e261–e269. doi:10.1016/S2468-2667(24)00018-5. Available at: </w:t>
      </w:r>
      <w:hyperlink r:id="rId49" w:history="1">
        <w:r w:rsidRPr="00B015E2">
          <w:rPr>
            <w:rStyle w:val="Hyperlink"/>
            <w:rFonts w:ascii="Arial" w:hAnsi="Arial" w:cs="Arial"/>
            <w:color w:val="000000" w:themeColor="text1"/>
            <w:sz w:val="22"/>
            <w:szCs w:val="22"/>
          </w:rPr>
          <w:t>Life course epidemiology and public health - The Lancet Public Health</w:t>
        </w:r>
      </w:hyperlink>
      <w:r w:rsidRPr="00B015E2">
        <w:rPr>
          <w:rFonts w:ascii="Arial" w:hAnsi="Arial" w:cs="Arial"/>
          <w:color w:val="000000" w:themeColor="text1"/>
          <w:sz w:val="22"/>
          <w:szCs w:val="22"/>
        </w:rPr>
        <w:t xml:space="preserve">. (Accessed: 30 July 2026). </w:t>
      </w:r>
    </w:p>
    <w:p w14:paraId="4EB9F7A8" w14:textId="77777777" w:rsidR="00936DBE" w:rsidRPr="00B015E2" w:rsidRDefault="00936DBE" w:rsidP="00C3269E">
      <w:pPr>
        <w:spacing w:after="120" w:line="360" w:lineRule="auto"/>
        <w:ind w:left="360"/>
        <w:rPr>
          <w:rFonts w:ascii="Arial" w:hAnsi="Arial" w:cs="Arial"/>
          <w:color w:val="000000" w:themeColor="text1"/>
          <w:sz w:val="22"/>
          <w:szCs w:val="22"/>
        </w:rPr>
      </w:pPr>
      <w:r w:rsidRPr="00B015E2">
        <w:rPr>
          <w:rFonts w:ascii="Arial" w:hAnsi="Arial" w:cs="Arial"/>
          <w:color w:val="000000" w:themeColor="text1"/>
          <w:sz w:val="22"/>
          <w:szCs w:val="22"/>
        </w:rPr>
        <w:t xml:space="preserve">World Health Organization (2026) </w:t>
      </w:r>
      <w:r w:rsidRPr="00B015E2">
        <w:rPr>
          <w:rFonts w:ascii="Arial" w:hAnsi="Arial" w:cs="Arial"/>
          <w:i/>
          <w:iCs/>
          <w:color w:val="000000" w:themeColor="text1"/>
          <w:sz w:val="22"/>
          <w:szCs w:val="22"/>
        </w:rPr>
        <w:t>Dementia</w:t>
      </w:r>
      <w:r w:rsidRPr="00B015E2">
        <w:rPr>
          <w:rFonts w:ascii="Arial" w:hAnsi="Arial" w:cs="Arial"/>
          <w:color w:val="000000" w:themeColor="text1"/>
          <w:sz w:val="22"/>
          <w:szCs w:val="22"/>
        </w:rPr>
        <w:t xml:space="preserve">. Available at: </w:t>
      </w:r>
      <w:hyperlink r:id="rId50" w:tgtFrame="_new" w:history="1">
        <w:r w:rsidRPr="00B015E2">
          <w:rPr>
            <w:rStyle w:val="Hyperlink"/>
            <w:rFonts w:ascii="Arial" w:hAnsi="Arial" w:cs="Arial"/>
            <w:color w:val="000000" w:themeColor="text1"/>
            <w:sz w:val="22"/>
            <w:szCs w:val="22"/>
          </w:rPr>
          <w:t>https://www.who.int/news-room/fact-sheets/detail/dementia</w:t>
        </w:r>
      </w:hyperlink>
      <w:r w:rsidRPr="00B015E2">
        <w:rPr>
          <w:rFonts w:ascii="Arial" w:hAnsi="Arial" w:cs="Arial"/>
          <w:color w:val="000000" w:themeColor="text1"/>
          <w:sz w:val="22"/>
          <w:szCs w:val="22"/>
        </w:rPr>
        <w:t>. (Accessed: 31 July 2026).</w:t>
      </w:r>
    </w:p>
    <w:sectPr w:rsidR="00936DBE" w:rsidRPr="00B015E2">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14776" w14:textId="77777777" w:rsidR="009E16F5" w:rsidRDefault="009E16F5" w:rsidP="006F1378">
      <w:r>
        <w:separator/>
      </w:r>
    </w:p>
  </w:endnote>
  <w:endnote w:type="continuationSeparator" w:id="0">
    <w:p w14:paraId="236BFA7B" w14:textId="77777777" w:rsidR="009E16F5" w:rsidRDefault="009E16F5" w:rsidP="006F13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quot;Courier New&quot;">
    <w:altName w:val="Cambria"/>
    <w:panose1 w:val="00000000000000000000"/>
    <w:charset w:val="00"/>
    <w:family w:val="roman"/>
    <w:notTrueType/>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A4801" w14:textId="1C6E8615" w:rsidR="00AD1AE1" w:rsidRPr="009C6855" w:rsidRDefault="00AD1AE1" w:rsidP="001F44FC">
    <w:pPr>
      <w:pStyle w:val="Footer"/>
      <w:jc w:val="center"/>
      <w:rPr>
        <w:rFonts w:ascii="Arial" w:hAnsi="Arial" w:cs="Arial"/>
        <w:caps/>
        <w:noProof/>
        <w:color w:val="4F81BD" w:themeColor="accent1"/>
        <w:sz w:val="24"/>
        <w:szCs w:val="24"/>
      </w:rPr>
    </w:pPr>
    <w:r w:rsidRPr="009C6855">
      <w:rPr>
        <w:rFonts w:ascii="Arial" w:hAnsi="Arial" w:cs="Arial"/>
        <w:caps/>
        <w:color w:val="000000" w:themeColor="text1"/>
        <w:sz w:val="24"/>
        <w:szCs w:val="24"/>
      </w:rPr>
      <w:fldChar w:fldCharType="begin"/>
    </w:r>
    <w:r w:rsidRPr="009C6855">
      <w:rPr>
        <w:rFonts w:ascii="Arial" w:hAnsi="Arial" w:cs="Arial"/>
        <w:caps/>
        <w:color w:val="000000" w:themeColor="text1"/>
        <w:sz w:val="24"/>
        <w:szCs w:val="24"/>
      </w:rPr>
      <w:instrText xml:space="preserve"> PAGE   \* MERGEFORMAT </w:instrText>
    </w:r>
    <w:r w:rsidRPr="009C6855">
      <w:rPr>
        <w:rFonts w:ascii="Arial" w:hAnsi="Arial" w:cs="Arial"/>
        <w:caps/>
        <w:color w:val="000000" w:themeColor="text1"/>
        <w:sz w:val="24"/>
        <w:szCs w:val="24"/>
      </w:rPr>
      <w:fldChar w:fldCharType="separate"/>
    </w:r>
    <w:r w:rsidRPr="009C6855">
      <w:rPr>
        <w:rFonts w:ascii="Arial" w:hAnsi="Arial" w:cs="Arial"/>
        <w:caps/>
        <w:noProof/>
        <w:color w:val="000000" w:themeColor="text1"/>
        <w:sz w:val="24"/>
        <w:szCs w:val="24"/>
      </w:rPr>
      <w:t>2</w:t>
    </w:r>
    <w:r w:rsidRPr="009C6855">
      <w:rPr>
        <w:rFonts w:ascii="Arial" w:hAnsi="Arial" w:cs="Arial"/>
        <w:caps/>
        <w:noProof/>
        <w:color w:val="000000" w:themeColor="text1"/>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A9D9E" w14:textId="77777777" w:rsidR="009E16F5" w:rsidRDefault="009E16F5" w:rsidP="006F1378">
      <w:r>
        <w:separator/>
      </w:r>
    </w:p>
  </w:footnote>
  <w:footnote w:type="continuationSeparator" w:id="0">
    <w:p w14:paraId="7D1ECFB7" w14:textId="77777777" w:rsidR="009E16F5" w:rsidRDefault="009E16F5" w:rsidP="006F13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C0B81C" w14:textId="1B31C7FE" w:rsidR="006F1378" w:rsidRDefault="00B9560E">
    <w:pPr>
      <w:pStyle w:val="Header"/>
    </w:pPr>
    <w:r>
      <w:rPr>
        <w:noProof/>
      </w:rPr>
      <w:drawing>
        <wp:inline distT="0" distB="0" distL="0" distR="0" wp14:anchorId="5FD20DC6" wp14:editId="18674F1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0DF4D94E" w14:textId="77777777" w:rsidR="007D6BAC" w:rsidRDefault="007D6B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462F5"/>
    <w:multiLevelType w:val="hybridMultilevel"/>
    <w:tmpl w:val="D2B4D05A"/>
    <w:lvl w:ilvl="0" w:tplc="BE6A724E">
      <w:start w:val="1"/>
      <w:numFmt w:val="decimal"/>
      <w:lvlText w:val="•"/>
      <w:lvlJc w:val="left"/>
      <w:pPr>
        <w:ind w:left="720" w:hanging="360"/>
      </w:pPr>
    </w:lvl>
    <w:lvl w:ilvl="1" w:tplc="B4A24C0C">
      <w:start w:val="1"/>
      <w:numFmt w:val="lowerLetter"/>
      <w:lvlText w:val="%2."/>
      <w:lvlJc w:val="left"/>
      <w:pPr>
        <w:ind w:left="1440" w:hanging="360"/>
      </w:pPr>
    </w:lvl>
    <w:lvl w:ilvl="2" w:tplc="F010289C">
      <w:start w:val="1"/>
      <w:numFmt w:val="lowerRoman"/>
      <w:lvlText w:val="%3."/>
      <w:lvlJc w:val="right"/>
      <w:pPr>
        <w:ind w:left="2160" w:hanging="180"/>
      </w:pPr>
    </w:lvl>
    <w:lvl w:ilvl="3" w:tplc="6BFC2A82">
      <w:start w:val="1"/>
      <w:numFmt w:val="decimal"/>
      <w:lvlText w:val="%4."/>
      <w:lvlJc w:val="left"/>
      <w:pPr>
        <w:ind w:left="2880" w:hanging="360"/>
      </w:pPr>
    </w:lvl>
    <w:lvl w:ilvl="4" w:tplc="2D9AEBC4">
      <w:start w:val="1"/>
      <w:numFmt w:val="lowerLetter"/>
      <w:lvlText w:val="%5."/>
      <w:lvlJc w:val="left"/>
      <w:pPr>
        <w:ind w:left="3600" w:hanging="360"/>
      </w:pPr>
    </w:lvl>
    <w:lvl w:ilvl="5" w:tplc="69845F68">
      <w:start w:val="1"/>
      <w:numFmt w:val="lowerRoman"/>
      <w:lvlText w:val="%6."/>
      <w:lvlJc w:val="right"/>
      <w:pPr>
        <w:ind w:left="4320" w:hanging="180"/>
      </w:pPr>
    </w:lvl>
    <w:lvl w:ilvl="6" w:tplc="8092F1C0">
      <w:start w:val="1"/>
      <w:numFmt w:val="decimal"/>
      <w:lvlText w:val="%7."/>
      <w:lvlJc w:val="left"/>
      <w:pPr>
        <w:ind w:left="5040" w:hanging="360"/>
      </w:pPr>
    </w:lvl>
    <w:lvl w:ilvl="7" w:tplc="1840D562">
      <w:start w:val="1"/>
      <w:numFmt w:val="lowerLetter"/>
      <w:lvlText w:val="%8."/>
      <w:lvlJc w:val="left"/>
      <w:pPr>
        <w:ind w:left="5760" w:hanging="360"/>
      </w:pPr>
    </w:lvl>
    <w:lvl w:ilvl="8" w:tplc="BD1A2C5E">
      <w:start w:val="1"/>
      <w:numFmt w:val="lowerRoman"/>
      <w:lvlText w:val="%9."/>
      <w:lvlJc w:val="right"/>
      <w:pPr>
        <w:ind w:left="6480" w:hanging="180"/>
      </w:pPr>
    </w:lvl>
  </w:abstractNum>
  <w:abstractNum w:abstractNumId="1" w15:restartNumberingAfterBreak="0">
    <w:nsid w:val="179BB1BA"/>
    <w:multiLevelType w:val="hybridMultilevel"/>
    <w:tmpl w:val="501CAFBA"/>
    <w:lvl w:ilvl="0" w:tplc="0562B994">
      <w:start w:val="1"/>
      <w:numFmt w:val="bullet"/>
      <w:lvlText w:val=""/>
      <w:lvlJc w:val="left"/>
      <w:pPr>
        <w:ind w:left="720" w:hanging="360"/>
      </w:pPr>
      <w:rPr>
        <w:rFonts w:ascii="Symbol" w:hAnsi="Symbol" w:hint="default"/>
      </w:rPr>
    </w:lvl>
    <w:lvl w:ilvl="1" w:tplc="DECE1AB2">
      <w:start w:val="1"/>
      <w:numFmt w:val="bullet"/>
      <w:lvlText w:val="o"/>
      <w:lvlJc w:val="left"/>
      <w:pPr>
        <w:ind w:left="1440" w:hanging="360"/>
      </w:pPr>
      <w:rPr>
        <w:rFonts w:ascii="&quot;Courier New&quot;" w:hAnsi="&quot;Courier New&quot;" w:hint="default"/>
      </w:rPr>
    </w:lvl>
    <w:lvl w:ilvl="2" w:tplc="9CC25218">
      <w:start w:val="1"/>
      <w:numFmt w:val="bullet"/>
      <w:lvlText w:val=""/>
      <w:lvlJc w:val="left"/>
      <w:pPr>
        <w:ind w:left="2160" w:hanging="360"/>
      </w:pPr>
      <w:rPr>
        <w:rFonts w:ascii="Wingdings" w:hAnsi="Wingdings" w:hint="default"/>
      </w:rPr>
    </w:lvl>
    <w:lvl w:ilvl="3" w:tplc="CF766BF2">
      <w:start w:val="1"/>
      <w:numFmt w:val="bullet"/>
      <w:lvlText w:val=""/>
      <w:lvlJc w:val="left"/>
      <w:pPr>
        <w:ind w:left="2880" w:hanging="360"/>
      </w:pPr>
      <w:rPr>
        <w:rFonts w:ascii="Symbol" w:hAnsi="Symbol" w:hint="default"/>
      </w:rPr>
    </w:lvl>
    <w:lvl w:ilvl="4" w:tplc="AE5A631E">
      <w:start w:val="1"/>
      <w:numFmt w:val="bullet"/>
      <w:lvlText w:val="o"/>
      <w:lvlJc w:val="left"/>
      <w:pPr>
        <w:ind w:left="3600" w:hanging="360"/>
      </w:pPr>
      <w:rPr>
        <w:rFonts w:ascii="Courier New" w:hAnsi="Courier New" w:hint="default"/>
      </w:rPr>
    </w:lvl>
    <w:lvl w:ilvl="5" w:tplc="D74ABCC6">
      <w:start w:val="1"/>
      <w:numFmt w:val="bullet"/>
      <w:lvlText w:val=""/>
      <w:lvlJc w:val="left"/>
      <w:pPr>
        <w:ind w:left="4320" w:hanging="360"/>
      </w:pPr>
      <w:rPr>
        <w:rFonts w:ascii="Wingdings" w:hAnsi="Wingdings" w:hint="default"/>
      </w:rPr>
    </w:lvl>
    <w:lvl w:ilvl="6" w:tplc="9E72FCE0">
      <w:start w:val="1"/>
      <w:numFmt w:val="bullet"/>
      <w:lvlText w:val=""/>
      <w:lvlJc w:val="left"/>
      <w:pPr>
        <w:ind w:left="5040" w:hanging="360"/>
      </w:pPr>
      <w:rPr>
        <w:rFonts w:ascii="Symbol" w:hAnsi="Symbol" w:hint="default"/>
      </w:rPr>
    </w:lvl>
    <w:lvl w:ilvl="7" w:tplc="CBFC318E">
      <w:start w:val="1"/>
      <w:numFmt w:val="bullet"/>
      <w:lvlText w:val="o"/>
      <w:lvlJc w:val="left"/>
      <w:pPr>
        <w:ind w:left="5760" w:hanging="360"/>
      </w:pPr>
      <w:rPr>
        <w:rFonts w:ascii="Courier New" w:hAnsi="Courier New" w:hint="default"/>
      </w:rPr>
    </w:lvl>
    <w:lvl w:ilvl="8" w:tplc="A418CA3C">
      <w:start w:val="1"/>
      <w:numFmt w:val="bullet"/>
      <w:lvlText w:val=""/>
      <w:lvlJc w:val="left"/>
      <w:pPr>
        <w:ind w:left="6480" w:hanging="360"/>
      </w:pPr>
      <w:rPr>
        <w:rFonts w:ascii="Wingdings" w:hAnsi="Wingdings" w:hint="default"/>
      </w:rPr>
    </w:lvl>
  </w:abstractNum>
  <w:abstractNum w:abstractNumId="2" w15:restartNumberingAfterBreak="0">
    <w:nsid w:val="23A23AB2"/>
    <w:multiLevelType w:val="multilevel"/>
    <w:tmpl w:val="14488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1A4575"/>
    <w:multiLevelType w:val="hybridMultilevel"/>
    <w:tmpl w:val="A78401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770AF9"/>
    <w:multiLevelType w:val="multilevel"/>
    <w:tmpl w:val="4FFA9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667E64"/>
    <w:multiLevelType w:val="multilevel"/>
    <w:tmpl w:val="0FE07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766834"/>
    <w:multiLevelType w:val="multilevel"/>
    <w:tmpl w:val="C09CD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03C325"/>
    <w:multiLevelType w:val="hybridMultilevel"/>
    <w:tmpl w:val="AA86777E"/>
    <w:lvl w:ilvl="0" w:tplc="B5C24E1C">
      <w:start w:val="1"/>
      <w:numFmt w:val="decimal"/>
      <w:lvlText w:val="•"/>
      <w:lvlJc w:val="left"/>
      <w:pPr>
        <w:ind w:left="720" w:hanging="360"/>
      </w:pPr>
    </w:lvl>
    <w:lvl w:ilvl="1" w:tplc="1660D644">
      <w:start w:val="1"/>
      <w:numFmt w:val="lowerLetter"/>
      <w:lvlText w:val="%2."/>
      <w:lvlJc w:val="left"/>
      <w:pPr>
        <w:ind w:left="1440" w:hanging="360"/>
      </w:pPr>
    </w:lvl>
    <w:lvl w:ilvl="2" w:tplc="691266F0">
      <w:start w:val="1"/>
      <w:numFmt w:val="lowerRoman"/>
      <w:lvlText w:val="%3."/>
      <w:lvlJc w:val="right"/>
      <w:pPr>
        <w:ind w:left="2160" w:hanging="180"/>
      </w:pPr>
    </w:lvl>
    <w:lvl w:ilvl="3" w:tplc="A3685AA8">
      <w:start w:val="1"/>
      <w:numFmt w:val="decimal"/>
      <w:lvlText w:val="%4."/>
      <w:lvlJc w:val="left"/>
      <w:pPr>
        <w:ind w:left="2880" w:hanging="360"/>
      </w:pPr>
    </w:lvl>
    <w:lvl w:ilvl="4" w:tplc="5BFEB24E">
      <w:start w:val="1"/>
      <w:numFmt w:val="lowerLetter"/>
      <w:lvlText w:val="%5."/>
      <w:lvlJc w:val="left"/>
      <w:pPr>
        <w:ind w:left="3600" w:hanging="360"/>
      </w:pPr>
    </w:lvl>
    <w:lvl w:ilvl="5" w:tplc="E65617D2">
      <w:start w:val="1"/>
      <w:numFmt w:val="lowerRoman"/>
      <w:lvlText w:val="%6."/>
      <w:lvlJc w:val="right"/>
      <w:pPr>
        <w:ind w:left="4320" w:hanging="180"/>
      </w:pPr>
    </w:lvl>
    <w:lvl w:ilvl="6" w:tplc="4D985068">
      <w:start w:val="1"/>
      <w:numFmt w:val="decimal"/>
      <w:lvlText w:val="%7."/>
      <w:lvlJc w:val="left"/>
      <w:pPr>
        <w:ind w:left="5040" w:hanging="360"/>
      </w:pPr>
    </w:lvl>
    <w:lvl w:ilvl="7" w:tplc="FA58C608">
      <w:start w:val="1"/>
      <w:numFmt w:val="lowerLetter"/>
      <w:lvlText w:val="%8."/>
      <w:lvlJc w:val="left"/>
      <w:pPr>
        <w:ind w:left="5760" w:hanging="360"/>
      </w:pPr>
    </w:lvl>
    <w:lvl w:ilvl="8" w:tplc="B7F01B22">
      <w:start w:val="1"/>
      <w:numFmt w:val="lowerRoman"/>
      <w:lvlText w:val="%9."/>
      <w:lvlJc w:val="right"/>
      <w:pPr>
        <w:ind w:left="6480" w:hanging="180"/>
      </w:pPr>
    </w:lvl>
  </w:abstractNum>
  <w:abstractNum w:abstractNumId="8" w15:restartNumberingAfterBreak="0">
    <w:nsid w:val="5F394F5E"/>
    <w:multiLevelType w:val="hybridMultilevel"/>
    <w:tmpl w:val="0A98C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AE47B8"/>
    <w:multiLevelType w:val="hybridMultilevel"/>
    <w:tmpl w:val="3ED4B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D7190A"/>
    <w:multiLevelType w:val="hybridMultilevel"/>
    <w:tmpl w:val="AD0E6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E66FAB"/>
    <w:multiLevelType w:val="multilevel"/>
    <w:tmpl w:val="65980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0C1DD9"/>
    <w:multiLevelType w:val="hybridMultilevel"/>
    <w:tmpl w:val="71F2B9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FC3493"/>
    <w:multiLevelType w:val="multilevel"/>
    <w:tmpl w:val="5DE0D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8013B5"/>
    <w:multiLevelType w:val="multilevel"/>
    <w:tmpl w:val="79424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8088487">
    <w:abstractNumId w:val="0"/>
  </w:num>
  <w:num w:numId="2" w16cid:durableId="304817232">
    <w:abstractNumId w:val="1"/>
  </w:num>
  <w:num w:numId="3" w16cid:durableId="1931309534">
    <w:abstractNumId w:val="7"/>
  </w:num>
  <w:num w:numId="4" w16cid:durableId="1981835704">
    <w:abstractNumId w:val="6"/>
  </w:num>
  <w:num w:numId="5" w16cid:durableId="239995829">
    <w:abstractNumId w:val="14"/>
  </w:num>
  <w:num w:numId="6" w16cid:durableId="1067647483">
    <w:abstractNumId w:val="2"/>
  </w:num>
  <w:num w:numId="7" w16cid:durableId="212277721">
    <w:abstractNumId w:val="13"/>
  </w:num>
  <w:num w:numId="8" w16cid:durableId="118455927">
    <w:abstractNumId w:val="4"/>
  </w:num>
  <w:num w:numId="9" w16cid:durableId="2118862123">
    <w:abstractNumId w:val="11"/>
  </w:num>
  <w:num w:numId="10" w16cid:durableId="1594821605">
    <w:abstractNumId w:val="12"/>
  </w:num>
  <w:num w:numId="11" w16cid:durableId="958485767">
    <w:abstractNumId w:val="5"/>
  </w:num>
  <w:num w:numId="12" w16cid:durableId="1832602297">
    <w:abstractNumId w:val="8"/>
  </w:num>
  <w:num w:numId="13" w16cid:durableId="126970771">
    <w:abstractNumId w:val="3"/>
  </w:num>
  <w:num w:numId="14" w16cid:durableId="1318920353">
    <w:abstractNumId w:val="9"/>
  </w:num>
  <w:num w:numId="15" w16cid:durableId="11748017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810FD"/>
    <w:rsid w:val="0000354B"/>
    <w:rsid w:val="00003BB8"/>
    <w:rsid w:val="00004C47"/>
    <w:rsid w:val="000055DE"/>
    <w:rsid w:val="00005F09"/>
    <w:rsid w:val="000109A1"/>
    <w:rsid w:val="0001216E"/>
    <w:rsid w:val="00013B0C"/>
    <w:rsid w:val="00015C73"/>
    <w:rsid w:val="0001725F"/>
    <w:rsid w:val="00017D25"/>
    <w:rsid w:val="00021F2D"/>
    <w:rsid w:val="00023AFD"/>
    <w:rsid w:val="000257B4"/>
    <w:rsid w:val="000316D1"/>
    <w:rsid w:val="000325A1"/>
    <w:rsid w:val="00032B0D"/>
    <w:rsid w:val="00033576"/>
    <w:rsid w:val="00037937"/>
    <w:rsid w:val="00041FF4"/>
    <w:rsid w:val="00042075"/>
    <w:rsid w:val="0004305C"/>
    <w:rsid w:val="000450AB"/>
    <w:rsid w:val="00046D48"/>
    <w:rsid w:val="00047602"/>
    <w:rsid w:val="00047B7A"/>
    <w:rsid w:val="00047F19"/>
    <w:rsid w:val="00052C65"/>
    <w:rsid w:val="00055E31"/>
    <w:rsid w:val="00062488"/>
    <w:rsid w:val="000626AF"/>
    <w:rsid w:val="000645F1"/>
    <w:rsid w:val="0006761F"/>
    <w:rsid w:val="00071A16"/>
    <w:rsid w:val="00074272"/>
    <w:rsid w:val="000747E6"/>
    <w:rsid w:val="0007570B"/>
    <w:rsid w:val="00075F14"/>
    <w:rsid w:val="00083CFB"/>
    <w:rsid w:val="000843F9"/>
    <w:rsid w:val="00084BAC"/>
    <w:rsid w:val="00087002"/>
    <w:rsid w:val="000878DE"/>
    <w:rsid w:val="00093F19"/>
    <w:rsid w:val="00094AC2"/>
    <w:rsid w:val="000964BE"/>
    <w:rsid w:val="000974DA"/>
    <w:rsid w:val="00097E32"/>
    <w:rsid w:val="000A111C"/>
    <w:rsid w:val="000A1FA1"/>
    <w:rsid w:val="000A2030"/>
    <w:rsid w:val="000A252C"/>
    <w:rsid w:val="000A3D7D"/>
    <w:rsid w:val="000A40D8"/>
    <w:rsid w:val="000A557F"/>
    <w:rsid w:val="000A7EC1"/>
    <w:rsid w:val="000B076A"/>
    <w:rsid w:val="000B4668"/>
    <w:rsid w:val="000B4790"/>
    <w:rsid w:val="000B47D9"/>
    <w:rsid w:val="000B512C"/>
    <w:rsid w:val="000B7898"/>
    <w:rsid w:val="000B7B5C"/>
    <w:rsid w:val="000C4477"/>
    <w:rsid w:val="000D1B67"/>
    <w:rsid w:val="000D2501"/>
    <w:rsid w:val="000D367E"/>
    <w:rsid w:val="000D51EF"/>
    <w:rsid w:val="000D657E"/>
    <w:rsid w:val="000D6ACA"/>
    <w:rsid w:val="000D7089"/>
    <w:rsid w:val="000E289A"/>
    <w:rsid w:val="000E2FC5"/>
    <w:rsid w:val="000E319F"/>
    <w:rsid w:val="000E6682"/>
    <w:rsid w:val="000E7049"/>
    <w:rsid w:val="000E7EE3"/>
    <w:rsid w:val="000F13C4"/>
    <w:rsid w:val="000F2EEE"/>
    <w:rsid w:val="000F2F9B"/>
    <w:rsid w:val="000F3BEE"/>
    <w:rsid w:val="000F4950"/>
    <w:rsid w:val="000F7408"/>
    <w:rsid w:val="000F757A"/>
    <w:rsid w:val="0010187E"/>
    <w:rsid w:val="0010309A"/>
    <w:rsid w:val="00104965"/>
    <w:rsid w:val="00105D09"/>
    <w:rsid w:val="00107246"/>
    <w:rsid w:val="00107727"/>
    <w:rsid w:val="00107B1B"/>
    <w:rsid w:val="001101CB"/>
    <w:rsid w:val="0011244E"/>
    <w:rsid w:val="00112502"/>
    <w:rsid w:val="00113D79"/>
    <w:rsid w:val="00114311"/>
    <w:rsid w:val="00115040"/>
    <w:rsid w:val="00117E5F"/>
    <w:rsid w:val="001206C0"/>
    <w:rsid w:val="00120A1B"/>
    <w:rsid w:val="00120BA2"/>
    <w:rsid w:val="00121CC3"/>
    <w:rsid w:val="00127062"/>
    <w:rsid w:val="001274AC"/>
    <w:rsid w:val="00130403"/>
    <w:rsid w:val="001323A1"/>
    <w:rsid w:val="00132AB4"/>
    <w:rsid w:val="0013589B"/>
    <w:rsid w:val="00136E43"/>
    <w:rsid w:val="0013793A"/>
    <w:rsid w:val="00140D2C"/>
    <w:rsid w:val="00142726"/>
    <w:rsid w:val="001453F7"/>
    <w:rsid w:val="0014655B"/>
    <w:rsid w:val="00147164"/>
    <w:rsid w:val="00150E0A"/>
    <w:rsid w:val="00151612"/>
    <w:rsid w:val="0015209B"/>
    <w:rsid w:val="00152C16"/>
    <w:rsid w:val="00154EDA"/>
    <w:rsid w:val="00156B86"/>
    <w:rsid w:val="00161E5B"/>
    <w:rsid w:val="001628BB"/>
    <w:rsid w:val="00163C71"/>
    <w:rsid w:val="0016431A"/>
    <w:rsid w:val="001643D9"/>
    <w:rsid w:val="00164C29"/>
    <w:rsid w:val="0016641D"/>
    <w:rsid w:val="00166CE0"/>
    <w:rsid w:val="00171CE0"/>
    <w:rsid w:val="00175641"/>
    <w:rsid w:val="001758EB"/>
    <w:rsid w:val="00176120"/>
    <w:rsid w:val="0018014B"/>
    <w:rsid w:val="00185AEA"/>
    <w:rsid w:val="00186AA1"/>
    <w:rsid w:val="001907DA"/>
    <w:rsid w:val="0019111C"/>
    <w:rsid w:val="00191D7C"/>
    <w:rsid w:val="00191DA5"/>
    <w:rsid w:val="00191EED"/>
    <w:rsid w:val="0019276F"/>
    <w:rsid w:val="001935B4"/>
    <w:rsid w:val="00194780"/>
    <w:rsid w:val="00194C6D"/>
    <w:rsid w:val="00195D98"/>
    <w:rsid w:val="001A29FA"/>
    <w:rsid w:val="001A2F7A"/>
    <w:rsid w:val="001A4203"/>
    <w:rsid w:val="001A45A6"/>
    <w:rsid w:val="001A4C0C"/>
    <w:rsid w:val="001A4F7A"/>
    <w:rsid w:val="001A5304"/>
    <w:rsid w:val="001A5923"/>
    <w:rsid w:val="001A61B4"/>
    <w:rsid w:val="001A7605"/>
    <w:rsid w:val="001A779E"/>
    <w:rsid w:val="001B04A8"/>
    <w:rsid w:val="001B10FE"/>
    <w:rsid w:val="001B23D6"/>
    <w:rsid w:val="001B359B"/>
    <w:rsid w:val="001B4BB4"/>
    <w:rsid w:val="001B780C"/>
    <w:rsid w:val="001C5539"/>
    <w:rsid w:val="001C6F7F"/>
    <w:rsid w:val="001D19A0"/>
    <w:rsid w:val="001D3B48"/>
    <w:rsid w:val="001D4A86"/>
    <w:rsid w:val="001D54BB"/>
    <w:rsid w:val="001D7342"/>
    <w:rsid w:val="001D7651"/>
    <w:rsid w:val="001E1A69"/>
    <w:rsid w:val="001E2162"/>
    <w:rsid w:val="001E3735"/>
    <w:rsid w:val="001E38D3"/>
    <w:rsid w:val="001E471C"/>
    <w:rsid w:val="001E5F33"/>
    <w:rsid w:val="001E630C"/>
    <w:rsid w:val="001E6716"/>
    <w:rsid w:val="001F116E"/>
    <w:rsid w:val="001F2B55"/>
    <w:rsid w:val="001F44FC"/>
    <w:rsid w:val="001F4BC2"/>
    <w:rsid w:val="001F4C0C"/>
    <w:rsid w:val="001F5C74"/>
    <w:rsid w:val="001F5F53"/>
    <w:rsid w:val="001F7B25"/>
    <w:rsid w:val="00201243"/>
    <w:rsid w:val="0020131D"/>
    <w:rsid w:val="00201B29"/>
    <w:rsid w:val="00202AA0"/>
    <w:rsid w:val="00203674"/>
    <w:rsid w:val="002040D7"/>
    <w:rsid w:val="002051B4"/>
    <w:rsid w:val="00206236"/>
    <w:rsid w:val="00206811"/>
    <w:rsid w:val="002113C9"/>
    <w:rsid w:val="00213683"/>
    <w:rsid w:val="00215899"/>
    <w:rsid w:val="00215F87"/>
    <w:rsid w:val="00217FA1"/>
    <w:rsid w:val="00220223"/>
    <w:rsid w:val="00223013"/>
    <w:rsid w:val="00223880"/>
    <w:rsid w:val="002243DD"/>
    <w:rsid w:val="00225CF1"/>
    <w:rsid w:val="00227269"/>
    <w:rsid w:val="0023177D"/>
    <w:rsid w:val="00231BE0"/>
    <w:rsid w:val="002325D3"/>
    <w:rsid w:val="00232AC2"/>
    <w:rsid w:val="00232B93"/>
    <w:rsid w:val="00232FE7"/>
    <w:rsid w:val="00234BEC"/>
    <w:rsid w:val="00237900"/>
    <w:rsid w:val="002408AE"/>
    <w:rsid w:val="00243DD6"/>
    <w:rsid w:val="0024448D"/>
    <w:rsid w:val="00245943"/>
    <w:rsid w:val="00247176"/>
    <w:rsid w:val="00247391"/>
    <w:rsid w:val="00247FBB"/>
    <w:rsid w:val="0025303D"/>
    <w:rsid w:val="00254502"/>
    <w:rsid w:val="00254FBF"/>
    <w:rsid w:val="00260642"/>
    <w:rsid w:val="00260C9B"/>
    <w:rsid w:val="00262FE0"/>
    <w:rsid w:val="002634D8"/>
    <w:rsid w:val="00263DF5"/>
    <w:rsid w:val="002667FB"/>
    <w:rsid w:val="00270125"/>
    <w:rsid w:val="0027155B"/>
    <w:rsid w:val="002717E4"/>
    <w:rsid w:val="0027268D"/>
    <w:rsid w:val="00274FC4"/>
    <w:rsid w:val="002767B9"/>
    <w:rsid w:val="0028068E"/>
    <w:rsid w:val="002835EA"/>
    <w:rsid w:val="002842FF"/>
    <w:rsid w:val="00285AD9"/>
    <w:rsid w:val="00286782"/>
    <w:rsid w:val="00293BFC"/>
    <w:rsid w:val="00294CC0"/>
    <w:rsid w:val="00294FAB"/>
    <w:rsid w:val="00296818"/>
    <w:rsid w:val="002A0F18"/>
    <w:rsid w:val="002A36CD"/>
    <w:rsid w:val="002A41C7"/>
    <w:rsid w:val="002A663D"/>
    <w:rsid w:val="002A73D8"/>
    <w:rsid w:val="002B251C"/>
    <w:rsid w:val="002B2F54"/>
    <w:rsid w:val="002B662C"/>
    <w:rsid w:val="002B7351"/>
    <w:rsid w:val="002B7BF4"/>
    <w:rsid w:val="002C1A50"/>
    <w:rsid w:val="002C3F26"/>
    <w:rsid w:val="002C46A8"/>
    <w:rsid w:val="002C5C15"/>
    <w:rsid w:val="002C7AEB"/>
    <w:rsid w:val="002D1524"/>
    <w:rsid w:val="002D49C7"/>
    <w:rsid w:val="002D4B04"/>
    <w:rsid w:val="002D5FD8"/>
    <w:rsid w:val="002D6C7B"/>
    <w:rsid w:val="002E0C6C"/>
    <w:rsid w:val="002E1004"/>
    <w:rsid w:val="002E148E"/>
    <w:rsid w:val="002E22D9"/>
    <w:rsid w:val="002E3DD2"/>
    <w:rsid w:val="002E408E"/>
    <w:rsid w:val="002F1274"/>
    <w:rsid w:val="002F151C"/>
    <w:rsid w:val="002F1EB1"/>
    <w:rsid w:val="002F3455"/>
    <w:rsid w:val="002F5A5E"/>
    <w:rsid w:val="002F69E7"/>
    <w:rsid w:val="002F7A14"/>
    <w:rsid w:val="00300021"/>
    <w:rsid w:val="00306518"/>
    <w:rsid w:val="00311622"/>
    <w:rsid w:val="0031388F"/>
    <w:rsid w:val="003141B3"/>
    <w:rsid w:val="00314CF1"/>
    <w:rsid w:val="00315998"/>
    <w:rsid w:val="00316719"/>
    <w:rsid w:val="0031682D"/>
    <w:rsid w:val="0032263C"/>
    <w:rsid w:val="0032323C"/>
    <w:rsid w:val="00323CBC"/>
    <w:rsid w:val="00324D8C"/>
    <w:rsid w:val="00331AA4"/>
    <w:rsid w:val="003335A1"/>
    <w:rsid w:val="00335D97"/>
    <w:rsid w:val="003370AA"/>
    <w:rsid w:val="003377D0"/>
    <w:rsid w:val="003413BD"/>
    <w:rsid w:val="003420D0"/>
    <w:rsid w:val="00343DF0"/>
    <w:rsid w:val="00345D03"/>
    <w:rsid w:val="003542B1"/>
    <w:rsid w:val="00354EF0"/>
    <w:rsid w:val="003558E5"/>
    <w:rsid w:val="0035749B"/>
    <w:rsid w:val="003627F8"/>
    <w:rsid w:val="003638D8"/>
    <w:rsid w:val="00366386"/>
    <w:rsid w:val="00366BD6"/>
    <w:rsid w:val="003702DF"/>
    <w:rsid w:val="00375503"/>
    <w:rsid w:val="0037560A"/>
    <w:rsid w:val="00375938"/>
    <w:rsid w:val="0037773C"/>
    <w:rsid w:val="003833C2"/>
    <w:rsid w:val="003870BA"/>
    <w:rsid w:val="00391A02"/>
    <w:rsid w:val="003937CF"/>
    <w:rsid w:val="003953D5"/>
    <w:rsid w:val="003A0A14"/>
    <w:rsid w:val="003A0D14"/>
    <w:rsid w:val="003A299A"/>
    <w:rsid w:val="003A37E0"/>
    <w:rsid w:val="003A4B53"/>
    <w:rsid w:val="003A4D25"/>
    <w:rsid w:val="003B1808"/>
    <w:rsid w:val="003B2D99"/>
    <w:rsid w:val="003B6514"/>
    <w:rsid w:val="003B71A3"/>
    <w:rsid w:val="003B7A5E"/>
    <w:rsid w:val="003C02AD"/>
    <w:rsid w:val="003C3CAA"/>
    <w:rsid w:val="003C4D2A"/>
    <w:rsid w:val="003C6865"/>
    <w:rsid w:val="003C7654"/>
    <w:rsid w:val="003D1D1B"/>
    <w:rsid w:val="003D2B15"/>
    <w:rsid w:val="003D30DF"/>
    <w:rsid w:val="003D6F8F"/>
    <w:rsid w:val="003D73D5"/>
    <w:rsid w:val="003E03C9"/>
    <w:rsid w:val="003E3AEC"/>
    <w:rsid w:val="003E3CAE"/>
    <w:rsid w:val="003E46ED"/>
    <w:rsid w:val="003E4998"/>
    <w:rsid w:val="003E5FAE"/>
    <w:rsid w:val="003E6C8C"/>
    <w:rsid w:val="003E6D00"/>
    <w:rsid w:val="003F0192"/>
    <w:rsid w:val="003F1AA2"/>
    <w:rsid w:val="003F5891"/>
    <w:rsid w:val="003F5FD3"/>
    <w:rsid w:val="003F6921"/>
    <w:rsid w:val="0040081F"/>
    <w:rsid w:val="00401DD8"/>
    <w:rsid w:val="004027F8"/>
    <w:rsid w:val="00404537"/>
    <w:rsid w:val="0040579F"/>
    <w:rsid w:val="00406E9E"/>
    <w:rsid w:val="00410923"/>
    <w:rsid w:val="00412413"/>
    <w:rsid w:val="00412F24"/>
    <w:rsid w:val="004135DD"/>
    <w:rsid w:val="0041414B"/>
    <w:rsid w:val="00415A21"/>
    <w:rsid w:val="00416677"/>
    <w:rsid w:val="004168DD"/>
    <w:rsid w:val="00417AC2"/>
    <w:rsid w:val="0042154A"/>
    <w:rsid w:val="00426317"/>
    <w:rsid w:val="00430E06"/>
    <w:rsid w:val="004352E7"/>
    <w:rsid w:val="00437445"/>
    <w:rsid w:val="00440BB5"/>
    <w:rsid w:val="00442077"/>
    <w:rsid w:val="00443100"/>
    <w:rsid w:val="00443A39"/>
    <w:rsid w:val="00447081"/>
    <w:rsid w:val="00452801"/>
    <w:rsid w:val="00453A05"/>
    <w:rsid w:val="0045740E"/>
    <w:rsid w:val="00460A3F"/>
    <w:rsid w:val="00466526"/>
    <w:rsid w:val="00466A9E"/>
    <w:rsid w:val="004704A3"/>
    <w:rsid w:val="00474904"/>
    <w:rsid w:val="00475370"/>
    <w:rsid w:val="00477354"/>
    <w:rsid w:val="0048185C"/>
    <w:rsid w:val="004829EF"/>
    <w:rsid w:val="004834C9"/>
    <w:rsid w:val="004846AA"/>
    <w:rsid w:val="0048509D"/>
    <w:rsid w:val="00487439"/>
    <w:rsid w:val="00487967"/>
    <w:rsid w:val="00490AFF"/>
    <w:rsid w:val="00490E4A"/>
    <w:rsid w:val="0049164B"/>
    <w:rsid w:val="00491861"/>
    <w:rsid w:val="004936AE"/>
    <w:rsid w:val="0049383F"/>
    <w:rsid w:val="004956D4"/>
    <w:rsid w:val="00495FF5"/>
    <w:rsid w:val="00497B22"/>
    <w:rsid w:val="004A36B5"/>
    <w:rsid w:val="004A626F"/>
    <w:rsid w:val="004A66FC"/>
    <w:rsid w:val="004B1739"/>
    <w:rsid w:val="004B2134"/>
    <w:rsid w:val="004B602A"/>
    <w:rsid w:val="004C0D14"/>
    <w:rsid w:val="004C0FFA"/>
    <w:rsid w:val="004C16BC"/>
    <w:rsid w:val="004C3EE0"/>
    <w:rsid w:val="004C4840"/>
    <w:rsid w:val="004C527F"/>
    <w:rsid w:val="004C7C90"/>
    <w:rsid w:val="004D1047"/>
    <w:rsid w:val="004D2E35"/>
    <w:rsid w:val="004D3EFB"/>
    <w:rsid w:val="004D5884"/>
    <w:rsid w:val="004D6431"/>
    <w:rsid w:val="004D659C"/>
    <w:rsid w:val="004D7611"/>
    <w:rsid w:val="004E64E7"/>
    <w:rsid w:val="004E6CF0"/>
    <w:rsid w:val="004E7FFD"/>
    <w:rsid w:val="004F0032"/>
    <w:rsid w:val="004F15DF"/>
    <w:rsid w:val="004F3BE0"/>
    <w:rsid w:val="004F527C"/>
    <w:rsid w:val="004F6256"/>
    <w:rsid w:val="004F6910"/>
    <w:rsid w:val="00501ADD"/>
    <w:rsid w:val="00503BEE"/>
    <w:rsid w:val="005046A8"/>
    <w:rsid w:val="00506EBE"/>
    <w:rsid w:val="00507001"/>
    <w:rsid w:val="00507007"/>
    <w:rsid w:val="00507535"/>
    <w:rsid w:val="00507957"/>
    <w:rsid w:val="00507A60"/>
    <w:rsid w:val="00510D4E"/>
    <w:rsid w:val="00512ADF"/>
    <w:rsid w:val="00513110"/>
    <w:rsid w:val="0052046F"/>
    <w:rsid w:val="00521CB5"/>
    <w:rsid w:val="00523935"/>
    <w:rsid w:val="00526D27"/>
    <w:rsid w:val="00532163"/>
    <w:rsid w:val="005328D3"/>
    <w:rsid w:val="00541667"/>
    <w:rsid w:val="00550BFA"/>
    <w:rsid w:val="00552B24"/>
    <w:rsid w:val="00552D47"/>
    <w:rsid w:val="0055709C"/>
    <w:rsid w:val="00557A90"/>
    <w:rsid w:val="00560F9F"/>
    <w:rsid w:val="00563CA5"/>
    <w:rsid w:val="00563EB4"/>
    <w:rsid w:val="00564C7F"/>
    <w:rsid w:val="0056620A"/>
    <w:rsid w:val="00573635"/>
    <w:rsid w:val="00573907"/>
    <w:rsid w:val="005751CE"/>
    <w:rsid w:val="00581280"/>
    <w:rsid w:val="00582DDE"/>
    <w:rsid w:val="005836E0"/>
    <w:rsid w:val="00583765"/>
    <w:rsid w:val="00584B6A"/>
    <w:rsid w:val="005876D9"/>
    <w:rsid w:val="005918AA"/>
    <w:rsid w:val="00592C89"/>
    <w:rsid w:val="00592F16"/>
    <w:rsid w:val="005937B5"/>
    <w:rsid w:val="005938B7"/>
    <w:rsid w:val="00595047"/>
    <w:rsid w:val="00595723"/>
    <w:rsid w:val="00595FB5"/>
    <w:rsid w:val="00596760"/>
    <w:rsid w:val="00596E04"/>
    <w:rsid w:val="00597B39"/>
    <w:rsid w:val="005A03AD"/>
    <w:rsid w:val="005A03EE"/>
    <w:rsid w:val="005A0D64"/>
    <w:rsid w:val="005A364E"/>
    <w:rsid w:val="005A377A"/>
    <w:rsid w:val="005A5C8B"/>
    <w:rsid w:val="005A6CA6"/>
    <w:rsid w:val="005B1305"/>
    <w:rsid w:val="005B25C2"/>
    <w:rsid w:val="005B2AB5"/>
    <w:rsid w:val="005B72A7"/>
    <w:rsid w:val="005C0B66"/>
    <w:rsid w:val="005C3B4F"/>
    <w:rsid w:val="005C7AE9"/>
    <w:rsid w:val="005D1956"/>
    <w:rsid w:val="005D4D28"/>
    <w:rsid w:val="005D4F3A"/>
    <w:rsid w:val="005D67B8"/>
    <w:rsid w:val="005E3064"/>
    <w:rsid w:val="005E4001"/>
    <w:rsid w:val="005E41E1"/>
    <w:rsid w:val="005E50CF"/>
    <w:rsid w:val="005E5CD9"/>
    <w:rsid w:val="005F01A4"/>
    <w:rsid w:val="005F1F60"/>
    <w:rsid w:val="005F2928"/>
    <w:rsid w:val="005F3521"/>
    <w:rsid w:val="005F35CC"/>
    <w:rsid w:val="005F4643"/>
    <w:rsid w:val="005F5354"/>
    <w:rsid w:val="005F69F6"/>
    <w:rsid w:val="005F6A54"/>
    <w:rsid w:val="005F7A14"/>
    <w:rsid w:val="006011CE"/>
    <w:rsid w:val="00604691"/>
    <w:rsid w:val="00605D07"/>
    <w:rsid w:val="00605DF5"/>
    <w:rsid w:val="0060681F"/>
    <w:rsid w:val="00606E76"/>
    <w:rsid w:val="006106AE"/>
    <w:rsid w:val="0061196E"/>
    <w:rsid w:val="00612481"/>
    <w:rsid w:val="0061382A"/>
    <w:rsid w:val="006145E1"/>
    <w:rsid w:val="00620788"/>
    <w:rsid w:val="00625420"/>
    <w:rsid w:val="00626924"/>
    <w:rsid w:val="00630BC0"/>
    <w:rsid w:val="0063431F"/>
    <w:rsid w:val="00636A52"/>
    <w:rsid w:val="00641445"/>
    <w:rsid w:val="00641BCE"/>
    <w:rsid w:val="00644C5A"/>
    <w:rsid w:val="00645015"/>
    <w:rsid w:val="00645704"/>
    <w:rsid w:val="00650039"/>
    <w:rsid w:val="00653CBA"/>
    <w:rsid w:val="00654582"/>
    <w:rsid w:val="00656DC0"/>
    <w:rsid w:val="0066045C"/>
    <w:rsid w:val="00660892"/>
    <w:rsid w:val="00663CA0"/>
    <w:rsid w:val="006657F3"/>
    <w:rsid w:val="00672DD3"/>
    <w:rsid w:val="00677043"/>
    <w:rsid w:val="0068255B"/>
    <w:rsid w:val="006836A1"/>
    <w:rsid w:val="00683DC7"/>
    <w:rsid w:val="0068540D"/>
    <w:rsid w:val="0068619C"/>
    <w:rsid w:val="00687B0A"/>
    <w:rsid w:val="00692371"/>
    <w:rsid w:val="0069269B"/>
    <w:rsid w:val="00693E68"/>
    <w:rsid w:val="006963EB"/>
    <w:rsid w:val="006A186F"/>
    <w:rsid w:val="006A1C3E"/>
    <w:rsid w:val="006A3151"/>
    <w:rsid w:val="006A323E"/>
    <w:rsid w:val="006B2AE8"/>
    <w:rsid w:val="006B46A1"/>
    <w:rsid w:val="006B494C"/>
    <w:rsid w:val="006B7176"/>
    <w:rsid w:val="006C1584"/>
    <w:rsid w:val="006C17DE"/>
    <w:rsid w:val="006C2AAD"/>
    <w:rsid w:val="006C6334"/>
    <w:rsid w:val="006C69C9"/>
    <w:rsid w:val="006D06F5"/>
    <w:rsid w:val="006D2145"/>
    <w:rsid w:val="006D6E7C"/>
    <w:rsid w:val="006E0EF9"/>
    <w:rsid w:val="006E2F57"/>
    <w:rsid w:val="006E406B"/>
    <w:rsid w:val="006E590B"/>
    <w:rsid w:val="006E66A8"/>
    <w:rsid w:val="006F1378"/>
    <w:rsid w:val="006F6771"/>
    <w:rsid w:val="00704D55"/>
    <w:rsid w:val="007053EE"/>
    <w:rsid w:val="00706713"/>
    <w:rsid w:val="00706BC5"/>
    <w:rsid w:val="00706CDC"/>
    <w:rsid w:val="00710E9F"/>
    <w:rsid w:val="00710F4F"/>
    <w:rsid w:val="00712CDA"/>
    <w:rsid w:val="00713148"/>
    <w:rsid w:val="007149DE"/>
    <w:rsid w:val="007218FF"/>
    <w:rsid w:val="00721F36"/>
    <w:rsid w:val="00722283"/>
    <w:rsid w:val="007236DD"/>
    <w:rsid w:val="007241A4"/>
    <w:rsid w:val="00724278"/>
    <w:rsid w:val="00724BE3"/>
    <w:rsid w:val="00731144"/>
    <w:rsid w:val="0073273D"/>
    <w:rsid w:val="007337B4"/>
    <w:rsid w:val="0073467D"/>
    <w:rsid w:val="00735420"/>
    <w:rsid w:val="007372E5"/>
    <w:rsid w:val="00737C5E"/>
    <w:rsid w:val="00740ABB"/>
    <w:rsid w:val="007429B6"/>
    <w:rsid w:val="0075016C"/>
    <w:rsid w:val="0075316F"/>
    <w:rsid w:val="007534DD"/>
    <w:rsid w:val="00755030"/>
    <w:rsid w:val="00756089"/>
    <w:rsid w:val="007613EA"/>
    <w:rsid w:val="007624CC"/>
    <w:rsid w:val="00766C3F"/>
    <w:rsid w:val="0077066D"/>
    <w:rsid w:val="007715BC"/>
    <w:rsid w:val="00771839"/>
    <w:rsid w:val="0077504B"/>
    <w:rsid w:val="00776DDB"/>
    <w:rsid w:val="00777265"/>
    <w:rsid w:val="00777E9F"/>
    <w:rsid w:val="00784627"/>
    <w:rsid w:val="00785D08"/>
    <w:rsid w:val="00790B81"/>
    <w:rsid w:val="0079167F"/>
    <w:rsid w:val="00791958"/>
    <w:rsid w:val="00794280"/>
    <w:rsid w:val="00794B06"/>
    <w:rsid w:val="007955A1"/>
    <w:rsid w:val="007957BA"/>
    <w:rsid w:val="007964D8"/>
    <w:rsid w:val="007A1912"/>
    <w:rsid w:val="007A1D6C"/>
    <w:rsid w:val="007A295C"/>
    <w:rsid w:val="007B0926"/>
    <w:rsid w:val="007B3958"/>
    <w:rsid w:val="007B7FE4"/>
    <w:rsid w:val="007C22BA"/>
    <w:rsid w:val="007C41DB"/>
    <w:rsid w:val="007D093B"/>
    <w:rsid w:val="007D3E0A"/>
    <w:rsid w:val="007D4E28"/>
    <w:rsid w:val="007D6BAC"/>
    <w:rsid w:val="007E1790"/>
    <w:rsid w:val="007E25BF"/>
    <w:rsid w:val="007E2AC9"/>
    <w:rsid w:val="007E461E"/>
    <w:rsid w:val="007E4642"/>
    <w:rsid w:val="007E57C6"/>
    <w:rsid w:val="007E701E"/>
    <w:rsid w:val="007F035C"/>
    <w:rsid w:val="007F2A38"/>
    <w:rsid w:val="007F761A"/>
    <w:rsid w:val="007F775F"/>
    <w:rsid w:val="00801A98"/>
    <w:rsid w:val="00802F6A"/>
    <w:rsid w:val="00803DFA"/>
    <w:rsid w:val="00806A2F"/>
    <w:rsid w:val="0081288B"/>
    <w:rsid w:val="00812984"/>
    <w:rsid w:val="0081405D"/>
    <w:rsid w:val="00817D38"/>
    <w:rsid w:val="00817F35"/>
    <w:rsid w:val="00821211"/>
    <w:rsid w:val="00825CD6"/>
    <w:rsid w:val="00826580"/>
    <w:rsid w:val="008269BC"/>
    <w:rsid w:val="008276E1"/>
    <w:rsid w:val="008309C5"/>
    <w:rsid w:val="00831F4F"/>
    <w:rsid w:val="00832D87"/>
    <w:rsid w:val="00833FFD"/>
    <w:rsid w:val="00835791"/>
    <w:rsid w:val="00835E44"/>
    <w:rsid w:val="00836A20"/>
    <w:rsid w:val="00837F0B"/>
    <w:rsid w:val="008404E7"/>
    <w:rsid w:val="0084096B"/>
    <w:rsid w:val="0084275A"/>
    <w:rsid w:val="0084406B"/>
    <w:rsid w:val="008444AA"/>
    <w:rsid w:val="0084517B"/>
    <w:rsid w:val="00845329"/>
    <w:rsid w:val="008459C7"/>
    <w:rsid w:val="00846DCC"/>
    <w:rsid w:val="00847B68"/>
    <w:rsid w:val="00847B88"/>
    <w:rsid w:val="00851136"/>
    <w:rsid w:val="00851212"/>
    <w:rsid w:val="00854E01"/>
    <w:rsid w:val="00855E45"/>
    <w:rsid w:val="00856AC7"/>
    <w:rsid w:val="00860C69"/>
    <w:rsid w:val="008620DF"/>
    <w:rsid w:val="00862223"/>
    <w:rsid w:val="00863258"/>
    <w:rsid w:val="0086492B"/>
    <w:rsid w:val="00865B52"/>
    <w:rsid w:val="00870C61"/>
    <w:rsid w:val="0087372D"/>
    <w:rsid w:val="0087503B"/>
    <w:rsid w:val="0087590F"/>
    <w:rsid w:val="00875992"/>
    <w:rsid w:val="00876536"/>
    <w:rsid w:val="008768C9"/>
    <w:rsid w:val="008772CE"/>
    <w:rsid w:val="00877EBA"/>
    <w:rsid w:val="00882129"/>
    <w:rsid w:val="0088278F"/>
    <w:rsid w:val="008840C8"/>
    <w:rsid w:val="00884EF2"/>
    <w:rsid w:val="00886CFB"/>
    <w:rsid w:val="00886FF6"/>
    <w:rsid w:val="00890B7C"/>
    <w:rsid w:val="00890E07"/>
    <w:rsid w:val="00891103"/>
    <w:rsid w:val="008918DA"/>
    <w:rsid w:val="00893F07"/>
    <w:rsid w:val="00897313"/>
    <w:rsid w:val="008A113F"/>
    <w:rsid w:val="008A5A34"/>
    <w:rsid w:val="008A6ABB"/>
    <w:rsid w:val="008A6FFA"/>
    <w:rsid w:val="008A76EE"/>
    <w:rsid w:val="008B3316"/>
    <w:rsid w:val="008B3507"/>
    <w:rsid w:val="008B39BF"/>
    <w:rsid w:val="008B46D9"/>
    <w:rsid w:val="008B4932"/>
    <w:rsid w:val="008C0085"/>
    <w:rsid w:val="008C0D5F"/>
    <w:rsid w:val="008C4668"/>
    <w:rsid w:val="008C5FB4"/>
    <w:rsid w:val="008C7DF1"/>
    <w:rsid w:val="008D3256"/>
    <w:rsid w:val="008D465C"/>
    <w:rsid w:val="008D68BB"/>
    <w:rsid w:val="008D7A49"/>
    <w:rsid w:val="008E0DA0"/>
    <w:rsid w:val="008E1B58"/>
    <w:rsid w:val="008E1CF0"/>
    <w:rsid w:val="008E514A"/>
    <w:rsid w:val="008E78DA"/>
    <w:rsid w:val="008E7EB3"/>
    <w:rsid w:val="008F15B5"/>
    <w:rsid w:val="008F295C"/>
    <w:rsid w:val="008F3E8B"/>
    <w:rsid w:val="008F64D0"/>
    <w:rsid w:val="008F68E5"/>
    <w:rsid w:val="008F6B92"/>
    <w:rsid w:val="008F6E1B"/>
    <w:rsid w:val="008F7D48"/>
    <w:rsid w:val="008F7E03"/>
    <w:rsid w:val="00900C86"/>
    <w:rsid w:val="00901ED0"/>
    <w:rsid w:val="00902E1A"/>
    <w:rsid w:val="009071E6"/>
    <w:rsid w:val="00907937"/>
    <w:rsid w:val="00911039"/>
    <w:rsid w:val="00911F90"/>
    <w:rsid w:val="00916986"/>
    <w:rsid w:val="0091738F"/>
    <w:rsid w:val="00917EDA"/>
    <w:rsid w:val="00920503"/>
    <w:rsid w:val="00920F53"/>
    <w:rsid w:val="00922F4E"/>
    <w:rsid w:val="0092542D"/>
    <w:rsid w:val="0092754B"/>
    <w:rsid w:val="00932EF0"/>
    <w:rsid w:val="00933D1A"/>
    <w:rsid w:val="009340A3"/>
    <w:rsid w:val="00934BF4"/>
    <w:rsid w:val="009361A3"/>
    <w:rsid w:val="00936DBE"/>
    <w:rsid w:val="00936E43"/>
    <w:rsid w:val="009370C0"/>
    <w:rsid w:val="00937A15"/>
    <w:rsid w:val="00937D3E"/>
    <w:rsid w:val="009424EB"/>
    <w:rsid w:val="00942CDD"/>
    <w:rsid w:val="00943C47"/>
    <w:rsid w:val="00943EC5"/>
    <w:rsid w:val="00945915"/>
    <w:rsid w:val="00945C82"/>
    <w:rsid w:val="009468FF"/>
    <w:rsid w:val="00947EE5"/>
    <w:rsid w:val="009507AA"/>
    <w:rsid w:val="0095321F"/>
    <w:rsid w:val="00954066"/>
    <w:rsid w:val="0095416D"/>
    <w:rsid w:val="009547A0"/>
    <w:rsid w:val="00954889"/>
    <w:rsid w:val="009576CF"/>
    <w:rsid w:val="009577D2"/>
    <w:rsid w:val="009601A5"/>
    <w:rsid w:val="0096544B"/>
    <w:rsid w:val="009663AC"/>
    <w:rsid w:val="00970D1A"/>
    <w:rsid w:val="009735A1"/>
    <w:rsid w:val="00975385"/>
    <w:rsid w:val="0097666D"/>
    <w:rsid w:val="00977647"/>
    <w:rsid w:val="009801F0"/>
    <w:rsid w:val="009816FC"/>
    <w:rsid w:val="009818E7"/>
    <w:rsid w:val="00981F65"/>
    <w:rsid w:val="00983190"/>
    <w:rsid w:val="009834C4"/>
    <w:rsid w:val="009856A2"/>
    <w:rsid w:val="00993E74"/>
    <w:rsid w:val="00994431"/>
    <w:rsid w:val="0099652D"/>
    <w:rsid w:val="009A129D"/>
    <w:rsid w:val="009A1397"/>
    <w:rsid w:val="009A4EF3"/>
    <w:rsid w:val="009A6470"/>
    <w:rsid w:val="009A7933"/>
    <w:rsid w:val="009B07D2"/>
    <w:rsid w:val="009B1F46"/>
    <w:rsid w:val="009B5DB5"/>
    <w:rsid w:val="009B685D"/>
    <w:rsid w:val="009B6BED"/>
    <w:rsid w:val="009C0AB3"/>
    <w:rsid w:val="009C15CD"/>
    <w:rsid w:val="009C1785"/>
    <w:rsid w:val="009C1A71"/>
    <w:rsid w:val="009C2B91"/>
    <w:rsid w:val="009C3812"/>
    <w:rsid w:val="009C4D9D"/>
    <w:rsid w:val="009C5D51"/>
    <w:rsid w:val="009C65DF"/>
    <w:rsid w:val="009C6855"/>
    <w:rsid w:val="009C73CD"/>
    <w:rsid w:val="009D02F4"/>
    <w:rsid w:val="009D0FDE"/>
    <w:rsid w:val="009D114C"/>
    <w:rsid w:val="009D1A5E"/>
    <w:rsid w:val="009D44BD"/>
    <w:rsid w:val="009D4D8B"/>
    <w:rsid w:val="009D58B5"/>
    <w:rsid w:val="009D59E2"/>
    <w:rsid w:val="009E0306"/>
    <w:rsid w:val="009E16A9"/>
    <w:rsid w:val="009E16F5"/>
    <w:rsid w:val="009E312E"/>
    <w:rsid w:val="009E500E"/>
    <w:rsid w:val="009E5484"/>
    <w:rsid w:val="009E5650"/>
    <w:rsid w:val="009F4E42"/>
    <w:rsid w:val="009F5773"/>
    <w:rsid w:val="00A003F2"/>
    <w:rsid w:val="00A00583"/>
    <w:rsid w:val="00A011F0"/>
    <w:rsid w:val="00A01673"/>
    <w:rsid w:val="00A01A54"/>
    <w:rsid w:val="00A0202E"/>
    <w:rsid w:val="00A07185"/>
    <w:rsid w:val="00A10E48"/>
    <w:rsid w:val="00A122CE"/>
    <w:rsid w:val="00A133A5"/>
    <w:rsid w:val="00A134AC"/>
    <w:rsid w:val="00A13A3A"/>
    <w:rsid w:val="00A13D47"/>
    <w:rsid w:val="00A13E5A"/>
    <w:rsid w:val="00A14B53"/>
    <w:rsid w:val="00A15C76"/>
    <w:rsid w:val="00A16944"/>
    <w:rsid w:val="00A17117"/>
    <w:rsid w:val="00A17C54"/>
    <w:rsid w:val="00A23CA7"/>
    <w:rsid w:val="00A2403E"/>
    <w:rsid w:val="00A3270B"/>
    <w:rsid w:val="00A33C7F"/>
    <w:rsid w:val="00A34F47"/>
    <w:rsid w:val="00A35DE2"/>
    <w:rsid w:val="00A36CF1"/>
    <w:rsid w:val="00A37271"/>
    <w:rsid w:val="00A378B2"/>
    <w:rsid w:val="00A411FE"/>
    <w:rsid w:val="00A412C5"/>
    <w:rsid w:val="00A43AA0"/>
    <w:rsid w:val="00A508B5"/>
    <w:rsid w:val="00A50BD2"/>
    <w:rsid w:val="00A50D51"/>
    <w:rsid w:val="00A5753C"/>
    <w:rsid w:val="00A57711"/>
    <w:rsid w:val="00A73470"/>
    <w:rsid w:val="00A74A85"/>
    <w:rsid w:val="00A756F6"/>
    <w:rsid w:val="00A803E2"/>
    <w:rsid w:val="00A823C0"/>
    <w:rsid w:val="00A84C1C"/>
    <w:rsid w:val="00A84EAB"/>
    <w:rsid w:val="00A85D2F"/>
    <w:rsid w:val="00A87230"/>
    <w:rsid w:val="00A95F5B"/>
    <w:rsid w:val="00AA3806"/>
    <w:rsid w:val="00AA4DC0"/>
    <w:rsid w:val="00AA5AA8"/>
    <w:rsid w:val="00AA6F26"/>
    <w:rsid w:val="00AB053A"/>
    <w:rsid w:val="00AB2866"/>
    <w:rsid w:val="00AB3810"/>
    <w:rsid w:val="00AB4325"/>
    <w:rsid w:val="00AB6597"/>
    <w:rsid w:val="00AB6EEA"/>
    <w:rsid w:val="00AB6FFC"/>
    <w:rsid w:val="00AC2C41"/>
    <w:rsid w:val="00AC63A9"/>
    <w:rsid w:val="00AC6405"/>
    <w:rsid w:val="00AD0943"/>
    <w:rsid w:val="00AD1AE1"/>
    <w:rsid w:val="00AD6DF2"/>
    <w:rsid w:val="00AD7353"/>
    <w:rsid w:val="00AE04C5"/>
    <w:rsid w:val="00AE073A"/>
    <w:rsid w:val="00AE0FEF"/>
    <w:rsid w:val="00AE3408"/>
    <w:rsid w:val="00AE3A1D"/>
    <w:rsid w:val="00AE4DEF"/>
    <w:rsid w:val="00AE5573"/>
    <w:rsid w:val="00AF23B2"/>
    <w:rsid w:val="00AF3533"/>
    <w:rsid w:val="00AF464A"/>
    <w:rsid w:val="00AF4DD0"/>
    <w:rsid w:val="00AF5B7B"/>
    <w:rsid w:val="00B015E2"/>
    <w:rsid w:val="00B01E09"/>
    <w:rsid w:val="00B0225E"/>
    <w:rsid w:val="00B02A9D"/>
    <w:rsid w:val="00B07F2E"/>
    <w:rsid w:val="00B11598"/>
    <w:rsid w:val="00B14332"/>
    <w:rsid w:val="00B1508A"/>
    <w:rsid w:val="00B15394"/>
    <w:rsid w:val="00B15B6E"/>
    <w:rsid w:val="00B16911"/>
    <w:rsid w:val="00B17508"/>
    <w:rsid w:val="00B177BA"/>
    <w:rsid w:val="00B17B29"/>
    <w:rsid w:val="00B2124B"/>
    <w:rsid w:val="00B21361"/>
    <w:rsid w:val="00B216CE"/>
    <w:rsid w:val="00B218F5"/>
    <w:rsid w:val="00B23F48"/>
    <w:rsid w:val="00B24F24"/>
    <w:rsid w:val="00B25BCA"/>
    <w:rsid w:val="00B27DDC"/>
    <w:rsid w:val="00B30663"/>
    <w:rsid w:val="00B318E3"/>
    <w:rsid w:val="00B32507"/>
    <w:rsid w:val="00B33D73"/>
    <w:rsid w:val="00B3650B"/>
    <w:rsid w:val="00B365A7"/>
    <w:rsid w:val="00B36ED2"/>
    <w:rsid w:val="00B37B9D"/>
    <w:rsid w:val="00B37EC6"/>
    <w:rsid w:val="00B414B4"/>
    <w:rsid w:val="00B43D52"/>
    <w:rsid w:val="00B44351"/>
    <w:rsid w:val="00B51BDE"/>
    <w:rsid w:val="00B52049"/>
    <w:rsid w:val="00B550BD"/>
    <w:rsid w:val="00B56A9C"/>
    <w:rsid w:val="00B57839"/>
    <w:rsid w:val="00B60F4C"/>
    <w:rsid w:val="00B636E2"/>
    <w:rsid w:val="00B637F6"/>
    <w:rsid w:val="00B65690"/>
    <w:rsid w:val="00B71750"/>
    <w:rsid w:val="00B7523F"/>
    <w:rsid w:val="00B77393"/>
    <w:rsid w:val="00B80E46"/>
    <w:rsid w:val="00B81761"/>
    <w:rsid w:val="00B81EEC"/>
    <w:rsid w:val="00B82076"/>
    <w:rsid w:val="00B8428C"/>
    <w:rsid w:val="00B86426"/>
    <w:rsid w:val="00B86535"/>
    <w:rsid w:val="00B868B3"/>
    <w:rsid w:val="00B86AD1"/>
    <w:rsid w:val="00B8737B"/>
    <w:rsid w:val="00B9009A"/>
    <w:rsid w:val="00B91647"/>
    <w:rsid w:val="00B91879"/>
    <w:rsid w:val="00B94A43"/>
    <w:rsid w:val="00B94AC7"/>
    <w:rsid w:val="00B9560E"/>
    <w:rsid w:val="00B96360"/>
    <w:rsid w:val="00B96F78"/>
    <w:rsid w:val="00BA3B2D"/>
    <w:rsid w:val="00BA434C"/>
    <w:rsid w:val="00BA5E25"/>
    <w:rsid w:val="00BA6557"/>
    <w:rsid w:val="00BB303C"/>
    <w:rsid w:val="00BB6412"/>
    <w:rsid w:val="00BC7C2F"/>
    <w:rsid w:val="00BD3264"/>
    <w:rsid w:val="00BD4046"/>
    <w:rsid w:val="00BD497D"/>
    <w:rsid w:val="00BD5131"/>
    <w:rsid w:val="00BD65D5"/>
    <w:rsid w:val="00BD7AB2"/>
    <w:rsid w:val="00BE18E4"/>
    <w:rsid w:val="00BE39E8"/>
    <w:rsid w:val="00BE518F"/>
    <w:rsid w:val="00BF1576"/>
    <w:rsid w:val="00BF1B39"/>
    <w:rsid w:val="00BF531E"/>
    <w:rsid w:val="00BF78E4"/>
    <w:rsid w:val="00BF7EE1"/>
    <w:rsid w:val="00C01905"/>
    <w:rsid w:val="00C03339"/>
    <w:rsid w:val="00C04031"/>
    <w:rsid w:val="00C059ED"/>
    <w:rsid w:val="00C06888"/>
    <w:rsid w:val="00C101DA"/>
    <w:rsid w:val="00C11271"/>
    <w:rsid w:val="00C11656"/>
    <w:rsid w:val="00C153A8"/>
    <w:rsid w:val="00C21BC1"/>
    <w:rsid w:val="00C26359"/>
    <w:rsid w:val="00C31C81"/>
    <w:rsid w:val="00C31D6E"/>
    <w:rsid w:val="00C3269E"/>
    <w:rsid w:val="00C3316E"/>
    <w:rsid w:val="00C33A6A"/>
    <w:rsid w:val="00C35EAC"/>
    <w:rsid w:val="00C364FB"/>
    <w:rsid w:val="00C52BFE"/>
    <w:rsid w:val="00C52F6C"/>
    <w:rsid w:val="00C54AB5"/>
    <w:rsid w:val="00C57311"/>
    <w:rsid w:val="00C60B13"/>
    <w:rsid w:val="00C61B61"/>
    <w:rsid w:val="00C6215F"/>
    <w:rsid w:val="00C623E0"/>
    <w:rsid w:val="00C63169"/>
    <w:rsid w:val="00C65FEF"/>
    <w:rsid w:val="00C67D2B"/>
    <w:rsid w:val="00C72BEF"/>
    <w:rsid w:val="00C73DB5"/>
    <w:rsid w:val="00C76305"/>
    <w:rsid w:val="00C810FD"/>
    <w:rsid w:val="00C830E3"/>
    <w:rsid w:val="00C8443C"/>
    <w:rsid w:val="00C86C9A"/>
    <w:rsid w:val="00C87D3B"/>
    <w:rsid w:val="00C90077"/>
    <w:rsid w:val="00C91402"/>
    <w:rsid w:val="00C9159E"/>
    <w:rsid w:val="00C9527C"/>
    <w:rsid w:val="00CA022C"/>
    <w:rsid w:val="00CA1229"/>
    <w:rsid w:val="00CA3922"/>
    <w:rsid w:val="00CA55E2"/>
    <w:rsid w:val="00CA570F"/>
    <w:rsid w:val="00CA6646"/>
    <w:rsid w:val="00CB0C79"/>
    <w:rsid w:val="00CB2AEF"/>
    <w:rsid w:val="00CB2B59"/>
    <w:rsid w:val="00CB3798"/>
    <w:rsid w:val="00CB5B4A"/>
    <w:rsid w:val="00CB6DE4"/>
    <w:rsid w:val="00CC2AF7"/>
    <w:rsid w:val="00CC47C3"/>
    <w:rsid w:val="00CC4E19"/>
    <w:rsid w:val="00CC56A1"/>
    <w:rsid w:val="00CC5CEB"/>
    <w:rsid w:val="00CD1F84"/>
    <w:rsid w:val="00CD42D4"/>
    <w:rsid w:val="00CD4B2E"/>
    <w:rsid w:val="00CD4C68"/>
    <w:rsid w:val="00CD4CF6"/>
    <w:rsid w:val="00CD746F"/>
    <w:rsid w:val="00CD74C4"/>
    <w:rsid w:val="00CD7989"/>
    <w:rsid w:val="00CE06C1"/>
    <w:rsid w:val="00CE4BEF"/>
    <w:rsid w:val="00CE684A"/>
    <w:rsid w:val="00CF10E1"/>
    <w:rsid w:val="00CF4833"/>
    <w:rsid w:val="00CF54E7"/>
    <w:rsid w:val="00CF6138"/>
    <w:rsid w:val="00CF7643"/>
    <w:rsid w:val="00D009E7"/>
    <w:rsid w:val="00D01C59"/>
    <w:rsid w:val="00D0212B"/>
    <w:rsid w:val="00D05115"/>
    <w:rsid w:val="00D0599C"/>
    <w:rsid w:val="00D066AB"/>
    <w:rsid w:val="00D06FF9"/>
    <w:rsid w:val="00D12D87"/>
    <w:rsid w:val="00D13C7C"/>
    <w:rsid w:val="00D15887"/>
    <w:rsid w:val="00D15B9E"/>
    <w:rsid w:val="00D20CE9"/>
    <w:rsid w:val="00D2144C"/>
    <w:rsid w:val="00D255AD"/>
    <w:rsid w:val="00D30CF3"/>
    <w:rsid w:val="00D3128A"/>
    <w:rsid w:val="00D3154B"/>
    <w:rsid w:val="00D3155B"/>
    <w:rsid w:val="00D31719"/>
    <w:rsid w:val="00D32004"/>
    <w:rsid w:val="00D325BD"/>
    <w:rsid w:val="00D32781"/>
    <w:rsid w:val="00D35504"/>
    <w:rsid w:val="00D35AD9"/>
    <w:rsid w:val="00D367FF"/>
    <w:rsid w:val="00D3699A"/>
    <w:rsid w:val="00D375BA"/>
    <w:rsid w:val="00D375EB"/>
    <w:rsid w:val="00D37BAB"/>
    <w:rsid w:val="00D41C15"/>
    <w:rsid w:val="00D4666B"/>
    <w:rsid w:val="00D472CE"/>
    <w:rsid w:val="00D47B93"/>
    <w:rsid w:val="00D47D1D"/>
    <w:rsid w:val="00D5092F"/>
    <w:rsid w:val="00D51AAC"/>
    <w:rsid w:val="00D52366"/>
    <w:rsid w:val="00D53424"/>
    <w:rsid w:val="00D53F96"/>
    <w:rsid w:val="00D5460C"/>
    <w:rsid w:val="00D54E98"/>
    <w:rsid w:val="00D603E2"/>
    <w:rsid w:val="00D6056A"/>
    <w:rsid w:val="00D611A5"/>
    <w:rsid w:val="00D61A8E"/>
    <w:rsid w:val="00D6470F"/>
    <w:rsid w:val="00D705FB"/>
    <w:rsid w:val="00D70C92"/>
    <w:rsid w:val="00D73721"/>
    <w:rsid w:val="00D73AA6"/>
    <w:rsid w:val="00D74C4B"/>
    <w:rsid w:val="00D74E35"/>
    <w:rsid w:val="00D75566"/>
    <w:rsid w:val="00D755DC"/>
    <w:rsid w:val="00D75C48"/>
    <w:rsid w:val="00D75E66"/>
    <w:rsid w:val="00D81CA9"/>
    <w:rsid w:val="00D83B18"/>
    <w:rsid w:val="00D844C1"/>
    <w:rsid w:val="00D858E4"/>
    <w:rsid w:val="00D858F7"/>
    <w:rsid w:val="00D864F7"/>
    <w:rsid w:val="00D86BF3"/>
    <w:rsid w:val="00D903ED"/>
    <w:rsid w:val="00D90734"/>
    <w:rsid w:val="00D96F84"/>
    <w:rsid w:val="00DA1B3D"/>
    <w:rsid w:val="00DA294D"/>
    <w:rsid w:val="00DA47AF"/>
    <w:rsid w:val="00DA5EE7"/>
    <w:rsid w:val="00DB0882"/>
    <w:rsid w:val="00DB09E5"/>
    <w:rsid w:val="00DB129E"/>
    <w:rsid w:val="00DB3FD4"/>
    <w:rsid w:val="00DB46DE"/>
    <w:rsid w:val="00DB65AC"/>
    <w:rsid w:val="00DC0C29"/>
    <w:rsid w:val="00DC28E9"/>
    <w:rsid w:val="00DC44C9"/>
    <w:rsid w:val="00DC5F0F"/>
    <w:rsid w:val="00DC6689"/>
    <w:rsid w:val="00DC6690"/>
    <w:rsid w:val="00DD16ED"/>
    <w:rsid w:val="00DD188F"/>
    <w:rsid w:val="00DD275B"/>
    <w:rsid w:val="00DD2964"/>
    <w:rsid w:val="00DE1375"/>
    <w:rsid w:val="00DE3B40"/>
    <w:rsid w:val="00DE3EE8"/>
    <w:rsid w:val="00DF3417"/>
    <w:rsid w:val="00DF38FD"/>
    <w:rsid w:val="00DF4110"/>
    <w:rsid w:val="00DF427B"/>
    <w:rsid w:val="00DF4FE5"/>
    <w:rsid w:val="00E007F0"/>
    <w:rsid w:val="00E009F2"/>
    <w:rsid w:val="00E0171C"/>
    <w:rsid w:val="00E02B15"/>
    <w:rsid w:val="00E05C0D"/>
    <w:rsid w:val="00E12735"/>
    <w:rsid w:val="00E13F71"/>
    <w:rsid w:val="00E16C29"/>
    <w:rsid w:val="00E16E52"/>
    <w:rsid w:val="00E16F6E"/>
    <w:rsid w:val="00E2410D"/>
    <w:rsid w:val="00E30B70"/>
    <w:rsid w:val="00E322F8"/>
    <w:rsid w:val="00E32FB0"/>
    <w:rsid w:val="00E33DC4"/>
    <w:rsid w:val="00E34ACB"/>
    <w:rsid w:val="00E36E9E"/>
    <w:rsid w:val="00E44857"/>
    <w:rsid w:val="00E449F6"/>
    <w:rsid w:val="00E45792"/>
    <w:rsid w:val="00E473CA"/>
    <w:rsid w:val="00E47A00"/>
    <w:rsid w:val="00E53EBA"/>
    <w:rsid w:val="00E5560F"/>
    <w:rsid w:val="00E57494"/>
    <w:rsid w:val="00E575A7"/>
    <w:rsid w:val="00E6108B"/>
    <w:rsid w:val="00E63648"/>
    <w:rsid w:val="00E70229"/>
    <w:rsid w:val="00E70523"/>
    <w:rsid w:val="00E71437"/>
    <w:rsid w:val="00E71862"/>
    <w:rsid w:val="00E726FC"/>
    <w:rsid w:val="00E73A7D"/>
    <w:rsid w:val="00E73D5C"/>
    <w:rsid w:val="00E74329"/>
    <w:rsid w:val="00E75890"/>
    <w:rsid w:val="00E762F2"/>
    <w:rsid w:val="00E77EC0"/>
    <w:rsid w:val="00E812C0"/>
    <w:rsid w:val="00E820F8"/>
    <w:rsid w:val="00E8266A"/>
    <w:rsid w:val="00E82723"/>
    <w:rsid w:val="00E838F3"/>
    <w:rsid w:val="00E84142"/>
    <w:rsid w:val="00E8414C"/>
    <w:rsid w:val="00E84963"/>
    <w:rsid w:val="00E865CC"/>
    <w:rsid w:val="00E92D86"/>
    <w:rsid w:val="00E93646"/>
    <w:rsid w:val="00E9517F"/>
    <w:rsid w:val="00E95539"/>
    <w:rsid w:val="00EA1FF2"/>
    <w:rsid w:val="00EA2417"/>
    <w:rsid w:val="00EA6A8B"/>
    <w:rsid w:val="00EA7329"/>
    <w:rsid w:val="00EB0D56"/>
    <w:rsid w:val="00EB2DAB"/>
    <w:rsid w:val="00EB3A06"/>
    <w:rsid w:val="00EB3F2C"/>
    <w:rsid w:val="00EB4A7F"/>
    <w:rsid w:val="00EB54F9"/>
    <w:rsid w:val="00EC1A48"/>
    <w:rsid w:val="00EC2733"/>
    <w:rsid w:val="00EC2D8C"/>
    <w:rsid w:val="00EC46A5"/>
    <w:rsid w:val="00EC647B"/>
    <w:rsid w:val="00EC76BA"/>
    <w:rsid w:val="00ED0B0E"/>
    <w:rsid w:val="00ED1465"/>
    <w:rsid w:val="00ED1946"/>
    <w:rsid w:val="00ED6F50"/>
    <w:rsid w:val="00EE1C80"/>
    <w:rsid w:val="00EE39E9"/>
    <w:rsid w:val="00EE406E"/>
    <w:rsid w:val="00EE6FB2"/>
    <w:rsid w:val="00EF1E06"/>
    <w:rsid w:val="00EF202E"/>
    <w:rsid w:val="00EF5450"/>
    <w:rsid w:val="00EF57DF"/>
    <w:rsid w:val="00EF5F11"/>
    <w:rsid w:val="00EF7C2B"/>
    <w:rsid w:val="00F016B2"/>
    <w:rsid w:val="00F04862"/>
    <w:rsid w:val="00F0500D"/>
    <w:rsid w:val="00F10807"/>
    <w:rsid w:val="00F10E73"/>
    <w:rsid w:val="00F134EB"/>
    <w:rsid w:val="00F13A75"/>
    <w:rsid w:val="00F20A6B"/>
    <w:rsid w:val="00F20E64"/>
    <w:rsid w:val="00F21D80"/>
    <w:rsid w:val="00F22B7E"/>
    <w:rsid w:val="00F23333"/>
    <w:rsid w:val="00F246FC"/>
    <w:rsid w:val="00F2551A"/>
    <w:rsid w:val="00F266D1"/>
    <w:rsid w:val="00F30D31"/>
    <w:rsid w:val="00F32B56"/>
    <w:rsid w:val="00F33B10"/>
    <w:rsid w:val="00F36AC4"/>
    <w:rsid w:val="00F36EF0"/>
    <w:rsid w:val="00F370A3"/>
    <w:rsid w:val="00F37D30"/>
    <w:rsid w:val="00F40FF5"/>
    <w:rsid w:val="00F41143"/>
    <w:rsid w:val="00F41638"/>
    <w:rsid w:val="00F43B08"/>
    <w:rsid w:val="00F50B57"/>
    <w:rsid w:val="00F52DE3"/>
    <w:rsid w:val="00F53AF0"/>
    <w:rsid w:val="00F53F8F"/>
    <w:rsid w:val="00F544C3"/>
    <w:rsid w:val="00F544FF"/>
    <w:rsid w:val="00F551C9"/>
    <w:rsid w:val="00F566D6"/>
    <w:rsid w:val="00F60B83"/>
    <w:rsid w:val="00F60F2F"/>
    <w:rsid w:val="00F6221A"/>
    <w:rsid w:val="00F6317A"/>
    <w:rsid w:val="00F6327D"/>
    <w:rsid w:val="00F6366C"/>
    <w:rsid w:val="00F65598"/>
    <w:rsid w:val="00F65808"/>
    <w:rsid w:val="00F67FE9"/>
    <w:rsid w:val="00F71814"/>
    <w:rsid w:val="00F75144"/>
    <w:rsid w:val="00F80150"/>
    <w:rsid w:val="00F80ABD"/>
    <w:rsid w:val="00F8152C"/>
    <w:rsid w:val="00F826D8"/>
    <w:rsid w:val="00F827D7"/>
    <w:rsid w:val="00F853E7"/>
    <w:rsid w:val="00F856E1"/>
    <w:rsid w:val="00F865A7"/>
    <w:rsid w:val="00F90917"/>
    <w:rsid w:val="00F90FC7"/>
    <w:rsid w:val="00F91EAA"/>
    <w:rsid w:val="00F92A08"/>
    <w:rsid w:val="00F96C64"/>
    <w:rsid w:val="00F96C9E"/>
    <w:rsid w:val="00F9746E"/>
    <w:rsid w:val="00FA1E6B"/>
    <w:rsid w:val="00FA2518"/>
    <w:rsid w:val="00FA308D"/>
    <w:rsid w:val="00FA4097"/>
    <w:rsid w:val="00FB5F92"/>
    <w:rsid w:val="00FC1EE5"/>
    <w:rsid w:val="00FC366A"/>
    <w:rsid w:val="00FC405B"/>
    <w:rsid w:val="00FC57C0"/>
    <w:rsid w:val="00FC58EF"/>
    <w:rsid w:val="00FC6AD3"/>
    <w:rsid w:val="00FD0705"/>
    <w:rsid w:val="00FD0FC2"/>
    <w:rsid w:val="00FD24BD"/>
    <w:rsid w:val="00FD276A"/>
    <w:rsid w:val="00FD3012"/>
    <w:rsid w:val="00FD4971"/>
    <w:rsid w:val="00FD5388"/>
    <w:rsid w:val="00FD5CFD"/>
    <w:rsid w:val="00FE1B5B"/>
    <w:rsid w:val="00FE6504"/>
    <w:rsid w:val="00FE77F0"/>
    <w:rsid w:val="00FE7868"/>
    <w:rsid w:val="00FF16AE"/>
    <w:rsid w:val="00FF2D40"/>
    <w:rsid w:val="00FF37FC"/>
    <w:rsid w:val="00FF56AF"/>
    <w:rsid w:val="00FF71F9"/>
    <w:rsid w:val="00FF7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F1FE5"/>
  <w15:chartTrackingRefBased/>
  <w15:docId w15:val="{97F2B4AA-36B4-43A4-90FF-0929D9347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A5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810FD"/>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C810FD"/>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C810F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810F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810F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810F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10F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10F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10F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0FD"/>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C810FD"/>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C810FD"/>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810FD"/>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C810FD"/>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C810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0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0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0FD"/>
    <w:rPr>
      <w:rFonts w:eastAsiaTheme="majorEastAsia" w:cstheme="majorBidi"/>
      <w:color w:val="272727" w:themeColor="text1" w:themeTint="D8"/>
    </w:rPr>
  </w:style>
  <w:style w:type="paragraph" w:styleId="Title">
    <w:name w:val="Title"/>
    <w:basedOn w:val="Normal"/>
    <w:next w:val="Normal"/>
    <w:link w:val="TitleChar"/>
    <w:uiPriority w:val="10"/>
    <w:qFormat/>
    <w:rsid w:val="00C810F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0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0F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0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10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810FD"/>
    <w:rPr>
      <w:i/>
      <w:iCs/>
      <w:color w:val="404040" w:themeColor="text1" w:themeTint="BF"/>
    </w:rPr>
  </w:style>
  <w:style w:type="paragraph" w:styleId="ListParagraph">
    <w:name w:val="List Paragraph"/>
    <w:basedOn w:val="Normal"/>
    <w:uiPriority w:val="34"/>
    <w:qFormat/>
    <w:rsid w:val="00C810FD"/>
    <w:pPr>
      <w:ind w:left="720"/>
      <w:contextualSpacing/>
    </w:pPr>
  </w:style>
  <w:style w:type="character" w:styleId="IntenseEmphasis">
    <w:name w:val="Intense Emphasis"/>
    <w:basedOn w:val="DefaultParagraphFont"/>
    <w:uiPriority w:val="21"/>
    <w:qFormat/>
    <w:rsid w:val="00C810FD"/>
    <w:rPr>
      <w:i/>
      <w:iCs/>
      <w:color w:val="365F91" w:themeColor="accent1" w:themeShade="BF"/>
    </w:rPr>
  </w:style>
  <w:style w:type="paragraph" w:styleId="IntenseQuote">
    <w:name w:val="Intense Quote"/>
    <w:basedOn w:val="Normal"/>
    <w:next w:val="Normal"/>
    <w:link w:val="IntenseQuoteChar"/>
    <w:uiPriority w:val="30"/>
    <w:qFormat/>
    <w:rsid w:val="00C810F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810FD"/>
    <w:rPr>
      <w:i/>
      <w:iCs/>
      <w:color w:val="365F91" w:themeColor="accent1" w:themeShade="BF"/>
    </w:rPr>
  </w:style>
  <w:style w:type="character" w:styleId="IntenseReference">
    <w:name w:val="Intense Reference"/>
    <w:basedOn w:val="DefaultParagraphFont"/>
    <w:uiPriority w:val="32"/>
    <w:qFormat/>
    <w:rsid w:val="00C810FD"/>
    <w:rPr>
      <w:b/>
      <w:bCs/>
      <w:smallCaps/>
      <w:color w:val="365F91" w:themeColor="accent1" w:themeShade="BF"/>
      <w:spacing w:val="5"/>
    </w:rPr>
  </w:style>
  <w:style w:type="character" w:styleId="Hyperlink">
    <w:name w:val="Hyperlink"/>
    <w:basedOn w:val="DefaultParagraphFont"/>
    <w:uiPriority w:val="99"/>
    <w:unhideWhenUsed/>
    <w:rsid w:val="00F41143"/>
    <w:rPr>
      <w:color w:val="0000FF" w:themeColor="hyperlink"/>
      <w:u w:val="single"/>
    </w:rPr>
  </w:style>
  <w:style w:type="character" w:styleId="UnresolvedMention">
    <w:name w:val="Unresolved Mention"/>
    <w:basedOn w:val="DefaultParagraphFont"/>
    <w:uiPriority w:val="99"/>
    <w:semiHidden/>
    <w:unhideWhenUsed/>
    <w:rsid w:val="00F41143"/>
    <w:rPr>
      <w:color w:val="605E5C"/>
      <w:shd w:val="clear" w:color="auto" w:fill="E1DFDD"/>
    </w:rPr>
  </w:style>
  <w:style w:type="paragraph" w:styleId="Header">
    <w:name w:val="header"/>
    <w:basedOn w:val="Normal"/>
    <w:link w:val="HeaderChar"/>
    <w:uiPriority w:val="99"/>
    <w:unhideWhenUsed/>
    <w:rsid w:val="006F1378"/>
    <w:pPr>
      <w:tabs>
        <w:tab w:val="center" w:pos="4513"/>
        <w:tab w:val="right" w:pos="9026"/>
      </w:tabs>
    </w:pPr>
  </w:style>
  <w:style w:type="character" w:customStyle="1" w:styleId="HeaderChar">
    <w:name w:val="Header Char"/>
    <w:basedOn w:val="DefaultParagraphFont"/>
    <w:link w:val="Header"/>
    <w:uiPriority w:val="99"/>
    <w:rsid w:val="006F137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F1378"/>
    <w:pPr>
      <w:tabs>
        <w:tab w:val="center" w:pos="4513"/>
        <w:tab w:val="right" w:pos="9026"/>
      </w:tabs>
    </w:pPr>
  </w:style>
  <w:style w:type="character" w:customStyle="1" w:styleId="FooterChar">
    <w:name w:val="Footer Char"/>
    <w:basedOn w:val="DefaultParagraphFont"/>
    <w:link w:val="Footer"/>
    <w:uiPriority w:val="99"/>
    <w:rsid w:val="006F1378"/>
    <w:rPr>
      <w:rFonts w:ascii="Times New Roman" w:eastAsia="Times New Roman" w:hAnsi="Times New Roman" w:cs="Times New Roman"/>
      <w:kern w:val="0"/>
      <w:sz w:val="20"/>
      <w:szCs w:val="20"/>
      <w:lang w:eastAsia="en-GB"/>
      <w14:ligatures w14:val="none"/>
    </w:rPr>
  </w:style>
  <w:style w:type="character" w:styleId="Strong">
    <w:name w:val="Strong"/>
    <w:basedOn w:val="DefaultParagraphFont"/>
    <w:uiPriority w:val="22"/>
    <w:qFormat/>
    <w:rsid w:val="00A378B2"/>
    <w:rPr>
      <w:b/>
      <w:bCs/>
    </w:rPr>
  </w:style>
  <w:style w:type="paragraph" w:styleId="NormalWeb">
    <w:name w:val="Normal (Web)"/>
    <w:basedOn w:val="Normal"/>
    <w:uiPriority w:val="99"/>
    <w:semiHidden/>
    <w:unhideWhenUsed/>
    <w:rsid w:val="00047F19"/>
    <w:pPr>
      <w:spacing w:before="100" w:beforeAutospacing="1" w:after="100" w:afterAutospacing="1"/>
    </w:pPr>
    <w:rPr>
      <w:sz w:val="24"/>
      <w:szCs w:val="24"/>
    </w:rPr>
  </w:style>
  <w:style w:type="paragraph" w:customStyle="1" w:styleId="pdq2pgselectionanchorcontainer">
    <w:name w:val="pdq2pg_selectionanchorcontainer"/>
    <w:basedOn w:val="Normal"/>
    <w:rsid w:val="002667FB"/>
    <w:pPr>
      <w:spacing w:before="100" w:beforeAutospacing="1" w:after="100" w:afterAutospacing="1"/>
    </w:pPr>
    <w:rPr>
      <w:sz w:val="24"/>
      <w:szCs w:val="24"/>
    </w:rPr>
  </w:style>
  <w:style w:type="character" w:styleId="Emphasis">
    <w:name w:val="Emphasis"/>
    <w:basedOn w:val="DefaultParagraphFont"/>
    <w:uiPriority w:val="20"/>
    <w:qFormat/>
    <w:rsid w:val="002667FB"/>
    <w:rPr>
      <w:i/>
      <w:iCs/>
    </w:rPr>
  </w:style>
  <w:style w:type="table" w:styleId="TableGrid">
    <w:name w:val="Table Grid"/>
    <w:basedOn w:val="TableNormal"/>
    <w:uiPriority w:val="59"/>
    <w:rsid w:val="00D30C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zheimers.org.uk/news/2025-10-08/over-half-local-authorities-england-are-failing-meet-dementia-diagnosis-targets?utm_source=chatgpt.com" TargetMode="External"/><Relationship Id="rId18" Type="http://schemas.openxmlformats.org/officeDocument/2006/relationships/hyperlink" Target="https://ageing-better.org.uk/homes-state-ageing-2025" TargetMode="External"/><Relationship Id="rId26" Type="http://schemas.openxmlformats.org/officeDocument/2006/relationships/hyperlink" Target="https://doi.org/10.1093/aje/kwae367" TargetMode="External"/><Relationship Id="rId39" Type="http://schemas.openxmlformats.org/officeDocument/2006/relationships/hyperlink" Target="https://www.ons.gov.uk/peoplepopulationandcommunity/populationandmigration/populationestimates/articles/overviewoftheukpopulation/january2024" TargetMode="External"/><Relationship Id="rId21" Type="http://schemas.openxmlformats.org/officeDocument/2006/relationships/hyperlink" Target="https://doi.org/10.1017/S146342361600027X" TargetMode="External"/><Relationship Id="rId34" Type="http://schemas.openxmlformats.org/officeDocument/2006/relationships/hyperlink" Target="https://www.longtermplan.nhs.uk" TargetMode="External"/><Relationship Id="rId42" Type="http://schemas.openxmlformats.org/officeDocument/2006/relationships/hyperlink" Target="https://www.ons.gov.uk/peoplepopulationandcommunity/healthandsocialcare/healthcaresystem/bulletins/experiencesofnhshealthcareservicesinengland/latest?utm_source=chatgpt.com" TargetMode="External"/><Relationship Id="rId47" Type="http://schemas.openxmlformats.org/officeDocument/2006/relationships/hyperlink" Target="https://doi.org/10.1016/j.urbmob.2026.100260" TargetMode="External"/><Relationship Id="rId50" Type="http://schemas.openxmlformats.org/officeDocument/2006/relationships/hyperlink" Target="https://www.who.int/news-room/fact-sheets/detail/dementia"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016/j.jacc.2023.01.042" TargetMode="External"/><Relationship Id="rId29" Type="http://schemas.openxmlformats.org/officeDocument/2006/relationships/hyperlink" Target="https://doi.org/10.1007/s00415-025-13524-z" TargetMode="External"/><Relationship Id="rId11" Type="http://schemas.openxmlformats.org/officeDocument/2006/relationships/hyperlink" Target="https://www.ageuk.org.uk/information-advice/care/helping-a-loved-one/financial-support/?utm_source=chatgpt.com" TargetMode="External"/><Relationship Id="rId24" Type="http://schemas.openxmlformats.org/officeDocument/2006/relationships/hyperlink" Target="https://doi.org/10.1136/bmjopen-2022-063137" TargetMode="External"/><Relationship Id="rId32" Type="http://schemas.openxmlformats.org/officeDocument/2006/relationships/hyperlink" Target="https://www.nice.org.uk/guidance/ng97" TargetMode="External"/><Relationship Id="rId37" Type="http://schemas.openxmlformats.org/officeDocument/2006/relationships/hyperlink" Target="https://fingertips.phe.org.uk/?utm_source=chatgpt.com" TargetMode="External"/><Relationship Id="rId40" Type="http://schemas.openxmlformats.org/officeDocument/2006/relationships/hyperlink" Target="https://www.ons.gov.uk/peoplepopulationandcommunity/birthsdeathsandmarriages/deaths" TargetMode="External"/><Relationship Id="rId45" Type="http://schemas.openxmlformats.org/officeDocument/2006/relationships/hyperlink" Target="https://doi.org/10.1108/JAP-10-2022-0023"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ageuk.org.uk/information-advice/money-legal/benefits-entitlements/carers-allowance/" TargetMode="External"/><Relationship Id="rId19" Type="http://schemas.openxmlformats.org/officeDocument/2006/relationships/hyperlink" Target="https://www.studysmarter.co.uk/explanations/medicine/epidemiology/epidemiological-surveillance/" TargetMode="External"/><Relationship Id="rId31" Type="http://schemas.openxmlformats.org/officeDocument/2006/relationships/hyperlink" Target="https://www.nice.org.uk/" TargetMode="External"/><Relationship Id="rId44" Type="http://schemas.openxmlformats.org/officeDocument/2006/relationships/hyperlink" Target="https://doi.org/10.1186/s12877-025-05678-2"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02/puh2.70156" TargetMode="External"/><Relationship Id="rId14" Type="http://schemas.openxmlformats.org/officeDocument/2006/relationships/hyperlink" Target="https://www.alzheimers.org.uk/about-us/policy-and-influencing/dementia-uk" TargetMode="External"/><Relationship Id="rId22" Type="http://schemas.openxmlformats.org/officeDocument/2006/relationships/hyperlink" Target="https://doi.org/10.1186/s12877-026-07671-9" TargetMode="External"/><Relationship Id="rId27" Type="http://schemas.openxmlformats.org/officeDocument/2006/relationships/hyperlink" Target="https://doi.org/10.1080/03601277.2025.2466131" TargetMode="External"/><Relationship Id="rId30" Type="http://schemas.openxmlformats.org/officeDocument/2006/relationships/hyperlink" Target="https://www.nice.org.uk/" TargetMode="External"/><Relationship Id="rId35" Type="http://schemas.openxmlformats.org/officeDocument/2006/relationships/hyperlink" Target="https://www.england.nhs.uk/mental-health/dementia/dementia-data/?utm_source=chatgpt.com" TargetMode="External"/><Relationship Id="rId43" Type="http://schemas.openxmlformats.org/officeDocument/2006/relationships/hyperlink" Target="https://doi.org/10.1016/j.appet.2026.108466" TargetMode="External"/><Relationship Id="rId48" Type="http://schemas.openxmlformats.org/officeDocument/2006/relationships/hyperlink" Target="https://doi.org/10.3390/smartcities7040062" TargetMode="External"/><Relationship Id="rId8" Type="http://schemas.openxmlformats.org/officeDocument/2006/relationships/hyperlink" Target="https://doi.org/10.1186/s13012-017-0640-6"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ageuk.org.uk/information-advice/care/helping-a-loved-one/getting-a-carers-assessment/?utm_source=chatgpt.com" TargetMode="External"/><Relationship Id="rId17" Type="http://schemas.openxmlformats.org/officeDocument/2006/relationships/hyperlink" Target="https://www.cqc.org.uk/publications/major-report/state-care/2024-2025/access/primary?utm_source=chatgpt.com" TargetMode="External"/><Relationship Id="rId25" Type="http://schemas.openxmlformats.org/officeDocument/2006/relationships/hyperlink" Target="https://www.ncbi.nlm.nih.gov/sites/books/NBK537222/" TargetMode="External"/><Relationship Id="rId33" Type="http://schemas.openxmlformats.org/officeDocument/2006/relationships/hyperlink" Target="https://www.nice.org.uk/guidance/ng97" TargetMode="External"/><Relationship Id="rId38" Type="http://schemas.openxmlformats.org/officeDocument/2006/relationships/hyperlink" Target="https://www.ons.gov.uk/peoplepopulationandcommunity/birthsdeathsandmarriages/deaths" TargetMode="External"/><Relationship Id="rId46" Type="http://schemas.openxmlformats.org/officeDocument/2006/relationships/hyperlink" Target="https://doi.org/10.1038/s41598-025-12067-7" TargetMode="External"/><Relationship Id="rId20" Type="http://schemas.openxmlformats.org/officeDocument/2006/relationships/hyperlink" Target="https://doi.org/10.1177/03063968261434853" TargetMode="External"/><Relationship Id="rId41" Type="http://schemas.openxmlformats.org/officeDocument/2006/relationships/hyperlink" Target="https://www.ons.gov.uk/peoplepopulationandcommunity/birthsdeathsandmarriages/deaths"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7/s10620-025-09432-x" TargetMode="External"/><Relationship Id="rId23" Type="http://schemas.openxmlformats.org/officeDocument/2006/relationships/hyperlink" Target="https://doi.org/10.1002/gps.70236" TargetMode="External"/><Relationship Id="rId28" Type="http://schemas.openxmlformats.org/officeDocument/2006/relationships/hyperlink" Target="https://discovery.ucl.ac.uk/id/eprint/10106434/?utm_source=chatgpt.com" TargetMode="External"/><Relationship Id="rId36" Type="http://schemas.openxmlformats.org/officeDocument/2006/relationships/hyperlink" Target="https://www.england.nhs.uk/statistics/statistical-work-areas/dementia/" TargetMode="External"/><Relationship Id="rId49" Type="http://schemas.openxmlformats.org/officeDocument/2006/relationships/hyperlink" Target="https://www.thelancet.com/journals/lanpub/article/PIIS2468-2667(24)00018-5/fulltex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3647</TotalTime>
  <Pages>20</Pages>
  <Words>5678</Words>
  <Characters>32365</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Rehana Intisar</dc:creator>
  <cp:keywords/>
  <dc:description/>
  <cp:lastModifiedBy>Rehana Intisar</cp:lastModifiedBy>
  <cp:revision>1342</cp:revision>
  <dcterms:created xsi:type="dcterms:W3CDTF">2026-07-11T15:56:00Z</dcterms:created>
  <dcterms:modified xsi:type="dcterms:W3CDTF">2026-08-15T14:52:00Z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d16b377b-37e1-493f-befd-94621b4b4cb2</vt:lpwstr>
  </property>
</Properties>
</file>