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F7FD9" w14:textId="77777777"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Evaluation of Person-Centred Care and Partnership Working in Health and Social Care</w:t>
      </w:r>
    </w:p>
    <w:p w14:paraId="462DF3E5" w14:textId="77777777" w:rsidR="00916637" w:rsidRPr="00916637" w:rsidRDefault="00916637" w:rsidP="00916637">
      <w:pPr>
        <w:spacing w:line="360" w:lineRule="auto"/>
        <w:rPr>
          <w:rFonts w:ascii="Arial" w:hAnsi="Arial" w:cs="Arial"/>
          <w:sz w:val="22"/>
          <w:szCs w:val="22"/>
        </w:rPr>
      </w:pPr>
    </w:p>
    <w:p w14:paraId="3D3B0EA1" w14:textId="20A9CC5C"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Introduction</w:t>
      </w:r>
    </w:p>
    <w:p w14:paraId="13C85326" w14:textId="2D11A0D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Person-centred care (PCC) and partnership working (PW) are central to contemporary health and social care delivery in the United Kingdom. These approaches represent a significant shift from traditional paternalistic models towards more inclusive, collaborative, and holistic systems that prioritise individual needs, preferences, and shared decision-making (NHS England, 2019). This transformation has been driven by increasing demand, particularly due to ageing populations and the growing prevalence of long-term conditions.</w:t>
      </w:r>
    </w:p>
    <w:p w14:paraId="5ACB2679" w14:textId="18543385"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Despite strong policy endorsement, the implementation of PCC and PW remains inconsistent across practice settings. Structural pressures, workforce shortages, and organisational constraints continue to limit their effectiveness. This report critically evaluates PCC and partnership working by examining their benefits, limitations, theoretical foundations, ethical principles, and practical application. It also explores relevant UK policy and legislation and provides recommendations for future development.</w:t>
      </w:r>
    </w:p>
    <w:p w14:paraId="22241D96" w14:textId="77777777" w:rsidR="00916637" w:rsidRPr="00916637" w:rsidRDefault="00916637" w:rsidP="00916637">
      <w:pPr>
        <w:spacing w:line="360" w:lineRule="auto"/>
        <w:rPr>
          <w:rFonts w:ascii="Arial" w:hAnsi="Arial" w:cs="Arial"/>
          <w:sz w:val="22"/>
          <w:szCs w:val="22"/>
        </w:rPr>
      </w:pPr>
    </w:p>
    <w:p w14:paraId="0A69543C" w14:textId="69683ADC"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 xml:space="preserve"> Person-Centred Care: Definition, Benefits and Limitations</w:t>
      </w:r>
    </w:p>
    <w:p w14:paraId="48D84EDD" w14:textId="5EA6EC8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Person-centred care refers to an approach that ensures individuals are actively involved in decisions about their care, with respect for their values, preferences, and lived experiences (Health Foundation, 2016). It moves beyond a purely biomedical focus to consider psychological, social, and emotional aspects of wellbeing.</w:t>
      </w:r>
    </w:p>
    <w:p w14:paraId="65307A14" w14:textId="44CCD261"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A key strength of PCC is its ability to improve both clinical outcomes and patient satisfaction. Evidence suggests that when individuals are involved in decision-making, they are more likely to adhere to treatment and experience better health outcomes (Doyle et al., 2013). Furthermore, PCC promotes dignity and autonomy, aligning closely with ethical principles in healthcare (McCormack and McCance, 2017). It also enhances communication between professionals and service users, leading to more accurate and personalised care.</w:t>
      </w:r>
    </w:p>
    <w:p w14:paraId="0D66D9C5" w14:textId="00AFBD31"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However, the benefits of PCC are often difficult to realise fully in practice. One major limitation is time pressure within healthcare systems, which can restrict meaningful engagement between professionals and service users (Edvardsson et al., 2010). Additionally, some individuals may lack the capacity, confidence, or health literacy required to participate effectively in decision-making (Department of Health, 2005).</w:t>
      </w:r>
    </w:p>
    <w:p w14:paraId="11112E0A" w14:textId="70F9AE21"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lastRenderedPageBreak/>
        <w:t>There is also a risk of tokenism, where individuals are consulted but not genuinely empowered to influence decisions. This highlights a gap between policy rhetoric and practice reality (Beresford et al., 2016). Cultural and communication barriers may further limit the effectiveness of PCC, particularly in diverse populations.</w:t>
      </w:r>
    </w:p>
    <w:p w14:paraId="5B1FF120" w14:textId="77777777" w:rsidR="00916637" w:rsidRPr="00916637" w:rsidRDefault="00916637" w:rsidP="00916637">
      <w:pPr>
        <w:spacing w:line="360" w:lineRule="auto"/>
        <w:rPr>
          <w:rFonts w:ascii="Arial" w:hAnsi="Arial" w:cs="Arial"/>
          <w:sz w:val="22"/>
          <w:szCs w:val="22"/>
        </w:rPr>
      </w:pPr>
    </w:p>
    <w:p w14:paraId="5EE42ED7" w14:textId="5EEFC491"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Theoretical Framework: Rogers’ Humanistic Theory</w:t>
      </w:r>
    </w:p>
    <w:p w14:paraId="78DD594C" w14:textId="2F54CFB6"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Carl Rogers’ Humanistic Theory provides a key theoretical foundation for PCC. It emphasises empathy, unconditional positive regard, and genuineness as essential components of effective relationships (Rogers, 1961).</w:t>
      </w:r>
    </w:p>
    <w:p w14:paraId="4ADD826D" w14:textId="63B13535"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This theory strongly supports PCC by promoting respect for individuals and recognising their capacity for self-determination. It underpins the development of therapeutic relationships, which are essential for building trust and improving communication (McCormack and McCance, 2017). By focusing on the individual’s subjective experience, Rogers’ approach aligns closely with the holistic nature of PCC.</w:t>
      </w:r>
    </w:p>
    <w:p w14:paraId="1B627F29" w14:textId="20532605"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 xml:space="preserve">However, the theory has limitations. It assumes that individuals </w:t>
      </w:r>
      <w:proofErr w:type="gramStart"/>
      <w:r w:rsidRPr="00916637">
        <w:rPr>
          <w:rFonts w:ascii="Arial" w:hAnsi="Arial" w:cs="Arial"/>
          <w:sz w:val="22"/>
          <w:szCs w:val="22"/>
        </w:rPr>
        <w:t>have the ability to</w:t>
      </w:r>
      <w:proofErr w:type="gramEnd"/>
      <w:r w:rsidRPr="00916637">
        <w:rPr>
          <w:rFonts w:ascii="Arial" w:hAnsi="Arial" w:cs="Arial"/>
          <w:sz w:val="22"/>
          <w:szCs w:val="22"/>
        </w:rPr>
        <w:t xml:space="preserve"> engage in self-directed growth, which may not be applicable in all health and social care contexts, particularly for individuals with cognitive impairments or severe mental health conditions (Brooker, 2007). Furthermore, Rogers’ theory does not adequately address external factors such as organisational constraints, resource limitations, and policy pressures, which significantly influence care delivery (Glasby and Dickinson, 2014).</w:t>
      </w:r>
    </w:p>
    <w:p w14:paraId="530FE565" w14:textId="30E659A5"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Therefore, while Rogers’ theory provides a strong philosophical foundation, it must be considered alongside broader structural and systemic factors.</w:t>
      </w:r>
    </w:p>
    <w:p w14:paraId="58AF8304" w14:textId="71A634D9"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Ethical Fundamentals of Health and Social Care</w:t>
      </w:r>
    </w:p>
    <w:p w14:paraId="645D4534" w14:textId="5A69D9BF"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Ethical principles underpin all aspects of health and social care practice. The four key principle</w:t>
      </w:r>
      <w:r w:rsidRPr="00916637">
        <w:rPr>
          <w:rFonts w:ascii="Arial" w:hAnsi="Arial" w:cs="Arial"/>
          <w:sz w:val="22"/>
          <w:szCs w:val="22"/>
        </w:rPr>
        <w:t>s; a</w:t>
      </w:r>
      <w:r w:rsidRPr="00916637">
        <w:rPr>
          <w:rFonts w:ascii="Arial" w:hAnsi="Arial" w:cs="Arial"/>
          <w:sz w:val="22"/>
          <w:szCs w:val="22"/>
        </w:rPr>
        <w:t>utonomy, beneficence, non-maleficence, and justice</w:t>
      </w:r>
      <w:r w:rsidRPr="00916637">
        <w:rPr>
          <w:rFonts w:ascii="Arial" w:hAnsi="Arial" w:cs="Arial"/>
          <w:sz w:val="22"/>
          <w:szCs w:val="22"/>
        </w:rPr>
        <w:t xml:space="preserve"> which p</w:t>
      </w:r>
      <w:r w:rsidRPr="00916637">
        <w:rPr>
          <w:rFonts w:ascii="Arial" w:hAnsi="Arial" w:cs="Arial"/>
          <w:sz w:val="22"/>
          <w:szCs w:val="22"/>
        </w:rPr>
        <w:t>rovide a framework for ethical decision-making (Beauchamp and Childress, 2019).</w:t>
      </w:r>
    </w:p>
    <w:p w14:paraId="2A14EB9A" w14:textId="29D34D2E"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Autonomy supports PCC by emphasising the individual’s right to make informed decisions about their care. Beneficence and non-maleficence require professionals to act in the best interests of individuals while avoiding harm. Justice focuses on fairness and equality in access to care.</w:t>
      </w:r>
    </w:p>
    <w:p w14:paraId="1B0CE6D1" w14:textId="2A449A8E"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 xml:space="preserve">However, these principles often conflict in practice. For example, respecting autonomy may conflict with beneficence when individuals make decisions that could negatively impact their </w:t>
      </w:r>
      <w:r w:rsidRPr="00916637">
        <w:rPr>
          <w:rFonts w:ascii="Arial" w:hAnsi="Arial" w:cs="Arial"/>
          <w:sz w:val="22"/>
          <w:szCs w:val="22"/>
        </w:rPr>
        <w:lastRenderedPageBreak/>
        <w:t xml:space="preserve">health (Tingle and Cribb, 2014). Similarly, achieving justice can be challenging due to inequalities in healthcare access based on socioeconomic status, ethnicity, and geographic location (Beresford </w:t>
      </w:r>
      <w:r w:rsidRPr="00916637">
        <w:rPr>
          <w:rFonts w:ascii="Arial" w:hAnsi="Arial" w:cs="Arial"/>
          <w:i/>
          <w:iCs/>
          <w:sz w:val="22"/>
          <w:szCs w:val="22"/>
        </w:rPr>
        <w:t>et al.,</w:t>
      </w:r>
      <w:r w:rsidRPr="00916637">
        <w:rPr>
          <w:rFonts w:ascii="Arial" w:hAnsi="Arial" w:cs="Arial"/>
          <w:sz w:val="22"/>
          <w:szCs w:val="22"/>
        </w:rPr>
        <w:t xml:space="preserve"> 2016).</w:t>
      </w:r>
    </w:p>
    <w:p w14:paraId="1926DBFD" w14:textId="24E9FFF2"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These tensions highlight the complexity of ethical decision-making and the need for professional judgement and critical reflection.</w:t>
      </w:r>
    </w:p>
    <w:p w14:paraId="6D71E9CA" w14:textId="33425003"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 xml:space="preserve"> Evaluation of Partnership Working</w:t>
      </w:r>
    </w:p>
    <w:p w14:paraId="4622D156" w14:textId="7777777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Partnership working involves collaboration between professionals, organisations, service users, and families to deliver coordinated and integrated care (Glasby and Dickinson, 2014). It is essential for addressing complex health and social care needs.</w:t>
      </w:r>
    </w:p>
    <w:p w14:paraId="40C599E6" w14:textId="77777777" w:rsidR="00916637" w:rsidRPr="00916637" w:rsidRDefault="00916637" w:rsidP="00916637">
      <w:pPr>
        <w:spacing w:line="360" w:lineRule="auto"/>
        <w:rPr>
          <w:rFonts w:ascii="Arial" w:hAnsi="Arial" w:cs="Arial"/>
          <w:sz w:val="22"/>
          <w:szCs w:val="22"/>
        </w:rPr>
      </w:pPr>
    </w:p>
    <w:p w14:paraId="77ADD53B" w14:textId="7777777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 xml:space="preserve">One of the main benefits of partnership working is improved service integration. By bringing together expertise from different disciplines, it enables a more holistic approach to care. It also enhances communication and reduces duplication of services, leading to greater efficiency (Reeves </w:t>
      </w:r>
      <w:r w:rsidRPr="00916637">
        <w:rPr>
          <w:rFonts w:ascii="Arial" w:hAnsi="Arial" w:cs="Arial"/>
          <w:i/>
          <w:iCs/>
          <w:sz w:val="22"/>
          <w:szCs w:val="22"/>
        </w:rPr>
        <w:t>et al.,</w:t>
      </w:r>
      <w:r w:rsidRPr="00916637">
        <w:rPr>
          <w:rFonts w:ascii="Arial" w:hAnsi="Arial" w:cs="Arial"/>
          <w:sz w:val="22"/>
          <w:szCs w:val="22"/>
        </w:rPr>
        <w:t xml:space="preserve"> 2017).</w:t>
      </w:r>
    </w:p>
    <w:p w14:paraId="62DA3FFA" w14:textId="77777777" w:rsidR="00916637" w:rsidRPr="00916637" w:rsidRDefault="00916637" w:rsidP="00916637">
      <w:pPr>
        <w:spacing w:line="360" w:lineRule="auto"/>
        <w:rPr>
          <w:rFonts w:ascii="Arial" w:hAnsi="Arial" w:cs="Arial"/>
          <w:sz w:val="22"/>
          <w:szCs w:val="22"/>
        </w:rPr>
      </w:pPr>
    </w:p>
    <w:p w14:paraId="69D54A49" w14:textId="7777777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 xml:space="preserve">However, partnership working is not without challenges. Communication barriers between organisations can lead to misunderstandings and delays. Differences in professional cultures, values, and priorities may create conflict. Data-sharing and confidentiality issues also present significant obstacles (Beresford </w:t>
      </w:r>
      <w:r w:rsidRPr="00916637">
        <w:rPr>
          <w:rFonts w:ascii="Arial" w:hAnsi="Arial" w:cs="Arial"/>
          <w:i/>
          <w:iCs/>
          <w:sz w:val="22"/>
          <w:szCs w:val="22"/>
        </w:rPr>
        <w:t>et al</w:t>
      </w:r>
      <w:r w:rsidRPr="00916637">
        <w:rPr>
          <w:rFonts w:ascii="Arial" w:hAnsi="Arial" w:cs="Arial"/>
          <w:sz w:val="22"/>
          <w:szCs w:val="22"/>
        </w:rPr>
        <w:t>., 2016).</w:t>
      </w:r>
    </w:p>
    <w:p w14:paraId="368FC503" w14:textId="77777777" w:rsidR="00916637" w:rsidRPr="00916637" w:rsidRDefault="00916637" w:rsidP="00916637">
      <w:pPr>
        <w:spacing w:line="360" w:lineRule="auto"/>
        <w:rPr>
          <w:rFonts w:ascii="Arial" w:hAnsi="Arial" w:cs="Arial"/>
          <w:sz w:val="22"/>
          <w:szCs w:val="22"/>
        </w:rPr>
      </w:pPr>
    </w:p>
    <w:p w14:paraId="582DD235" w14:textId="120449C0"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Additionally, role ambiguity within multidisciplinary teams can affect accountability and decision-making. These challenges suggest that effective partnership working requires strong leadership, clear communication, and shared goals.</w:t>
      </w:r>
    </w:p>
    <w:p w14:paraId="5738DD82" w14:textId="6844D095"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Application in Practice: Multidisciplinary Teams in the NH</w:t>
      </w:r>
      <w:r w:rsidRPr="00916637">
        <w:rPr>
          <w:rFonts w:ascii="Arial" w:hAnsi="Arial" w:cs="Arial"/>
          <w:b/>
          <w:bCs/>
          <w:sz w:val="22"/>
          <w:szCs w:val="22"/>
        </w:rPr>
        <w:t>S</w:t>
      </w:r>
    </w:p>
    <w:p w14:paraId="20625400" w14:textId="3302CBC1"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A practical example of partnership working can be seen in multidisciplinary teams (MDTs) within NHS settings. MDTs typically include professionals such as doctors, nurses, social workers, physiotherapists, and occupational therapists working collaboratively to support individuals with complex needs.</w:t>
      </w:r>
    </w:p>
    <w:p w14:paraId="03EA84F6" w14:textId="0D4F8CF9"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 xml:space="preserve">This approach supports PCC by ensuring that care is tailored to the individual’s holistic needs. Each professional contributes their expertise, resulting in more comprehensive and coordinated care (Reeves </w:t>
      </w:r>
      <w:r w:rsidRPr="00916637">
        <w:rPr>
          <w:rFonts w:ascii="Arial" w:hAnsi="Arial" w:cs="Arial"/>
          <w:i/>
          <w:iCs/>
          <w:sz w:val="22"/>
          <w:szCs w:val="22"/>
        </w:rPr>
        <w:t>et al.,</w:t>
      </w:r>
      <w:r w:rsidRPr="00916637">
        <w:rPr>
          <w:rFonts w:ascii="Arial" w:hAnsi="Arial" w:cs="Arial"/>
          <w:sz w:val="22"/>
          <w:szCs w:val="22"/>
        </w:rPr>
        <w:t xml:space="preserve"> 2017).</w:t>
      </w:r>
    </w:p>
    <w:p w14:paraId="7CD2F1C0" w14:textId="1E9AFA10"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lastRenderedPageBreak/>
        <w:t>However, the effectiveness of MDTs depends on several factors. Communication breakdowns, unclear role definitions, and power imbalances can limit collaboration. Without effective leadership and shared objectives, MDTs may become fragmented rather than integrated (Glasby and Dickinson, 2014)</w:t>
      </w:r>
      <w:r w:rsidRPr="00916637">
        <w:rPr>
          <w:rFonts w:ascii="Arial" w:hAnsi="Arial" w:cs="Arial"/>
          <w:sz w:val="22"/>
          <w:szCs w:val="22"/>
        </w:rPr>
        <w:t>.</w:t>
      </w:r>
    </w:p>
    <w:p w14:paraId="4A8DA9EF" w14:textId="090D949B"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 xml:space="preserve"> Policy and Legislation</w:t>
      </w:r>
    </w:p>
    <w:p w14:paraId="1FD9A94F" w14:textId="1F633EF8"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Several UK policies and legislative frameworks support PCC and partnership working.</w:t>
      </w:r>
      <w:r w:rsidRPr="00916637">
        <w:rPr>
          <w:rFonts w:ascii="Arial" w:hAnsi="Arial" w:cs="Arial"/>
          <w:sz w:val="22"/>
          <w:szCs w:val="22"/>
        </w:rPr>
        <w:t xml:space="preserve"> </w:t>
      </w:r>
      <w:r w:rsidRPr="00916637">
        <w:rPr>
          <w:rFonts w:ascii="Arial" w:hAnsi="Arial" w:cs="Arial"/>
          <w:sz w:val="22"/>
          <w:szCs w:val="22"/>
        </w:rPr>
        <w:t xml:space="preserve">The Care Act 2014 emphasises wellbeing, prevention, and person-centred approaches. The Health and Social Care Act 2012 </w:t>
      </w:r>
      <w:proofErr w:type="gramStart"/>
      <w:r w:rsidRPr="00916637">
        <w:rPr>
          <w:rFonts w:ascii="Arial" w:hAnsi="Arial" w:cs="Arial"/>
          <w:sz w:val="22"/>
          <w:szCs w:val="22"/>
        </w:rPr>
        <w:t>promotes</w:t>
      </w:r>
      <w:proofErr w:type="gramEnd"/>
      <w:r w:rsidRPr="00916637">
        <w:rPr>
          <w:rFonts w:ascii="Arial" w:hAnsi="Arial" w:cs="Arial"/>
          <w:sz w:val="22"/>
          <w:szCs w:val="22"/>
        </w:rPr>
        <w:t xml:space="preserve"> integration and collaboration between services. The NHS Long Term Plan highlights the importance of personalised care and coordinated service delivery. The Mental Capacity Act 2005 supports autonomy by ensuring individuals are involved in decision-making wherever possible.</w:t>
      </w:r>
    </w:p>
    <w:p w14:paraId="7C40F192" w14:textId="77777777" w:rsidR="00916637" w:rsidRPr="00916637" w:rsidRDefault="00916637" w:rsidP="00916637">
      <w:pPr>
        <w:spacing w:line="360" w:lineRule="auto"/>
        <w:rPr>
          <w:rFonts w:ascii="Arial" w:hAnsi="Arial" w:cs="Arial"/>
          <w:sz w:val="22"/>
          <w:szCs w:val="22"/>
        </w:rPr>
      </w:pPr>
    </w:p>
    <w:p w14:paraId="261B2AD2" w14:textId="3D7380A4"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Despite these frameworks, implementation remains inconsistent. Funding constraints, workforce shortages, and increasing demand continue to limit their effectiveness. This highlights the gap between policy intentions and practice realities.</w:t>
      </w:r>
    </w:p>
    <w:p w14:paraId="055C104E" w14:textId="2830BCAD"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Recommendations for Future Developmen</w:t>
      </w:r>
      <w:r w:rsidRPr="00916637">
        <w:rPr>
          <w:rFonts w:ascii="Arial" w:hAnsi="Arial" w:cs="Arial"/>
          <w:b/>
          <w:bCs/>
          <w:sz w:val="22"/>
          <w:szCs w:val="22"/>
        </w:rPr>
        <w:t>ts</w:t>
      </w:r>
    </w:p>
    <w:p w14:paraId="3A249BE1" w14:textId="0AD1094D"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To improve PCC and partnership working, several recommendations can be made.</w:t>
      </w:r>
      <w:r w:rsidRPr="00916637">
        <w:rPr>
          <w:rFonts w:ascii="Arial" w:hAnsi="Arial" w:cs="Arial"/>
          <w:sz w:val="22"/>
          <w:szCs w:val="22"/>
        </w:rPr>
        <w:t xml:space="preserve"> </w:t>
      </w:r>
      <w:r w:rsidRPr="00916637">
        <w:rPr>
          <w:rFonts w:ascii="Arial" w:hAnsi="Arial" w:cs="Arial"/>
          <w:sz w:val="22"/>
          <w:szCs w:val="22"/>
        </w:rPr>
        <w:t>Firstly, increased investment in workforce training is essential to develop communication, cultural competence, and collaborative skills. Secondly, the use of integrated digital systems should be expanded to improve information sharing between organisations.</w:t>
      </w:r>
    </w:p>
    <w:p w14:paraId="37B1D493" w14:textId="105E828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Thirdly, greater emphasis should be placed on co-production, ensuring that service users are actively involved in designing and delivering services. Strong leadership is also required to promote a culture of collaboration and innovation.</w:t>
      </w:r>
    </w:p>
    <w:p w14:paraId="2F3043AD" w14:textId="5A79EB0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However, these recommendations may be limited by financial constraints and resistance to organisational change. Therefore, a strategic and phased approach is necessary</w:t>
      </w:r>
      <w:r w:rsidRPr="00916637">
        <w:rPr>
          <w:rFonts w:ascii="Arial" w:hAnsi="Arial" w:cs="Arial"/>
          <w:sz w:val="22"/>
          <w:szCs w:val="22"/>
        </w:rPr>
        <w:t>.</w:t>
      </w:r>
    </w:p>
    <w:p w14:paraId="51315EC4" w14:textId="422B5E36"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Conclusion</w:t>
      </w:r>
    </w:p>
    <w:p w14:paraId="13658AC4" w14:textId="14CA0E2B"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Person-centred care and partnership working are essential components of modern health and social care practice. They promote holistic, ethical, and effective care by prioritising individual needs and collaborative approaches.</w:t>
      </w:r>
    </w:p>
    <w:p w14:paraId="5E6F17A0" w14:textId="268E453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t>While both offer significant benefits, their implementation is challenged by systemic and organisational barriers. Theoretical models and policy frameworks provide strong support, but there remains a gap between theory and practice.</w:t>
      </w:r>
    </w:p>
    <w:p w14:paraId="66EA37F4" w14:textId="77777777" w:rsidR="00916637" w:rsidRPr="00916637" w:rsidRDefault="00916637" w:rsidP="00916637">
      <w:pPr>
        <w:spacing w:line="360" w:lineRule="auto"/>
        <w:rPr>
          <w:rFonts w:ascii="Arial" w:hAnsi="Arial" w:cs="Arial"/>
          <w:sz w:val="22"/>
          <w:szCs w:val="22"/>
        </w:rPr>
      </w:pPr>
      <w:r w:rsidRPr="00916637">
        <w:rPr>
          <w:rFonts w:ascii="Arial" w:hAnsi="Arial" w:cs="Arial"/>
          <w:sz w:val="22"/>
          <w:szCs w:val="22"/>
        </w:rPr>
        <w:lastRenderedPageBreak/>
        <w:t>Addressing this gap requires investment, cultural change, and improved integration across services. Ultimately, the future of health and social care depends on the successful integration of person-centred and partnership-based approaches.</w:t>
      </w:r>
    </w:p>
    <w:p w14:paraId="42717BE2" w14:textId="77777777" w:rsidR="00916637" w:rsidRPr="00916637" w:rsidRDefault="00916637" w:rsidP="00916637">
      <w:pPr>
        <w:spacing w:line="360" w:lineRule="auto"/>
        <w:rPr>
          <w:rFonts w:ascii="Arial" w:hAnsi="Arial" w:cs="Arial"/>
          <w:sz w:val="22"/>
          <w:szCs w:val="22"/>
        </w:rPr>
      </w:pPr>
    </w:p>
    <w:p w14:paraId="16AA6AB1" w14:textId="77777777" w:rsidR="00916637" w:rsidRPr="00916637" w:rsidRDefault="00916637" w:rsidP="00916637">
      <w:pPr>
        <w:spacing w:line="360" w:lineRule="auto"/>
        <w:rPr>
          <w:rFonts w:ascii="Arial" w:hAnsi="Arial" w:cs="Arial"/>
          <w:sz w:val="22"/>
          <w:szCs w:val="22"/>
        </w:rPr>
      </w:pPr>
    </w:p>
    <w:p w14:paraId="22CBB6C2" w14:textId="77777777" w:rsidR="00916637" w:rsidRPr="00916637" w:rsidRDefault="00916637" w:rsidP="00916637">
      <w:pPr>
        <w:spacing w:line="360" w:lineRule="auto"/>
        <w:rPr>
          <w:rFonts w:ascii="Arial" w:hAnsi="Arial" w:cs="Arial"/>
          <w:sz w:val="22"/>
          <w:szCs w:val="22"/>
        </w:rPr>
      </w:pPr>
    </w:p>
    <w:p w14:paraId="7C2EFBA0" w14:textId="77777777" w:rsidR="00916637" w:rsidRPr="00916637" w:rsidRDefault="00916637" w:rsidP="00916637">
      <w:pPr>
        <w:spacing w:line="360" w:lineRule="auto"/>
        <w:rPr>
          <w:rFonts w:ascii="Arial" w:hAnsi="Arial" w:cs="Arial"/>
          <w:sz w:val="22"/>
          <w:szCs w:val="22"/>
        </w:rPr>
      </w:pPr>
    </w:p>
    <w:p w14:paraId="6AE7610D" w14:textId="345A4F85" w:rsidR="00916637" w:rsidRPr="00916637" w:rsidRDefault="00916637" w:rsidP="00916637">
      <w:pPr>
        <w:spacing w:line="360" w:lineRule="auto"/>
        <w:rPr>
          <w:rFonts w:ascii="Arial" w:hAnsi="Arial" w:cs="Arial"/>
          <w:sz w:val="22"/>
          <w:szCs w:val="22"/>
        </w:rPr>
      </w:pPr>
      <w:r w:rsidRPr="00916637">
        <w:rPr>
          <w:rFonts w:ascii="Arial" w:hAnsi="Arial" w:cs="Arial"/>
          <w:b/>
          <w:bCs/>
          <w:sz w:val="22"/>
          <w:szCs w:val="22"/>
        </w:rPr>
        <w:t>Reference List</w:t>
      </w:r>
    </w:p>
    <w:p w14:paraId="49830F2E" w14:textId="77777777" w:rsidR="00916637" w:rsidRPr="00916637" w:rsidRDefault="00916637" w:rsidP="00916637">
      <w:pPr>
        <w:spacing w:line="360" w:lineRule="auto"/>
        <w:rPr>
          <w:rFonts w:ascii="Arial" w:hAnsi="Arial" w:cs="Arial"/>
          <w:sz w:val="22"/>
          <w:szCs w:val="22"/>
        </w:rPr>
      </w:pPr>
    </w:p>
    <w:p w14:paraId="756D7207" w14:textId="77777777" w:rsidR="00916637" w:rsidRPr="00916637" w:rsidRDefault="00916637" w:rsidP="00916637">
      <w:pPr>
        <w:rPr>
          <w:rFonts w:ascii="Arial" w:hAnsi="Arial" w:cs="Arial"/>
          <w:sz w:val="22"/>
          <w:szCs w:val="22"/>
        </w:rPr>
      </w:pPr>
      <w:r w:rsidRPr="00916637">
        <w:rPr>
          <w:rFonts w:ascii="Arial" w:hAnsi="Arial" w:cs="Arial"/>
          <w:sz w:val="22"/>
          <w:szCs w:val="22"/>
        </w:rPr>
        <w:t xml:space="preserve">Beauchamp, T. and Childress, J. (2019) Principles of Biomedical Ethics. 8th </w:t>
      </w:r>
      <w:proofErr w:type="spellStart"/>
      <w:r w:rsidRPr="00916637">
        <w:rPr>
          <w:rFonts w:ascii="Arial" w:hAnsi="Arial" w:cs="Arial"/>
          <w:sz w:val="22"/>
          <w:szCs w:val="22"/>
        </w:rPr>
        <w:t>edn</w:t>
      </w:r>
      <w:proofErr w:type="spellEnd"/>
      <w:r w:rsidRPr="00916637">
        <w:rPr>
          <w:rFonts w:ascii="Arial" w:hAnsi="Arial" w:cs="Arial"/>
          <w:sz w:val="22"/>
          <w:szCs w:val="22"/>
        </w:rPr>
        <w:t>. Oxford: Oxford University Press.</w:t>
      </w:r>
    </w:p>
    <w:p w14:paraId="02BC7301" w14:textId="77777777" w:rsidR="00916637" w:rsidRPr="00916637" w:rsidRDefault="00916637" w:rsidP="00916637">
      <w:pPr>
        <w:rPr>
          <w:rFonts w:ascii="Arial" w:hAnsi="Arial" w:cs="Arial"/>
          <w:sz w:val="22"/>
          <w:szCs w:val="22"/>
        </w:rPr>
      </w:pPr>
    </w:p>
    <w:p w14:paraId="1294959A" w14:textId="77777777" w:rsidR="00916637" w:rsidRPr="00916637" w:rsidRDefault="00916637" w:rsidP="00916637">
      <w:pPr>
        <w:rPr>
          <w:rFonts w:ascii="Arial" w:hAnsi="Arial" w:cs="Arial"/>
          <w:sz w:val="22"/>
          <w:szCs w:val="22"/>
        </w:rPr>
      </w:pPr>
      <w:r w:rsidRPr="00916637">
        <w:rPr>
          <w:rFonts w:ascii="Arial" w:hAnsi="Arial" w:cs="Arial"/>
          <w:sz w:val="22"/>
          <w:szCs w:val="22"/>
        </w:rPr>
        <w:t>Beresford, P., Croft, S. and Adshead, L. (2016) ‘We don’t see her as a social worker’, British Journal of Social Work, 38(7), pp. 1388–1407. Available at: </w:t>
      </w:r>
      <w:hyperlink r:id="rId4" w:tgtFrame="_blank" w:history="1">
        <w:r w:rsidRPr="00916637">
          <w:rPr>
            <w:rStyle w:val="Hyperlink"/>
            <w:rFonts w:ascii="Arial" w:hAnsi="Arial" w:cs="Arial"/>
            <w:sz w:val="22"/>
            <w:szCs w:val="22"/>
          </w:rPr>
          <w:t>https://academic.oup.com/bjsw/article/38/7/1388/1626646</w:t>
        </w:r>
      </w:hyperlink>
      <w:r w:rsidRPr="00916637">
        <w:rPr>
          <w:rFonts w:ascii="Arial" w:hAnsi="Arial" w:cs="Arial"/>
          <w:sz w:val="22"/>
          <w:szCs w:val="22"/>
        </w:rPr>
        <w:t> (Accessed: 9 April 2026).</w:t>
      </w:r>
    </w:p>
    <w:p w14:paraId="693BFD2D" w14:textId="77777777" w:rsidR="00916637" w:rsidRPr="00916637" w:rsidRDefault="00916637" w:rsidP="00916637">
      <w:pPr>
        <w:rPr>
          <w:rFonts w:ascii="Arial" w:hAnsi="Arial" w:cs="Arial"/>
          <w:sz w:val="22"/>
          <w:szCs w:val="22"/>
        </w:rPr>
      </w:pPr>
    </w:p>
    <w:p w14:paraId="3D6C9C16" w14:textId="77777777" w:rsidR="00916637" w:rsidRPr="00916637" w:rsidRDefault="00916637" w:rsidP="00916637">
      <w:pPr>
        <w:rPr>
          <w:rFonts w:ascii="Arial" w:hAnsi="Arial" w:cs="Arial"/>
          <w:sz w:val="22"/>
          <w:szCs w:val="22"/>
        </w:rPr>
      </w:pPr>
      <w:r w:rsidRPr="00916637">
        <w:rPr>
          <w:rFonts w:ascii="Arial" w:hAnsi="Arial" w:cs="Arial"/>
          <w:sz w:val="22"/>
          <w:szCs w:val="22"/>
        </w:rPr>
        <w:t>Brooker, D. (2007) Person-Centred Dementia Care. London: Jessica Kingsley Publishers.</w:t>
      </w:r>
    </w:p>
    <w:p w14:paraId="0AACD1AF" w14:textId="77777777" w:rsidR="00916637" w:rsidRPr="00916637" w:rsidRDefault="00916637" w:rsidP="00916637">
      <w:pPr>
        <w:rPr>
          <w:rFonts w:ascii="Arial" w:hAnsi="Arial" w:cs="Arial"/>
          <w:sz w:val="22"/>
          <w:szCs w:val="22"/>
        </w:rPr>
      </w:pPr>
    </w:p>
    <w:p w14:paraId="22F4EA50" w14:textId="77777777" w:rsidR="00916637" w:rsidRPr="00916637" w:rsidRDefault="00916637" w:rsidP="00916637">
      <w:pPr>
        <w:rPr>
          <w:rFonts w:ascii="Arial" w:hAnsi="Arial" w:cs="Arial"/>
          <w:sz w:val="22"/>
          <w:szCs w:val="22"/>
        </w:rPr>
      </w:pPr>
      <w:r w:rsidRPr="00916637">
        <w:rPr>
          <w:rFonts w:ascii="Arial" w:hAnsi="Arial" w:cs="Arial"/>
          <w:sz w:val="22"/>
          <w:szCs w:val="22"/>
        </w:rPr>
        <w:t>Department of Health (2005) Mental Capacity Act 2005. Available at: </w:t>
      </w:r>
      <w:hyperlink r:id="rId5" w:tgtFrame="_blank" w:history="1">
        <w:r w:rsidRPr="00916637">
          <w:rPr>
            <w:rStyle w:val="Hyperlink"/>
            <w:rFonts w:ascii="Arial" w:hAnsi="Arial" w:cs="Arial"/>
            <w:sz w:val="22"/>
            <w:szCs w:val="22"/>
          </w:rPr>
          <w:t>https://www.legislation.gov.uk/ukpga/2005/9/contents</w:t>
        </w:r>
      </w:hyperlink>
      <w:r w:rsidRPr="00916637">
        <w:rPr>
          <w:rFonts w:ascii="Arial" w:hAnsi="Arial" w:cs="Arial"/>
          <w:sz w:val="22"/>
          <w:szCs w:val="22"/>
        </w:rPr>
        <w:t> (Accessed: 9 April 2026).</w:t>
      </w:r>
    </w:p>
    <w:p w14:paraId="28CDBA55" w14:textId="77777777" w:rsidR="00916637" w:rsidRPr="00916637" w:rsidRDefault="00916637" w:rsidP="00916637">
      <w:pPr>
        <w:rPr>
          <w:rFonts w:ascii="Arial" w:hAnsi="Arial" w:cs="Arial"/>
          <w:sz w:val="22"/>
          <w:szCs w:val="22"/>
        </w:rPr>
      </w:pPr>
    </w:p>
    <w:p w14:paraId="77721C5A" w14:textId="77777777" w:rsidR="00916637" w:rsidRPr="00916637" w:rsidRDefault="00916637" w:rsidP="00916637">
      <w:pPr>
        <w:rPr>
          <w:rFonts w:ascii="Arial" w:hAnsi="Arial" w:cs="Arial"/>
          <w:sz w:val="22"/>
          <w:szCs w:val="22"/>
        </w:rPr>
      </w:pPr>
      <w:r w:rsidRPr="00916637">
        <w:rPr>
          <w:rFonts w:ascii="Arial" w:hAnsi="Arial" w:cs="Arial"/>
          <w:sz w:val="22"/>
          <w:szCs w:val="22"/>
        </w:rPr>
        <w:t>Doyle, C., Lennox, L. and Bell, D. (2013) ‘A systematic review of evidence on the links between patient experience and clinical safety and effectiveness’, BMJ Open, 3(1). Available at: </w:t>
      </w:r>
      <w:hyperlink r:id="rId6" w:tgtFrame="_blank" w:history="1">
        <w:r w:rsidRPr="00916637">
          <w:rPr>
            <w:rStyle w:val="Hyperlink"/>
            <w:rFonts w:ascii="Arial" w:hAnsi="Arial" w:cs="Arial"/>
            <w:sz w:val="22"/>
            <w:szCs w:val="22"/>
          </w:rPr>
          <w:t>https://bmjopen.bmj.com/content/3/1/e001570</w:t>
        </w:r>
      </w:hyperlink>
      <w:r w:rsidRPr="00916637">
        <w:rPr>
          <w:rFonts w:ascii="Arial" w:hAnsi="Arial" w:cs="Arial"/>
          <w:sz w:val="22"/>
          <w:szCs w:val="22"/>
        </w:rPr>
        <w:t> (Accessed: 9 April 2026).</w:t>
      </w:r>
    </w:p>
    <w:p w14:paraId="6FB6A1DA" w14:textId="77777777" w:rsidR="00916637" w:rsidRPr="00916637" w:rsidRDefault="00916637" w:rsidP="00916637">
      <w:pPr>
        <w:rPr>
          <w:rFonts w:ascii="Arial" w:hAnsi="Arial" w:cs="Arial"/>
          <w:sz w:val="22"/>
          <w:szCs w:val="22"/>
        </w:rPr>
      </w:pPr>
    </w:p>
    <w:p w14:paraId="4C6C1D75" w14:textId="77777777" w:rsidR="00916637" w:rsidRPr="00916637" w:rsidRDefault="00916637" w:rsidP="00916637">
      <w:pPr>
        <w:rPr>
          <w:rFonts w:ascii="Arial" w:hAnsi="Arial" w:cs="Arial"/>
          <w:sz w:val="22"/>
          <w:szCs w:val="22"/>
        </w:rPr>
      </w:pPr>
      <w:r w:rsidRPr="00916637">
        <w:rPr>
          <w:rFonts w:ascii="Arial" w:hAnsi="Arial" w:cs="Arial"/>
          <w:sz w:val="22"/>
          <w:szCs w:val="22"/>
        </w:rPr>
        <w:t>Edvardsson, D., Winblad, B. and Sandman, P. (2010) ‘Person-centred care of people with severe Alzheimer’s disease’, The Lancet Neurology, 7(4), pp. 362–367. Available at: </w:t>
      </w:r>
      <w:hyperlink r:id="rId7" w:tgtFrame="_blank" w:history="1">
        <w:r w:rsidRPr="00916637">
          <w:rPr>
            <w:rStyle w:val="Hyperlink"/>
            <w:rFonts w:ascii="Arial" w:hAnsi="Arial" w:cs="Arial"/>
            <w:sz w:val="22"/>
            <w:szCs w:val="22"/>
          </w:rPr>
          <w:t>https://www.thelancet.com/journals/laneur/article/PIIS1474-4422(08)70063-2/fulltext</w:t>
        </w:r>
      </w:hyperlink>
      <w:r w:rsidRPr="00916637">
        <w:rPr>
          <w:rFonts w:ascii="Arial" w:hAnsi="Arial" w:cs="Arial"/>
          <w:sz w:val="22"/>
          <w:szCs w:val="22"/>
        </w:rPr>
        <w:t> (Accessed: 9 April 2026).</w:t>
      </w:r>
    </w:p>
    <w:p w14:paraId="6AB2F5AE" w14:textId="77777777" w:rsidR="00916637" w:rsidRPr="00916637" w:rsidRDefault="00916637" w:rsidP="00916637">
      <w:pPr>
        <w:rPr>
          <w:rFonts w:ascii="Arial" w:hAnsi="Arial" w:cs="Arial"/>
          <w:sz w:val="22"/>
          <w:szCs w:val="22"/>
        </w:rPr>
      </w:pPr>
    </w:p>
    <w:p w14:paraId="6E880ECB" w14:textId="77777777" w:rsidR="00916637" w:rsidRPr="00916637" w:rsidRDefault="00916637" w:rsidP="00916637">
      <w:pPr>
        <w:rPr>
          <w:rFonts w:ascii="Arial" w:hAnsi="Arial" w:cs="Arial"/>
          <w:sz w:val="22"/>
          <w:szCs w:val="22"/>
        </w:rPr>
      </w:pPr>
      <w:r w:rsidRPr="00916637">
        <w:rPr>
          <w:rFonts w:ascii="Arial" w:hAnsi="Arial" w:cs="Arial"/>
          <w:sz w:val="22"/>
          <w:szCs w:val="22"/>
        </w:rPr>
        <w:t>Glasby, J. and Dickinson, H. (2014) Partnership Working in Health and Social Care. Bristol: Policy Press.</w:t>
      </w:r>
    </w:p>
    <w:p w14:paraId="74AC61E0" w14:textId="77777777" w:rsidR="00916637" w:rsidRPr="00916637" w:rsidRDefault="00916637" w:rsidP="00916637">
      <w:pPr>
        <w:rPr>
          <w:rFonts w:ascii="Arial" w:hAnsi="Arial" w:cs="Arial"/>
          <w:sz w:val="22"/>
          <w:szCs w:val="22"/>
        </w:rPr>
      </w:pPr>
    </w:p>
    <w:p w14:paraId="1433D061" w14:textId="77777777" w:rsidR="00916637" w:rsidRPr="00916637" w:rsidRDefault="00916637" w:rsidP="00916637">
      <w:pPr>
        <w:rPr>
          <w:rFonts w:ascii="Arial" w:hAnsi="Arial" w:cs="Arial"/>
          <w:sz w:val="22"/>
          <w:szCs w:val="22"/>
        </w:rPr>
      </w:pPr>
      <w:r w:rsidRPr="00916637">
        <w:rPr>
          <w:rFonts w:ascii="Arial" w:hAnsi="Arial" w:cs="Arial"/>
          <w:sz w:val="22"/>
          <w:szCs w:val="22"/>
        </w:rPr>
        <w:lastRenderedPageBreak/>
        <w:t>Health Foundation (2016) Person-centred care made simple. Available at: </w:t>
      </w:r>
      <w:hyperlink r:id="rId8" w:tgtFrame="_blank" w:history="1">
        <w:r w:rsidRPr="00916637">
          <w:rPr>
            <w:rStyle w:val="Hyperlink"/>
            <w:rFonts w:ascii="Arial" w:hAnsi="Arial" w:cs="Arial"/>
            <w:sz w:val="22"/>
            <w:szCs w:val="22"/>
          </w:rPr>
          <w:t>https://www.health.org.uk/publications/person-centred-care-made-simple</w:t>
        </w:r>
      </w:hyperlink>
      <w:r w:rsidRPr="00916637">
        <w:rPr>
          <w:rFonts w:ascii="Arial" w:hAnsi="Arial" w:cs="Arial"/>
          <w:sz w:val="22"/>
          <w:szCs w:val="22"/>
        </w:rPr>
        <w:t> (Accessed: 9 April 2026).</w:t>
      </w:r>
    </w:p>
    <w:p w14:paraId="22CDD269" w14:textId="77777777" w:rsidR="00916637" w:rsidRPr="00916637" w:rsidRDefault="00916637" w:rsidP="00916637">
      <w:pPr>
        <w:rPr>
          <w:rFonts w:ascii="Arial" w:hAnsi="Arial" w:cs="Arial"/>
          <w:sz w:val="22"/>
          <w:szCs w:val="22"/>
        </w:rPr>
      </w:pPr>
    </w:p>
    <w:p w14:paraId="4D0DD053" w14:textId="77777777" w:rsidR="00916637" w:rsidRPr="00916637" w:rsidRDefault="00916637" w:rsidP="00916637">
      <w:pPr>
        <w:rPr>
          <w:rFonts w:ascii="Arial" w:hAnsi="Arial" w:cs="Arial"/>
          <w:sz w:val="22"/>
          <w:szCs w:val="22"/>
        </w:rPr>
      </w:pPr>
      <w:proofErr w:type="spellStart"/>
      <w:r w:rsidRPr="00916637">
        <w:rPr>
          <w:rFonts w:ascii="Arial" w:hAnsi="Arial" w:cs="Arial"/>
          <w:sz w:val="22"/>
          <w:szCs w:val="22"/>
        </w:rPr>
        <w:t>Kitwood</w:t>
      </w:r>
      <w:proofErr w:type="spellEnd"/>
      <w:r w:rsidRPr="00916637">
        <w:rPr>
          <w:rFonts w:ascii="Arial" w:hAnsi="Arial" w:cs="Arial"/>
          <w:sz w:val="22"/>
          <w:szCs w:val="22"/>
        </w:rPr>
        <w:t>, T. (1997) Dementia Reconsidered: The Person Comes First. Buckingham: Open University Press.</w:t>
      </w:r>
    </w:p>
    <w:p w14:paraId="25FDD340" w14:textId="77777777" w:rsidR="00916637" w:rsidRPr="00916637" w:rsidRDefault="00916637" w:rsidP="00916637">
      <w:pPr>
        <w:rPr>
          <w:rFonts w:ascii="Arial" w:hAnsi="Arial" w:cs="Arial"/>
          <w:sz w:val="22"/>
          <w:szCs w:val="22"/>
        </w:rPr>
      </w:pPr>
    </w:p>
    <w:p w14:paraId="159E0296" w14:textId="77777777" w:rsidR="00916637" w:rsidRPr="00916637" w:rsidRDefault="00916637" w:rsidP="00916637">
      <w:pPr>
        <w:rPr>
          <w:rFonts w:ascii="Arial" w:hAnsi="Arial" w:cs="Arial"/>
          <w:sz w:val="22"/>
          <w:szCs w:val="22"/>
        </w:rPr>
      </w:pPr>
      <w:r w:rsidRPr="00916637">
        <w:rPr>
          <w:rFonts w:ascii="Arial" w:hAnsi="Arial" w:cs="Arial"/>
          <w:sz w:val="22"/>
          <w:szCs w:val="22"/>
        </w:rPr>
        <w:t xml:space="preserve">McCormack, B. and McCance, T. (2017) Person-Centred Practice in Nursing and Health Care. 2nd </w:t>
      </w:r>
      <w:proofErr w:type="spellStart"/>
      <w:r w:rsidRPr="00916637">
        <w:rPr>
          <w:rFonts w:ascii="Arial" w:hAnsi="Arial" w:cs="Arial"/>
          <w:sz w:val="22"/>
          <w:szCs w:val="22"/>
        </w:rPr>
        <w:t>edn</w:t>
      </w:r>
      <w:proofErr w:type="spellEnd"/>
      <w:r w:rsidRPr="00916637">
        <w:rPr>
          <w:rFonts w:ascii="Arial" w:hAnsi="Arial" w:cs="Arial"/>
          <w:sz w:val="22"/>
          <w:szCs w:val="22"/>
        </w:rPr>
        <w:t>. Oxford: Wiley Blackwell.</w:t>
      </w:r>
    </w:p>
    <w:p w14:paraId="69D60124" w14:textId="77777777" w:rsidR="00916637" w:rsidRPr="00916637" w:rsidRDefault="00916637" w:rsidP="00916637">
      <w:pPr>
        <w:rPr>
          <w:rFonts w:ascii="Arial" w:hAnsi="Arial" w:cs="Arial"/>
          <w:sz w:val="22"/>
          <w:szCs w:val="22"/>
        </w:rPr>
      </w:pPr>
    </w:p>
    <w:p w14:paraId="51F6BB50" w14:textId="77777777" w:rsidR="00916637" w:rsidRPr="00916637" w:rsidRDefault="00916637" w:rsidP="00916637">
      <w:pPr>
        <w:rPr>
          <w:rFonts w:ascii="Arial" w:hAnsi="Arial" w:cs="Arial"/>
          <w:sz w:val="22"/>
          <w:szCs w:val="22"/>
        </w:rPr>
      </w:pPr>
      <w:r w:rsidRPr="00916637">
        <w:rPr>
          <w:rFonts w:ascii="Arial" w:hAnsi="Arial" w:cs="Arial"/>
          <w:sz w:val="22"/>
          <w:szCs w:val="22"/>
        </w:rPr>
        <w:t>NHS England (2019) The NHS Long Term Plan. Available at: </w:t>
      </w:r>
      <w:hyperlink r:id="rId9" w:tgtFrame="_blank" w:history="1">
        <w:r w:rsidRPr="00916637">
          <w:rPr>
            <w:rStyle w:val="Hyperlink"/>
            <w:rFonts w:ascii="Arial" w:hAnsi="Arial" w:cs="Arial"/>
            <w:sz w:val="22"/>
            <w:szCs w:val="22"/>
          </w:rPr>
          <w:t>https://www.longtermplan.nhs.uk/publication/nhs-long-term-plan/</w:t>
        </w:r>
      </w:hyperlink>
      <w:r w:rsidRPr="00916637">
        <w:rPr>
          <w:rFonts w:ascii="Arial" w:hAnsi="Arial" w:cs="Arial"/>
          <w:sz w:val="22"/>
          <w:szCs w:val="22"/>
        </w:rPr>
        <w:t> (Accessed: 9 April 2026).</w:t>
      </w:r>
    </w:p>
    <w:p w14:paraId="017CC1DC" w14:textId="77777777" w:rsidR="00916637" w:rsidRPr="00916637" w:rsidRDefault="00916637" w:rsidP="00916637">
      <w:pPr>
        <w:rPr>
          <w:rFonts w:ascii="Arial" w:hAnsi="Arial" w:cs="Arial"/>
          <w:sz w:val="22"/>
          <w:szCs w:val="22"/>
        </w:rPr>
      </w:pPr>
    </w:p>
    <w:p w14:paraId="2A25C793" w14:textId="77777777" w:rsidR="00916637" w:rsidRPr="00916637" w:rsidRDefault="00916637" w:rsidP="00916637">
      <w:pPr>
        <w:rPr>
          <w:rFonts w:ascii="Arial" w:hAnsi="Arial" w:cs="Arial"/>
          <w:sz w:val="22"/>
          <w:szCs w:val="22"/>
        </w:rPr>
      </w:pPr>
      <w:r w:rsidRPr="00916637">
        <w:rPr>
          <w:rFonts w:ascii="Arial" w:hAnsi="Arial" w:cs="Arial"/>
          <w:sz w:val="22"/>
          <w:szCs w:val="22"/>
        </w:rPr>
        <w:t>Papadopoulos, I. (2018) Culturally Competent Compassion. London: Routledge.</w:t>
      </w:r>
    </w:p>
    <w:p w14:paraId="06662427" w14:textId="77777777" w:rsidR="00916637" w:rsidRPr="00916637" w:rsidRDefault="00916637" w:rsidP="00916637">
      <w:pPr>
        <w:rPr>
          <w:rFonts w:ascii="Arial" w:hAnsi="Arial" w:cs="Arial"/>
          <w:sz w:val="22"/>
          <w:szCs w:val="22"/>
        </w:rPr>
      </w:pPr>
    </w:p>
    <w:p w14:paraId="1785B1AB" w14:textId="77777777" w:rsidR="00916637" w:rsidRPr="00916637" w:rsidRDefault="00916637" w:rsidP="00916637">
      <w:pPr>
        <w:rPr>
          <w:rFonts w:ascii="Arial" w:hAnsi="Arial" w:cs="Arial"/>
          <w:sz w:val="22"/>
          <w:szCs w:val="22"/>
        </w:rPr>
      </w:pPr>
      <w:r w:rsidRPr="00916637">
        <w:rPr>
          <w:rFonts w:ascii="Arial" w:hAnsi="Arial" w:cs="Arial"/>
          <w:sz w:val="22"/>
          <w:szCs w:val="22"/>
        </w:rPr>
        <w:t xml:space="preserve">Reeves, S., </w:t>
      </w:r>
      <w:proofErr w:type="spellStart"/>
      <w:r w:rsidRPr="00916637">
        <w:rPr>
          <w:rFonts w:ascii="Arial" w:hAnsi="Arial" w:cs="Arial"/>
          <w:sz w:val="22"/>
          <w:szCs w:val="22"/>
        </w:rPr>
        <w:t>Pelone</w:t>
      </w:r>
      <w:proofErr w:type="spellEnd"/>
      <w:r w:rsidRPr="00916637">
        <w:rPr>
          <w:rFonts w:ascii="Arial" w:hAnsi="Arial" w:cs="Arial"/>
          <w:sz w:val="22"/>
          <w:szCs w:val="22"/>
        </w:rPr>
        <w:t xml:space="preserve">, F., Harrison, R., Goldman, J. and </w:t>
      </w:r>
      <w:proofErr w:type="spellStart"/>
      <w:r w:rsidRPr="00916637">
        <w:rPr>
          <w:rFonts w:ascii="Arial" w:hAnsi="Arial" w:cs="Arial"/>
          <w:sz w:val="22"/>
          <w:szCs w:val="22"/>
        </w:rPr>
        <w:t>Zwarenstein</w:t>
      </w:r>
      <w:proofErr w:type="spellEnd"/>
      <w:r w:rsidRPr="00916637">
        <w:rPr>
          <w:rFonts w:ascii="Arial" w:hAnsi="Arial" w:cs="Arial"/>
          <w:sz w:val="22"/>
          <w:szCs w:val="22"/>
        </w:rPr>
        <w:t>, M. (2017) ‘Interprofessional collaboration to improve professional practice and healthcare outcomes’, Cochrane Database of Systematic Reviews. Available at: </w:t>
      </w:r>
      <w:hyperlink r:id="rId10" w:tgtFrame="_blank" w:history="1">
        <w:r w:rsidRPr="00916637">
          <w:rPr>
            <w:rStyle w:val="Hyperlink"/>
            <w:rFonts w:ascii="Arial" w:hAnsi="Arial" w:cs="Arial"/>
            <w:sz w:val="22"/>
            <w:szCs w:val="22"/>
          </w:rPr>
          <w:t>https://www.cochranelibrary.com/cdsr/doi/10.1002/14651858.CD000072.pub3/full</w:t>
        </w:r>
      </w:hyperlink>
      <w:r w:rsidRPr="00916637">
        <w:rPr>
          <w:rFonts w:ascii="Arial" w:hAnsi="Arial" w:cs="Arial"/>
          <w:sz w:val="22"/>
          <w:szCs w:val="22"/>
        </w:rPr>
        <w:t> (Accessed: 9 April 2026).</w:t>
      </w:r>
    </w:p>
    <w:p w14:paraId="7EFD9F82" w14:textId="77777777" w:rsidR="00916637" w:rsidRPr="00916637" w:rsidRDefault="00916637" w:rsidP="00916637">
      <w:pPr>
        <w:rPr>
          <w:rFonts w:ascii="Arial" w:hAnsi="Arial" w:cs="Arial"/>
          <w:sz w:val="22"/>
          <w:szCs w:val="22"/>
        </w:rPr>
      </w:pPr>
    </w:p>
    <w:p w14:paraId="62DD3121" w14:textId="77777777" w:rsidR="00916637" w:rsidRPr="00916637" w:rsidRDefault="00916637" w:rsidP="00916637">
      <w:pPr>
        <w:rPr>
          <w:rFonts w:ascii="Arial" w:hAnsi="Arial" w:cs="Arial"/>
          <w:sz w:val="22"/>
          <w:szCs w:val="22"/>
        </w:rPr>
      </w:pPr>
      <w:r w:rsidRPr="00916637">
        <w:rPr>
          <w:rFonts w:ascii="Arial" w:hAnsi="Arial" w:cs="Arial"/>
          <w:sz w:val="22"/>
          <w:szCs w:val="22"/>
        </w:rPr>
        <w:t>Rogers, C. (1961) On Becoming a Person. Boston: Houghton Mifflin.</w:t>
      </w:r>
    </w:p>
    <w:p w14:paraId="5AB29AA0" w14:textId="77777777" w:rsidR="00916637" w:rsidRPr="00916637" w:rsidRDefault="00916637" w:rsidP="00916637">
      <w:pPr>
        <w:rPr>
          <w:rFonts w:ascii="Arial" w:hAnsi="Arial" w:cs="Arial"/>
          <w:sz w:val="22"/>
          <w:szCs w:val="22"/>
        </w:rPr>
      </w:pPr>
    </w:p>
    <w:p w14:paraId="10E2CB96" w14:textId="77777777" w:rsidR="00916637" w:rsidRPr="00916637" w:rsidRDefault="00916637" w:rsidP="00916637">
      <w:pPr>
        <w:rPr>
          <w:rFonts w:ascii="Arial" w:hAnsi="Arial" w:cs="Arial"/>
          <w:sz w:val="22"/>
          <w:szCs w:val="22"/>
        </w:rPr>
      </w:pPr>
      <w:r w:rsidRPr="00916637">
        <w:rPr>
          <w:rFonts w:ascii="Arial" w:hAnsi="Arial" w:cs="Arial"/>
          <w:sz w:val="22"/>
          <w:szCs w:val="22"/>
        </w:rPr>
        <w:t xml:space="preserve">Tingle, J. and Cribb, A. (2014) Nursing Law and Ethics. 4th </w:t>
      </w:r>
      <w:proofErr w:type="spellStart"/>
      <w:r w:rsidRPr="00916637">
        <w:rPr>
          <w:rFonts w:ascii="Arial" w:hAnsi="Arial" w:cs="Arial"/>
          <w:sz w:val="22"/>
          <w:szCs w:val="22"/>
        </w:rPr>
        <w:t>edn</w:t>
      </w:r>
      <w:proofErr w:type="spellEnd"/>
      <w:r w:rsidRPr="00916637">
        <w:rPr>
          <w:rFonts w:ascii="Arial" w:hAnsi="Arial" w:cs="Arial"/>
          <w:sz w:val="22"/>
          <w:szCs w:val="22"/>
        </w:rPr>
        <w:t>. Oxford: Wiley Blackwell.</w:t>
      </w:r>
    </w:p>
    <w:p w14:paraId="67A8FCB3" w14:textId="77777777" w:rsidR="00916637" w:rsidRPr="00916637" w:rsidRDefault="00916637" w:rsidP="00916637">
      <w:pPr>
        <w:rPr>
          <w:rFonts w:ascii="Arial" w:hAnsi="Arial" w:cs="Arial"/>
          <w:sz w:val="22"/>
          <w:szCs w:val="22"/>
        </w:rPr>
      </w:pPr>
    </w:p>
    <w:p w14:paraId="58F35C9B" w14:textId="77777777" w:rsidR="00916637" w:rsidRPr="00916637" w:rsidRDefault="00916637" w:rsidP="00916637">
      <w:pPr>
        <w:rPr>
          <w:rFonts w:ascii="Arial" w:hAnsi="Arial" w:cs="Arial"/>
          <w:sz w:val="22"/>
          <w:szCs w:val="22"/>
        </w:rPr>
      </w:pPr>
      <w:r w:rsidRPr="00916637">
        <w:rPr>
          <w:rFonts w:ascii="Arial" w:hAnsi="Arial" w:cs="Arial"/>
          <w:sz w:val="22"/>
          <w:szCs w:val="22"/>
        </w:rPr>
        <w:t>UK Government (2012) Health and Social Care Act 2012. Available at: </w:t>
      </w:r>
      <w:hyperlink r:id="rId11" w:tgtFrame="_blank" w:history="1">
        <w:r w:rsidRPr="00916637">
          <w:rPr>
            <w:rStyle w:val="Hyperlink"/>
            <w:rFonts w:ascii="Arial" w:hAnsi="Arial" w:cs="Arial"/>
            <w:sz w:val="22"/>
            <w:szCs w:val="22"/>
          </w:rPr>
          <w:t>https://www.legislation.gov.uk/ukpga/2012/7/contents</w:t>
        </w:r>
      </w:hyperlink>
      <w:r w:rsidRPr="00916637">
        <w:rPr>
          <w:rFonts w:ascii="Arial" w:hAnsi="Arial" w:cs="Arial"/>
          <w:sz w:val="22"/>
          <w:szCs w:val="22"/>
        </w:rPr>
        <w:t> (Accessed: 9 April 2026).</w:t>
      </w:r>
    </w:p>
    <w:p w14:paraId="0B3490A3" w14:textId="77777777" w:rsidR="00916637" w:rsidRPr="00916637" w:rsidRDefault="00916637" w:rsidP="00916637">
      <w:pPr>
        <w:rPr>
          <w:rFonts w:ascii="Arial" w:hAnsi="Arial" w:cs="Arial"/>
          <w:sz w:val="22"/>
          <w:szCs w:val="22"/>
        </w:rPr>
      </w:pPr>
    </w:p>
    <w:p w14:paraId="7A9D6706" w14:textId="77777777" w:rsidR="00916637" w:rsidRPr="00916637" w:rsidRDefault="00916637" w:rsidP="00916637">
      <w:pPr>
        <w:rPr>
          <w:rFonts w:ascii="Arial" w:hAnsi="Arial" w:cs="Arial"/>
          <w:sz w:val="22"/>
          <w:szCs w:val="22"/>
        </w:rPr>
      </w:pPr>
      <w:r w:rsidRPr="00916637">
        <w:rPr>
          <w:rFonts w:ascii="Arial" w:hAnsi="Arial" w:cs="Arial"/>
          <w:sz w:val="22"/>
          <w:szCs w:val="22"/>
        </w:rPr>
        <w:t>UK Government (2014) Care Act 2014. Available at: </w:t>
      </w:r>
      <w:hyperlink r:id="rId12" w:tgtFrame="_blank" w:history="1">
        <w:r w:rsidRPr="00916637">
          <w:rPr>
            <w:rStyle w:val="Hyperlink"/>
            <w:rFonts w:ascii="Arial" w:hAnsi="Arial" w:cs="Arial"/>
            <w:sz w:val="22"/>
            <w:szCs w:val="22"/>
          </w:rPr>
          <w:t>https://www.legislation.gov.uk/ukpga/2014/23/contents</w:t>
        </w:r>
      </w:hyperlink>
      <w:r w:rsidRPr="00916637">
        <w:rPr>
          <w:rFonts w:ascii="Arial" w:hAnsi="Arial" w:cs="Arial"/>
          <w:sz w:val="22"/>
          <w:szCs w:val="22"/>
        </w:rPr>
        <w:t> (Accessed: 9 April 2026).</w:t>
      </w:r>
    </w:p>
    <w:p w14:paraId="278B206F" w14:textId="77777777" w:rsidR="00EC7F9A" w:rsidRDefault="00EC7F9A"/>
    <w:sectPr w:rsidR="00EC7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637"/>
    <w:rsid w:val="0008538A"/>
    <w:rsid w:val="005B6944"/>
    <w:rsid w:val="00916637"/>
    <w:rsid w:val="00EC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30D24"/>
  <w15:chartTrackingRefBased/>
  <w15:docId w15:val="{A5400AEA-6A86-4CE8-A9C7-101C3B56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6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66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66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66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6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6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6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6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6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6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6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6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6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6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6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6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6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637"/>
    <w:rPr>
      <w:rFonts w:eastAsiaTheme="majorEastAsia" w:cstheme="majorBidi"/>
      <w:color w:val="272727" w:themeColor="text1" w:themeTint="D8"/>
    </w:rPr>
  </w:style>
  <w:style w:type="paragraph" w:styleId="Title">
    <w:name w:val="Title"/>
    <w:basedOn w:val="Normal"/>
    <w:next w:val="Normal"/>
    <w:link w:val="TitleChar"/>
    <w:uiPriority w:val="10"/>
    <w:qFormat/>
    <w:rsid w:val="009166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6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6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6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637"/>
    <w:pPr>
      <w:spacing w:before="160"/>
      <w:jc w:val="center"/>
    </w:pPr>
    <w:rPr>
      <w:i/>
      <w:iCs/>
      <w:color w:val="404040" w:themeColor="text1" w:themeTint="BF"/>
    </w:rPr>
  </w:style>
  <w:style w:type="character" w:customStyle="1" w:styleId="QuoteChar">
    <w:name w:val="Quote Char"/>
    <w:basedOn w:val="DefaultParagraphFont"/>
    <w:link w:val="Quote"/>
    <w:uiPriority w:val="29"/>
    <w:rsid w:val="00916637"/>
    <w:rPr>
      <w:i/>
      <w:iCs/>
      <w:color w:val="404040" w:themeColor="text1" w:themeTint="BF"/>
    </w:rPr>
  </w:style>
  <w:style w:type="paragraph" w:styleId="ListParagraph">
    <w:name w:val="List Paragraph"/>
    <w:basedOn w:val="Normal"/>
    <w:uiPriority w:val="34"/>
    <w:qFormat/>
    <w:rsid w:val="00916637"/>
    <w:pPr>
      <w:ind w:left="720"/>
      <w:contextualSpacing/>
    </w:pPr>
  </w:style>
  <w:style w:type="character" w:styleId="IntenseEmphasis">
    <w:name w:val="Intense Emphasis"/>
    <w:basedOn w:val="DefaultParagraphFont"/>
    <w:uiPriority w:val="21"/>
    <w:qFormat/>
    <w:rsid w:val="00916637"/>
    <w:rPr>
      <w:i/>
      <w:iCs/>
      <w:color w:val="0F4761" w:themeColor="accent1" w:themeShade="BF"/>
    </w:rPr>
  </w:style>
  <w:style w:type="paragraph" w:styleId="IntenseQuote">
    <w:name w:val="Intense Quote"/>
    <w:basedOn w:val="Normal"/>
    <w:next w:val="Normal"/>
    <w:link w:val="IntenseQuoteChar"/>
    <w:uiPriority w:val="30"/>
    <w:qFormat/>
    <w:rsid w:val="009166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637"/>
    <w:rPr>
      <w:i/>
      <w:iCs/>
      <w:color w:val="0F4761" w:themeColor="accent1" w:themeShade="BF"/>
    </w:rPr>
  </w:style>
  <w:style w:type="character" w:styleId="IntenseReference">
    <w:name w:val="Intense Reference"/>
    <w:basedOn w:val="DefaultParagraphFont"/>
    <w:uiPriority w:val="32"/>
    <w:qFormat/>
    <w:rsid w:val="00916637"/>
    <w:rPr>
      <w:b/>
      <w:bCs/>
      <w:smallCaps/>
      <w:color w:val="0F4761" w:themeColor="accent1" w:themeShade="BF"/>
      <w:spacing w:val="5"/>
    </w:rPr>
  </w:style>
  <w:style w:type="character" w:styleId="Hyperlink">
    <w:name w:val="Hyperlink"/>
    <w:basedOn w:val="DefaultParagraphFont"/>
    <w:uiPriority w:val="99"/>
    <w:unhideWhenUsed/>
    <w:rsid w:val="00916637"/>
    <w:rPr>
      <w:color w:val="467886" w:themeColor="hyperlink"/>
      <w:u w:val="single"/>
    </w:rPr>
  </w:style>
  <w:style w:type="character" w:styleId="UnresolvedMention">
    <w:name w:val="Unresolved Mention"/>
    <w:basedOn w:val="DefaultParagraphFont"/>
    <w:uiPriority w:val="99"/>
    <w:semiHidden/>
    <w:unhideWhenUsed/>
    <w:rsid w:val="00916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person-centred-care-made-simpl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lancet.com/journals/laneur/article/PIIS1474-4422(08)70063-2/fulltext" TargetMode="External"/><Relationship Id="rId12" Type="http://schemas.openxmlformats.org/officeDocument/2006/relationships/hyperlink" Target="https://www.legislation.gov.uk/ukpga/2014/23/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jopen.bmj.com/content/3/1/e001570" TargetMode="External"/><Relationship Id="rId11" Type="http://schemas.openxmlformats.org/officeDocument/2006/relationships/hyperlink" Target="https://www.legislation.gov.uk/ukpga/2012/7/contents" TargetMode="External"/><Relationship Id="rId5" Type="http://schemas.openxmlformats.org/officeDocument/2006/relationships/hyperlink" Target="https://www.legislation.gov.uk/ukpga/2005/9/contents" TargetMode="External"/><Relationship Id="rId10" Type="http://schemas.openxmlformats.org/officeDocument/2006/relationships/hyperlink" Target="https://www.cochranelibrary.com/cdsr/doi/10.1002/14651858.CD000072.pub3/full" TargetMode="External"/><Relationship Id="rId4" Type="http://schemas.openxmlformats.org/officeDocument/2006/relationships/hyperlink" Target="https://academic.oup.com/bjsw/article/38/7/1388/1626646" TargetMode="External"/><Relationship Id="rId9" Type="http://schemas.openxmlformats.org/officeDocument/2006/relationships/hyperlink" Target="https://www.longtermplan.nhs.uk/publication/nhs-long-term-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1932</Words>
  <Characters>11013</Characters>
  <Application>Microsoft Office Word</Application>
  <DocSecurity>0</DocSecurity>
  <Lines>91</Lines>
  <Paragraphs>25</Paragraphs>
  <ScaleCrop>false</ScaleCrop>
  <Company/>
  <LinksUpToDate>false</LinksUpToDate>
  <CharactersWithSpaces>12920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Ahmed (2325945)</dc:creator>
  <cp:keywords/>
  <dc:description/>
  <cp:lastModifiedBy>Manal Ahmed (2325945)</cp:lastModifiedBy>
  <cp:revision>1</cp:revision>
  <dcterms:created xsi:type="dcterms:W3CDTF">2026-04-09T12:06:00Z</dcterms:created>
  <dcterms:modified xsi:type="dcterms:W3CDTF">2026-04-09T12:23:00Z</dcterms:modified>
</cp:coreProperties>
</file>