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5186B" w14:textId="77777777" w:rsidR="00CD262C" w:rsidRPr="00BC2155" w:rsidRDefault="00CD262C" w:rsidP="00BF4C53">
      <w:pPr>
        <w:rPr>
          <w:rFonts w:ascii="Arial" w:hAnsi="Arial" w:cs="Arial"/>
          <w:sz w:val="22"/>
        </w:rPr>
      </w:pPr>
    </w:p>
    <w:p w14:paraId="584F8D77" w14:textId="77777777" w:rsidR="00CD262C" w:rsidRPr="00BC2155" w:rsidRDefault="00CD262C" w:rsidP="00BF4C53">
      <w:pPr>
        <w:rPr>
          <w:rFonts w:ascii="Arial" w:hAnsi="Arial" w:cs="Arial"/>
          <w:sz w:val="22"/>
        </w:rPr>
      </w:pPr>
    </w:p>
    <w:p w14:paraId="4A69ED6E" w14:textId="77777777" w:rsidR="00CD262C" w:rsidRPr="00BC2155" w:rsidRDefault="00CD262C" w:rsidP="00BF4C53">
      <w:pPr>
        <w:rPr>
          <w:rFonts w:ascii="Arial" w:hAnsi="Arial" w:cs="Arial"/>
          <w:sz w:val="22"/>
        </w:rPr>
      </w:pPr>
      <w:bookmarkStart w:id="0" w:name="_GoBack"/>
      <w:bookmarkEnd w:id="0"/>
    </w:p>
    <w:tbl>
      <w:tblPr>
        <w:tblStyle w:val="TableGrid"/>
        <w:tblW w:w="0" w:type="auto"/>
        <w:tblLook w:val="04A0" w:firstRow="1" w:lastRow="0" w:firstColumn="1" w:lastColumn="0" w:noHBand="0" w:noVBand="1"/>
      </w:tblPr>
      <w:tblGrid>
        <w:gridCol w:w="9016"/>
      </w:tblGrid>
      <w:tr w:rsidR="00513774" w:rsidRPr="00BC2155" w14:paraId="00B781A4" w14:textId="77777777" w:rsidTr="00513774">
        <w:tc>
          <w:tcPr>
            <w:tcW w:w="9016" w:type="dxa"/>
            <w:tcBorders>
              <w:top w:val="thinThickThinMediumGap" w:sz="36" w:space="0" w:color="4472C4" w:themeColor="accent1"/>
              <w:left w:val="thinThickThinMediumGap" w:sz="36" w:space="0" w:color="4472C4" w:themeColor="accent1"/>
              <w:bottom w:val="thinThickThinMediumGap" w:sz="36" w:space="0" w:color="4472C4" w:themeColor="accent1"/>
              <w:right w:val="thinThickThinMediumGap" w:sz="36" w:space="0" w:color="4472C4" w:themeColor="accent1"/>
            </w:tcBorders>
          </w:tcPr>
          <w:p w14:paraId="33224A75" w14:textId="77777777" w:rsidR="00513774" w:rsidRPr="00BC2155" w:rsidRDefault="00513774" w:rsidP="00BF4C53">
            <w:pPr>
              <w:rPr>
                <w:rFonts w:ascii="Arial" w:hAnsi="Arial" w:cs="Arial"/>
                <w:sz w:val="22"/>
              </w:rPr>
            </w:pPr>
          </w:p>
          <w:p w14:paraId="2DCF6EB9" w14:textId="77777777" w:rsidR="00513774" w:rsidRPr="00BC2155" w:rsidRDefault="00513774" w:rsidP="00BF4C53">
            <w:pPr>
              <w:rPr>
                <w:rFonts w:ascii="Arial" w:hAnsi="Arial" w:cs="Arial"/>
                <w:sz w:val="22"/>
              </w:rPr>
            </w:pPr>
          </w:p>
          <w:p w14:paraId="10EC776A" w14:textId="77777777" w:rsidR="00513774" w:rsidRPr="00BC2155" w:rsidRDefault="00513774" w:rsidP="00513774">
            <w:pPr>
              <w:jc w:val="center"/>
              <w:rPr>
                <w:rFonts w:ascii="Arial" w:hAnsi="Arial" w:cs="Arial"/>
                <w:b/>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2155">
              <w:rPr>
                <w:rFonts w:ascii="Arial" w:hAnsi="Arial" w:cs="Arial"/>
                <w:b/>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People</w:t>
            </w:r>
          </w:p>
          <w:p w14:paraId="5AADCAD7" w14:textId="77777777" w:rsidR="00513774" w:rsidRPr="00BC2155" w:rsidRDefault="00513774" w:rsidP="00513774">
            <w:pPr>
              <w:jc w:val="center"/>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2155">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LCBB5004 </w:t>
            </w:r>
          </w:p>
          <w:p w14:paraId="584B6FD3" w14:textId="77777777" w:rsidR="00513774" w:rsidRDefault="00513774" w:rsidP="00513774">
            <w:pPr>
              <w:jc w:val="center"/>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2155">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Assessment 2</w:t>
            </w:r>
          </w:p>
          <w:p w14:paraId="02780D60" w14:textId="77777777" w:rsidR="00BC2155" w:rsidRPr="00BC2155" w:rsidRDefault="00BC2155" w:rsidP="00BC2155">
            <w:pPr>
              <w:pBdr>
                <w:bottom w:val="single" w:sz="8" w:space="4" w:color="4F81BD"/>
              </w:pBdr>
              <w:spacing w:after="300"/>
              <w:contextualSpacing/>
              <w:jc w:val="center"/>
              <w:rPr>
                <w:rFonts w:ascii="Calibri" w:eastAsia="Times New Roman" w:hAnsi="Calibri" w:cs="Calibri"/>
                <w:b/>
                <w:color w:val="4472C4" w:themeColor="accent1"/>
                <w:spacing w:val="5"/>
                <w:kern w:val="28"/>
                <w:sz w:val="36"/>
                <w:szCs w:val="52"/>
                <w:lang w:val="en-US"/>
              </w:rPr>
            </w:pPr>
            <w:proofErr w:type="spellStart"/>
            <w:r w:rsidRPr="00BC2155">
              <w:rPr>
                <w:rFonts w:ascii="Calibri" w:eastAsia="Times New Roman" w:hAnsi="Calibri" w:cs="Calibri"/>
                <w:b/>
                <w:color w:val="4472C4" w:themeColor="accent1"/>
                <w:spacing w:val="5"/>
                <w:kern w:val="28"/>
                <w:sz w:val="36"/>
                <w:szCs w:val="52"/>
                <w:lang w:val="en-US"/>
              </w:rPr>
              <w:t>Lyubomir</w:t>
            </w:r>
            <w:proofErr w:type="spellEnd"/>
            <w:r w:rsidRPr="00BC2155">
              <w:rPr>
                <w:rFonts w:ascii="Calibri" w:eastAsia="Times New Roman" w:hAnsi="Calibri" w:cs="Calibri"/>
                <w:b/>
                <w:color w:val="4472C4" w:themeColor="accent1"/>
                <w:spacing w:val="5"/>
                <w:kern w:val="28"/>
                <w:sz w:val="36"/>
                <w:szCs w:val="52"/>
                <w:lang w:val="en-US"/>
              </w:rPr>
              <w:t xml:space="preserve"> </w:t>
            </w:r>
            <w:proofErr w:type="spellStart"/>
            <w:r w:rsidRPr="00BC2155">
              <w:rPr>
                <w:rFonts w:ascii="Calibri" w:eastAsia="Times New Roman" w:hAnsi="Calibri" w:cs="Calibri"/>
                <w:b/>
                <w:color w:val="4472C4" w:themeColor="accent1"/>
                <w:spacing w:val="5"/>
                <w:kern w:val="28"/>
                <w:sz w:val="36"/>
                <w:szCs w:val="52"/>
                <w:lang w:val="en-US"/>
              </w:rPr>
              <w:t>Malamov</w:t>
            </w:r>
            <w:proofErr w:type="spellEnd"/>
            <w:r w:rsidRPr="00BC2155">
              <w:rPr>
                <w:rFonts w:ascii="Calibri" w:eastAsia="Times New Roman" w:hAnsi="Calibri" w:cs="Calibri"/>
                <w:b/>
                <w:color w:val="4472C4" w:themeColor="accent1"/>
                <w:spacing w:val="5"/>
                <w:kern w:val="28"/>
                <w:sz w:val="36"/>
                <w:szCs w:val="52"/>
                <w:lang w:val="en-US"/>
              </w:rPr>
              <w:t>, 2019943</w:t>
            </w:r>
          </w:p>
          <w:p w14:paraId="52A5D02D" w14:textId="77777777" w:rsidR="00BC2155" w:rsidRPr="00BC2155" w:rsidRDefault="00BC2155" w:rsidP="00BC2155">
            <w:pPr>
              <w:pBdr>
                <w:bottom w:val="single" w:sz="8" w:space="4" w:color="4F81BD"/>
              </w:pBdr>
              <w:spacing w:after="300"/>
              <w:contextualSpacing/>
              <w:jc w:val="center"/>
              <w:rPr>
                <w:rFonts w:ascii="Calibri" w:eastAsia="Times New Roman" w:hAnsi="Calibri" w:cs="Calibri"/>
                <w:b/>
                <w:color w:val="4472C4" w:themeColor="accent1"/>
                <w:spacing w:val="5"/>
                <w:kern w:val="28"/>
                <w:sz w:val="36"/>
                <w:szCs w:val="52"/>
                <w:lang w:val="en-US"/>
              </w:rPr>
            </w:pPr>
            <w:r w:rsidRPr="00BC2155">
              <w:rPr>
                <w:rFonts w:ascii="Calibri" w:eastAsia="Times New Roman" w:hAnsi="Calibri" w:cs="Calibri"/>
                <w:b/>
                <w:color w:val="4472C4" w:themeColor="accent1"/>
                <w:spacing w:val="5"/>
                <w:kern w:val="28"/>
                <w:sz w:val="36"/>
                <w:szCs w:val="52"/>
                <w:lang w:val="en-US"/>
              </w:rPr>
              <w:t xml:space="preserve">UWTSD, London campus </w:t>
            </w:r>
          </w:p>
          <w:p w14:paraId="3E301FF3" w14:textId="7F38118B" w:rsidR="00BC2155" w:rsidRPr="00BC2155" w:rsidRDefault="00BC2155" w:rsidP="00BC2155">
            <w:pPr>
              <w:spacing w:line="256" w:lineRule="auto"/>
              <w:jc w:val="center"/>
              <w:rPr>
                <w:rFonts w:eastAsia="Calibri" w:cs="Arial"/>
                <w:b/>
                <w:bCs/>
                <w:color w:val="4472C4" w:themeColor="accent1"/>
                <w:sz w:val="36"/>
                <w:szCs w:val="36"/>
              </w:rPr>
            </w:pPr>
            <w:r w:rsidRPr="00BC2155">
              <w:rPr>
                <w:rFonts w:ascii="Calibri" w:eastAsia="Calibri" w:hAnsi="Calibri" w:cs="Calibri"/>
                <w:color w:val="4472C4" w:themeColor="accent1"/>
                <w:lang w:val="en-US"/>
              </w:rPr>
              <w:t>BA Business Management L5T1</w:t>
            </w:r>
            <w:r w:rsidRPr="00BC2155">
              <w:rPr>
                <w:rFonts w:ascii="Calibri" w:eastAsia="Calibri" w:hAnsi="Calibri" w:cs="Calibri"/>
                <w:color w:val="4472C4" w:themeColor="accent1"/>
                <w:lang w:val="en-US"/>
              </w:rPr>
              <w:t>G1</w:t>
            </w:r>
          </w:p>
          <w:p w14:paraId="6345A92D" w14:textId="77777777" w:rsidR="00BC2155" w:rsidRPr="00BC2155" w:rsidRDefault="00BC2155" w:rsidP="00513774">
            <w:pPr>
              <w:jc w:val="center"/>
              <w:rPr>
                <w:rFonts w:ascii="Arial" w:hAnsi="Arial" w:cs="Arial"/>
                <w:bCs/>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8782F4" w14:textId="56F91CB7" w:rsidR="00513774" w:rsidRPr="00BC2155" w:rsidRDefault="00513774" w:rsidP="00BF4C53">
            <w:pPr>
              <w:rPr>
                <w:rFonts w:ascii="Arial" w:hAnsi="Arial" w:cs="Arial"/>
                <w:sz w:val="22"/>
              </w:rPr>
            </w:pPr>
          </w:p>
        </w:tc>
      </w:tr>
    </w:tbl>
    <w:p w14:paraId="46026436" w14:textId="77777777" w:rsidR="00CD262C" w:rsidRPr="00BC2155" w:rsidRDefault="00CD262C" w:rsidP="00BF4C53">
      <w:pPr>
        <w:rPr>
          <w:rFonts w:ascii="Arial" w:hAnsi="Arial" w:cs="Arial"/>
          <w:sz w:val="22"/>
        </w:rPr>
      </w:pPr>
    </w:p>
    <w:p w14:paraId="63F83966" w14:textId="77777777" w:rsidR="00CD262C" w:rsidRPr="00BC2155" w:rsidRDefault="00CD262C" w:rsidP="00BF4C53">
      <w:pPr>
        <w:rPr>
          <w:rFonts w:ascii="Arial" w:hAnsi="Arial" w:cs="Arial"/>
          <w:sz w:val="22"/>
        </w:rPr>
      </w:pPr>
    </w:p>
    <w:p w14:paraId="6D0D8894" w14:textId="77777777" w:rsidR="00CD262C" w:rsidRPr="00BC2155" w:rsidRDefault="00CD262C" w:rsidP="00BF4C53">
      <w:pPr>
        <w:rPr>
          <w:rFonts w:ascii="Arial" w:hAnsi="Arial" w:cs="Arial"/>
          <w:sz w:val="22"/>
        </w:rPr>
      </w:pPr>
    </w:p>
    <w:p w14:paraId="7E161759" w14:textId="77777777" w:rsidR="00CD262C" w:rsidRPr="00BC2155" w:rsidRDefault="00CD262C" w:rsidP="00BF4C53">
      <w:pPr>
        <w:rPr>
          <w:rFonts w:ascii="Arial" w:hAnsi="Arial" w:cs="Arial"/>
          <w:sz w:val="22"/>
        </w:rPr>
      </w:pPr>
    </w:p>
    <w:p w14:paraId="5592B207" w14:textId="77777777" w:rsidR="00CD262C" w:rsidRPr="00BC2155" w:rsidRDefault="00CD262C" w:rsidP="00BF4C53">
      <w:pPr>
        <w:rPr>
          <w:rFonts w:ascii="Arial" w:hAnsi="Arial" w:cs="Arial"/>
          <w:sz w:val="22"/>
        </w:rPr>
      </w:pPr>
    </w:p>
    <w:p w14:paraId="4C735F4C" w14:textId="77777777" w:rsidR="00CD262C" w:rsidRPr="00BC2155" w:rsidRDefault="00CD262C" w:rsidP="00BF4C53">
      <w:pPr>
        <w:rPr>
          <w:rFonts w:ascii="Arial" w:hAnsi="Arial" w:cs="Arial"/>
          <w:sz w:val="22"/>
        </w:rPr>
      </w:pPr>
    </w:p>
    <w:p w14:paraId="21090992" w14:textId="77777777" w:rsidR="00CD262C" w:rsidRPr="00BC2155" w:rsidRDefault="00CD262C" w:rsidP="00BF4C53">
      <w:pPr>
        <w:rPr>
          <w:rFonts w:ascii="Arial" w:hAnsi="Arial" w:cs="Arial"/>
          <w:sz w:val="22"/>
        </w:rPr>
      </w:pPr>
    </w:p>
    <w:p w14:paraId="6FCC476E" w14:textId="77777777" w:rsidR="00CD262C" w:rsidRPr="00BC2155" w:rsidRDefault="00CD262C" w:rsidP="00BF4C53">
      <w:pPr>
        <w:rPr>
          <w:rFonts w:ascii="Arial" w:hAnsi="Arial" w:cs="Arial"/>
          <w:sz w:val="22"/>
        </w:rPr>
      </w:pPr>
    </w:p>
    <w:p w14:paraId="61C158E3" w14:textId="77777777" w:rsidR="00CD262C" w:rsidRPr="00BC2155" w:rsidRDefault="00CD262C" w:rsidP="00BF4C53">
      <w:pPr>
        <w:rPr>
          <w:rFonts w:ascii="Arial" w:hAnsi="Arial" w:cs="Arial"/>
          <w:sz w:val="22"/>
        </w:rPr>
      </w:pPr>
    </w:p>
    <w:p w14:paraId="1B4E6CAB" w14:textId="77777777" w:rsidR="00CD262C" w:rsidRPr="00BC2155" w:rsidRDefault="00CD262C" w:rsidP="00BF4C53">
      <w:pPr>
        <w:rPr>
          <w:rFonts w:ascii="Arial" w:hAnsi="Arial" w:cs="Arial"/>
          <w:sz w:val="22"/>
        </w:rPr>
      </w:pPr>
    </w:p>
    <w:p w14:paraId="18D783FC" w14:textId="5ED5F74C" w:rsidR="00CD262C" w:rsidRPr="00BC2155" w:rsidRDefault="00CD262C" w:rsidP="00BF4C53">
      <w:pPr>
        <w:rPr>
          <w:rFonts w:ascii="Arial" w:hAnsi="Arial" w:cs="Arial"/>
          <w:sz w:val="22"/>
        </w:rPr>
      </w:pPr>
    </w:p>
    <w:p w14:paraId="54A925F6" w14:textId="77777777" w:rsidR="00CD262C" w:rsidRPr="00BC2155" w:rsidRDefault="00CD262C" w:rsidP="00BF4C53">
      <w:pPr>
        <w:rPr>
          <w:rFonts w:ascii="Arial" w:hAnsi="Arial" w:cs="Arial"/>
          <w:sz w:val="22"/>
        </w:rPr>
      </w:pPr>
    </w:p>
    <w:p w14:paraId="53EE4E16" w14:textId="77777777" w:rsidR="00CD262C" w:rsidRPr="00BC2155" w:rsidRDefault="00CD262C" w:rsidP="00BF4C53">
      <w:pPr>
        <w:rPr>
          <w:rFonts w:ascii="Arial" w:hAnsi="Arial" w:cs="Arial"/>
          <w:sz w:val="22"/>
        </w:rPr>
      </w:pPr>
    </w:p>
    <w:sdt>
      <w:sdtPr>
        <w:rPr>
          <w:rFonts w:ascii="Arial" w:eastAsiaTheme="minorHAnsi" w:hAnsi="Arial" w:cs="Arial"/>
          <w:color w:val="000000" w:themeColor="text1"/>
          <w:sz w:val="22"/>
          <w:szCs w:val="22"/>
          <w:u w:val="none"/>
          <w:lang w:val="en-GB"/>
        </w:rPr>
        <w:id w:val="-1046281853"/>
        <w:docPartObj>
          <w:docPartGallery w:val="Table of Contents"/>
          <w:docPartUnique/>
        </w:docPartObj>
      </w:sdtPr>
      <w:sdtEndPr>
        <w:rPr>
          <w:b/>
          <w:bCs/>
          <w:noProof/>
        </w:rPr>
      </w:sdtEndPr>
      <w:sdtContent>
        <w:p w14:paraId="1C898FBC" w14:textId="733B5127" w:rsidR="00CD4FF4" w:rsidRPr="00BC2155" w:rsidRDefault="00CD4FF4" w:rsidP="00CD4FF4">
          <w:pPr>
            <w:pStyle w:val="TOCHeading"/>
            <w:jc w:val="center"/>
            <w:rPr>
              <w:rFonts w:ascii="Arial" w:hAnsi="Arial" w:cs="Arial"/>
              <w:b/>
              <w:bCs/>
              <w:sz w:val="22"/>
              <w:szCs w:val="22"/>
            </w:rPr>
          </w:pPr>
          <w:r w:rsidRPr="00BC2155">
            <w:rPr>
              <w:rFonts w:ascii="Arial" w:hAnsi="Arial" w:cs="Arial"/>
              <w:b/>
              <w:bCs/>
              <w:sz w:val="22"/>
              <w:szCs w:val="22"/>
            </w:rPr>
            <w:t>Table of Contents</w:t>
          </w:r>
        </w:p>
        <w:p w14:paraId="45A52753" w14:textId="77777777" w:rsidR="00CD4FF4" w:rsidRPr="00BC2155" w:rsidRDefault="00CD4FF4" w:rsidP="00CD4FF4">
          <w:pPr>
            <w:rPr>
              <w:rFonts w:ascii="Arial" w:hAnsi="Arial" w:cs="Arial"/>
              <w:sz w:val="22"/>
              <w:lang w:val="en-US"/>
            </w:rPr>
          </w:pPr>
        </w:p>
        <w:p w14:paraId="1084C749" w14:textId="613CC98A" w:rsidR="00CD4FF4" w:rsidRPr="00BC2155" w:rsidRDefault="00CD4FF4">
          <w:pPr>
            <w:pStyle w:val="TOC1"/>
            <w:tabs>
              <w:tab w:val="right" w:leader="dot" w:pos="9016"/>
            </w:tabs>
            <w:rPr>
              <w:rFonts w:ascii="Arial" w:eastAsiaTheme="minorEastAsia" w:hAnsi="Arial" w:cs="Arial"/>
              <w:noProof/>
              <w:color w:val="auto"/>
              <w:sz w:val="22"/>
              <w:lang w:val="en-IN" w:eastAsia="en-IN"/>
            </w:rPr>
          </w:pPr>
          <w:r w:rsidRPr="00BC2155">
            <w:rPr>
              <w:rFonts w:ascii="Arial" w:hAnsi="Arial" w:cs="Arial"/>
              <w:sz w:val="22"/>
            </w:rPr>
            <w:fldChar w:fldCharType="begin"/>
          </w:r>
          <w:r w:rsidRPr="00BC2155">
            <w:rPr>
              <w:rFonts w:ascii="Arial" w:hAnsi="Arial" w:cs="Arial"/>
              <w:sz w:val="22"/>
            </w:rPr>
            <w:instrText xml:space="preserve"> TOC \o "1-3" \h \z \u </w:instrText>
          </w:r>
          <w:r w:rsidRPr="00BC2155">
            <w:rPr>
              <w:rFonts w:ascii="Arial" w:hAnsi="Arial" w:cs="Arial"/>
              <w:sz w:val="22"/>
            </w:rPr>
            <w:fldChar w:fldCharType="separate"/>
          </w:r>
          <w:hyperlink w:anchor="_Toc102662504" w:history="1">
            <w:r w:rsidRPr="00BC2155">
              <w:rPr>
                <w:rStyle w:val="Hyperlink"/>
                <w:rFonts w:ascii="Arial" w:hAnsi="Arial" w:cs="Arial"/>
                <w:noProof/>
                <w:sz w:val="22"/>
              </w:rPr>
              <w:t>Introduction</w:t>
            </w:r>
            <w:r w:rsidRPr="00BC2155">
              <w:rPr>
                <w:rFonts w:ascii="Arial" w:hAnsi="Arial" w:cs="Arial"/>
                <w:noProof/>
                <w:webHidden/>
                <w:sz w:val="22"/>
              </w:rPr>
              <w:tab/>
            </w:r>
            <w:r w:rsidRPr="00BC2155">
              <w:rPr>
                <w:rFonts w:ascii="Arial" w:hAnsi="Arial" w:cs="Arial"/>
                <w:noProof/>
                <w:webHidden/>
                <w:sz w:val="22"/>
              </w:rPr>
              <w:fldChar w:fldCharType="begin"/>
            </w:r>
            <w:r w:rsidRPr="00BC2155">
              <w:rPr>
                <w:rFonts w:ascii="Arial" w:hAnsi="Arial" w:cs="Arial"/>
                <w:noProof/>
                <w:webHidden/>
                <w:sz w:val="22"/>
              </w:rPr>
              <w:instrText xml:space="preserve"> PAGEREF _Toc102662504 \h </w:instrText>
            </w:r>
            <w:r w:rsidRPr="00BC2155">
              <w:rPr>
                <w:rFonts w:ascii="Arial" w:hAnsi="Arial" w:cs="Arial"/>
                <w:noProof/>
                <w:webHidden/>
                <w:sz w:val="22"/>
              </w:rPr>
            </w:r>
            <w:r w:rsidRPr="00BC2155">
              <w:rPr>
                <w:rFonts w:ascii="Arial" w:hAnsi="Arial" w:cs="Arial"/>
                <w:noProof/>
                <w:webHidden/>
                <w:sz w:val="22"/>
              </w:rPr>
              <w:fldChar w:fldCharType="separate"/>
            </w:r>
            <w:r w:rsidRPr="00BC2155">
              <w:rPr>
                <w:rFonts w:ascii="Arial" w:hAnsi="Arial" w:cs="Arial"/>
                <w:noProof/>
                <w:webHidden/>
                <w:sz w:val="22"/>
              </w:rPr>
              <w:t>2</w:t>
            </w:r>
            <w:r w:rsidRPr="00BC2155">
              <w:rPr>
                <w:rFonts w:ascii="Arial" w:hAnsi="Arial" w:cs="Arial"/>
                <w:noProof/>
                <w:webHidden/>
                <w:sz w:val="22"/>
              </w:rPr>
              <w:fldChar w:fldCharType="end"/>
            </w:r>
          </w:hyperlink>
        </w:p>
        <w:p w14:paraId="50DDFE6E" w14:textId="021FCDD2" w:rsidR="00CD4FF4" w:rsidRPr="00BC2155" w:rsidRDefault="00482E7F">
          <w:pPr>
            <w:pStyle w:val="TOC1"/>
            <w:tabs>
              <w:tab w:val="right" w:leader="dot" w:pos="9016"/>
            </w:tabs>
            <w:rPr>
              <w:rFonts w:ascii="Arial" w:eastAsiaTheme="minorEastAsia" w:hAnsi="Arial" w:cs="Arial"/>
              <w:noProof/>
              <w:color w:val="auto"/>
              <w:sz w:val="22"/>
              <w:lang w:val="en-IN" w:eastAsia="en-IN"/>
            </w:rPr>
          </w:pPr>
          <w:hyperlink w:anchor="_Toc102662505" w:history="1">
            <w:r w:rsidR="00CD4FF4" w:rsidRPr="00BC2155">
              <w:rPr>
                <w:rStyle w:val="Hyperlink"/>
                <w:rFonts w:ascii="Arial" w:hAnsi="Arial" w:cs="Arial"/>
                <w:noProof/>
                <w:sz w:val="22"/>
              </w:rPr>
              <w:t>1. The concept and drivers of employee engagement</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_Toc102662505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2</w:t>
            </w:r>
            <w:r w:rsidR="00CD4FF4" w:rsidRPr="00BC2155">
              <w:rPr>
                <w:rFonts w:ascii="Arial" w:hAnsi="Arial" w:cs="Arial"/>
                <w:noProof/>
                <w:webHidden/>
                <w:sz w:val="22"/>
              </w:rPr>
              <w:fldChar w:fldCharType="end"/>
            </w:r>
          </w:hyperlink>
        </w:p>
        <w:p w14:paraId="6F76A3AA" w14:textId="4ED1D009"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06" w:history="1">
            <w:r w:rsidR="00CD4FF4" w:rsidRPr="00BC2155">
              <w:rPr>
                <w:rStyle w:val="Hyperlink"/>
                <w:rFonts w:ascii="Arial" w:hAnsi="Arial" w:cs="Arial"/>
                <w:noProof/>
                <w:sz w:val="22"/>
              </w:rPr>
              <w:t>Taking a ‘supportive management’ approach</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_Toc102662506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2</w:t>
            </w:r>
            <w:r w:rsidR="00CD4FF4" w:rsidRPr="00BC2155">
              <w:rPr>
                <w:rFonts w:ascii="Arial" w:hAnsi="Arial" w:cs="Arial"/>
                <w:noProof/>
                <w:webHidden/>
                <w:sz w:val="22"/>
              </w:rPr>
              <w:fldChar w:fldCharType="end"/>
            </w:r>
          </w:hyperlink>
        </w:p>
        <w:p w14:paraId="3571AB91" w14:textId="1E32F1BD"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07" w:history="1">
            <w:r w:rsidR="00CD4FF4" w:rsidRPr="00BC2155">
              <w:rPr>
                <w:rStyle w:val="Hyperlink"/>
                <w:rFonts w:ascii="Arial" w:hAnsi="Arial" w:cs="Arial"/>
                <w:noProof/>
                <w:sz w:val="22"/>
              </w:rPr>
              <w:t>Create a positive work environment</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_Toc102662507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3</w:t>
            </w:r>
            <w:r w:rsidR="00CD4FF4" w:rsidRPr="00BC2155">
              <w:rPr>
                <w:rFonts w:ascii="Arial" w:hAnsi="Arial" w:cs="Arial"/>
                <w:noProof/>
                <w:webHidden/>
                <w:sz w:val="22"/>
              </w:rPr>
              <w:fldChar w:fldCharType="end"/>
            </w:r>
          </w:hyperlink>
        </w:p>
        <w:p w14:paraId="64CFA86C" w14:textId="699CC94E"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08" w:history="1">
            <w:r w:rsidR="00CD4FF4" w:rsidRPr="00BC2155">
              <w:rPr>
                <w:rStyle w:val="Hyperlink"/>
                <w:rFonts w:ascii="Arial" w:hAnsi="Arial" w:cs="Arial"/>
                <w:noProof/>
                <w:sz w:val="22"/>
              </w:rPr>
              <w:t>Encourage ‘trust in leadership’</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_Toc102662508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3</w:t>
            </w:r>
            <w:r w:rsidR="00CD4FF4" w:rsidRPr="00BC2155">
              <w:rPr>
                <w:rFonts w:ascii="Arial" w:hAnsi="Arial" w:cs="Arial"/>
                <w:noProof/>
                <w:webHidden/>
                <w:sz w:val="22"/>
              </w:rPr>
              <w:fldChar w:fldCharType="end"/>
            </w:r>
          </w:hyperlink>
        </w:p>
        <w:p w14:paraId="0D7D33C5" w14:textId="78B2D8C3" w:rsidR="00CD4FF4" w:rsidRPr="00BC2155" w:rsidRDefault="00482E7F">
          <w:pPr>
            <w:pStyle w:val="TOC1"/>
            <w:tabs>
              <w:tab w:val="right" w:leader="dot" w:pos="9016"/>
            </w:tabs>
            <w:rPr>
              <w:rFonts w:ascii="Arial" w:eastAsiaTheme="minorEastAsia" w:hAnsi="Arial" w:cs="Arial"/>
              <w:noProof/>
              <w:color w:val="auto"/>
              <w:sz w:val="22"/>
              <w:lang w:val="en-IN" w:eastAsia="en-IN"/>
            </w:rPr>
          </w:pPr>
          <w:hyperlink w:anchor="_Toc102662509" w:history="1">
            <w:r w:rsidR="00CD4FF4" w:rsidRPr="00BC2155">
              <w:rPr>
                <w:rStyle w:val="Hyperlink"/>
                <w:rFonts w:ascii="Arial" w:hAnsi="Arial" w:cs="Arial"/>
                <w:noProof/>
                <w:sz w:val="22"/>
              </w:rPr>
              <w:t>2. Diagnostic tools to measure engagement</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_Toc102662509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4</w:t>
            </w:r>
            <w:r w:rsidR="00CD4FF4" w:rsidRPr="00BC2155">
              <w:rPr>
                <w:rFonts w:ascii="Arial" w:hAnsi="Arial" w:cs="Arial"/>
                <w:noProof/>
                <w:webHidden/>
                <w:sz w:val="22"/>
              </w:rPr>
              <w:fldChar w:fldCharType="end"/>
            </w:r>
          </w:hyperlink>
        </w:p>
        <w:p w14:paraId="1737BBB3" w14:textId="7518FF2A"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10" w:history="1">
            <w:r w:rsidR="00CD4FF4" w:rsidRPr="00BC2155">
              <w:rPr>
                <w:rStyle w:val="Hyperlink"/>
                <w:rFonts w:ascii="Arial" w:hAnsi="Arial" w:cs="Arial"/>
                <w:noProof/>
                <w:sz w:val="22"/>
              </w:rPr>
              <w:t>Employee engagement surveys</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_Toc102662510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4</w:t>
            </w:r>
            <w:r w:rsidR="00CD4FF4" w:rsidRPr="00BC2155">
              <w:rPr>
                <w:rFonts w:ascii="Arial" w:hAnsi="Arial" w:cs="Arial"/>
                <w:noProof/>
                <w:webHidden/>
                <w:sz w:val="22"/>
              </w:rPr>
              <w:fldChar w:fldCharType="end"/>
            </w:r>
          </w:hyperlink>
        </w:p>
        <w:p w14:paraId="50287F2B" w14:textId="36D3352A"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11" w:history="1">
            <w:r w:rsidR="00CD4FF4" w:rsidRPr="00BC2155">
              <w:rPr>
                <w:rStyle w:val="Hyperlink"/>
                <w:rFonts w:ascii="Arial" w:hAnsi="Arial" w:cs="Arial"/>
                <w:noProof/>
                <w:sz w:val="22"/>
              </w:rPr>
              <w:t>Exit interviews</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_Toc102662511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4</w:t>
            </w:r>
            <w:r w:rsidR="00CD4FF4" w:rsidRPr="00BC2155">
              <w:rPr>
                <w:rFonts w:ascii="Arial" w:hAnsi="Arial" w:cs="Arial"/>
                <w:noProof/>
                <w:webHidden/>
                <w:sz w:val="22"/>
              </w:rPr>
              <w:fldChar w:fldCharType="end"/>
            </w:r>
          </w:hyperlink>
        </w:p>
        <w:p w14:paraId="3CA376DA" w14:textId="49F1DBC3" w:rsidR="00CD4FF4" w:rsidRPr="00BC2155" w:rsidRDefault="00482E7F">
          <w:pPr>
            <w:pStyle w:val="TOC2"/>
            <w:tabs>
              <w:tab w:val="right" w:leader="dot" w:pos="9016"/>
            </w:tabs>
            <w:rPr>
              <w:rFonts w:ascii="Arial" w:eastAsiaTheme="minorEastAsia" w:hAnsi="Arial" w:cs="Arial"/>
              <w:noProof/>
              <w:color w:val="auto"/>
              <w:sz w:val="22"/>
              <w:lang w:val="en-IN" w:eastAsia="en-IN"/>
            </w:rPr>
          </w:pPr>
          <w:hyperlink w:anchor="_Toc102662512" w:history="1">
            <w:r w:rsidR="00CD4FF4" w:rsidRPr="00BC2155">
              <w:rPr>
                <w:rStyle w:val="Hyperlink"/>
                <w:rFonts w:ascii="Arial" w:hAnsi="Arial" w:cs="Arial"/>
                <w:noProof/>
                <w:sz w:val="22"/>
              </w:rPr>
              <w:t>Focus groups</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_Toc102662512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5</w:t>
            </w:r>
            <w:r w:rsidR="00CD4FF4" w:rsidRPr="00BC2155">
              <w:rPr>
                <w:rFonts w:ascii="Arial" w:hAnsi="Arial" w:cs="Arial"/>
                <w:noProof/>
                <w:webHidden/>
                <w:sz w:val="22"/>
              </w:rPr>
              <w:fldChar w:fldCharType="end"/>
            </w:r>
          </w:hyperlink>
        </w:p>
        <w:p w14:paraId="6613680D" w14:textId="6FF8F727" w:rsidR="00CD4FF4" w:rsidRPr="00BC2155" w:rsidRDefault="00482E7F">
          <w:pPr>
            <w:pStyle w:val="TOC1"/>
            <w:tabs>
              <w:tab w:val="right" w:leader="dot" w:pos="9016"/>
            </w:tabs>
            <w:rPr>
              <w:rFonts w:ascii="Arial" w:eastAsiaTheme="minorEastAsia" w:hAnsi="Arial" w:cs="Arial"/>
              <w:noProof/>
              <w:color w:val="auto"/>
              <w:sz w:val="22"/>
              <w:lang w:val="en-IN" w:eastAsia="en-IN"/>
            </w:rPr>
          </w:pPr>
          <w:hyperlink w:anchor="_Toc102662513" w:history="1">
            <w:r w:rsidR="00CD4FF4" w:rsidRPr="00BC2155">
              <w:rPr>
                <w:rStyle w:val="Hyperlink"/>
                <w:rFonts w:ascii="Arial" w:hAnsi="Arial" w:cs="Arial"/>
                <w:noProof/>
                <w:sz w:val="22"/>
              </w:rPr>
              <w:t>3. An employee value proposition from the ideas and analysis previously covered, including strategies to raise levels of engagement.</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_Toc102662513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6</w:t>
            </w:r>
            <w:r w:rsidR="00CD4FF4" w:rsidRPr="00BC2155">
              <w:rPr>
                <w:rFonts w:ascii="Arial" w:hAnsi="Arial" w:cs="Arial"/>
                <w:noProof/>
                <w:webHidden/>
                <w:sz w:val="22"/>
              </w:rPr>
              <w:fldChar w:fldCharType="end"/>
            </w:r>
          </w:hyperlink>
        </w:p>
        <w:p w14:paraId="118BB948" w14:textId="450EDAF1" w:rsidR="00CD4FF4" w:rsidRPr="00BC2155" w:rsidRDefault="00482E7F">
          <w:pPr>
            <w:pStyle w:val="TOC1"/>
            <w:tabs>
              <w:tab w:val="right" w:leader="dot" w:pos="9016"/>
            </w:tabs>
            <w:rPr>
              <w:rFonts w:ascii="Arial" w:eastAsiaTheme="minorEastAsia" w:hAnsi="Arial" w:cs="Arial"/>
              <w:noProof/>
              <w:color w:val="auto"/>
              <w:sz w:val="22"/>
              <w:lang w:val="en-IN" w:eastAsia="en-IN"/>
            </w:rPr>
          </w:pPr>
          <w:hyperlink w:anchor="_Toc102662514" w:history="1">
            <w:r w:rsidR="00CD4FF4" w:rsidRPr="00BC2155">
              <w:rPr>
                <w:rStyle w:val="Hyperlink"/>
                <w:rFonts w:ascii="Arial" w:hAnsi="Arial" w:cs="Arial"/>
                <w:noProof/>
                <w:sz w:val="22"/>
              </w:rPr>
              <w:t>Conclusion</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_Toc102662514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7</w:t>
            </w:r>
            <w:r w:rsidR="00CD4FF4" w:rsidRPr="00BC2155">
              <w:rPr>
                <w:rFonts w:ascii="Arial" w:hAnsi="Arial" w:cs="Arial"/>
                <w:noProof/>
                <w:webHidden/>
                <w:sz w:val="22"/>
              </w:rPr>
              <w:fldChar w:fldCharType="end"/>
            </w:r>
          </w:hyperlink>
        </w:p>
        <w:p w14:paraId="384FAA9E" w14:textId="1C5EB1D4" w:rsidR="00CD4FF4" w:rsidRPr="00BC2155" w:rsidRDefault="00482E7F">
          <w:pPr>
            <w:pStyle w:val="TOC1"/>
            <w:tabs>
              <w:tab w:val="right" w:leader="dot" w:pos="9016"/>
            </w:tabs>
            <w:rPr>
              <w:rFonts w:ascii="Arial" w:eastAsiaTheme="minorEastAsia" w:hAnsi="Arial" w:cs="Arial"/>
              <w:noProof/>
              <w:color w:val="auto"/>
              <w:sz w:val="22"/>
              <w:lang w:val="en-IN" w:eastAsia="en-IN"/>
            </w:rPr>
          </w:pPr>
          <w:hyperlink w:anchor="_Toc102662515" w:history="1">
            <w:r w:rsidR="00CD4FF4" w:rsidRPr="00BC2155">
              <w:rPr>
                <w:rStyle w:val="Hyperlink"/>
                <w:rFonts w:ascii="Arial" w:hAnsi="Arial" w:cs="Arial"/>
                <w:noProof/>
                <w:sz w:val="22"/>
              </w:rPr>
              <w:t>References</w:t>
            </w:r>
            <w:r w:rsidR="00CD4FF4" w:rsidRPr="00BC2155">
              <w:rPr>
                <w:rFonts w:ascii="Arial" w:hAnsi="Arial" w:cs="Arial"/>
                <w:noProof/>
                <w:webHidden/>
                <w:sz w:val="22"/>
              </w:rPr>
              <w:tab/>
            </w:r>
            <w:r w:rsidR="00CD4FF4" w:rsidRPr="00BC2155">
              <w:rPr>
                <w:rFonts w:ascii="Arial" w:hAnsi="Arial" w:cs="Arial"/>
                <w:noProof/>
                <w:webHidden/>
                <w:sz w:val="22"/>
              </w:rPr>
              <w:fldChar w:fldCharType="begin"/>
            </w:r>
            <w:r w:rsidR="00CD4FF4" w:rsidRPr="00BC2155">
              <w:rPr>
                <w:rFonts w:ascii="Arial" w:hAnsi="Arial" w:cs="Arial"/>
                <w:noProof/>
                <w:webHidden/>
                <w:sz w:val="22"/>
              </w:rPr>
              <w:instrText xml:space="preserve"> PAGEREF _Toc102662515 \h </w:instrText>
            </w:r>
            <w:r w:rsidR="00CD4FF4" w:rsidRPr="00BC2155">
              <w:rPr>
                <w:rFonts w:ascii="Arial" w:hAnsi="Arial" w:cs="Arial"/>
                <w:noProof/>
                <w:webHidden/>
                <w:sz w:val="22"/>
              </w:rPr>
            </w:r>
            <w:r w:rsidR="00CD4FF4" w:rsidRPr="00BC2155">
              <w:rPr>
                <w:rFonts w:ascii="Arial" w:hAnsi="Arial" w:cs="Arial"/>
                <w:noProof/>
                <w:webHidden/>
                <w:sz w:val="22"/>
              </w:rPr>
              <w:fldChar w:fldCharType="separate"/>
            </w:r>
            <w:r w:rsidR="00CD4FF4" w:rsidRPr="00BC2155">
              <w:rPr>
                <w:rFonts w:ascii="Arial" w:hAnsi="Arial" w:cs="Arial"/>
                <w:noProof/>
                <w:webHidden/>
                <w:sz w:val="22"/>
              </w:rPr>
              <w:t>8</w:t>
            </w:r>
            <w:r w:rsidR="00CD4FF4" w:rsidRPr="00BC2155">
              <w:rPr>
                <w:rFonts w:ascii="Arial" w:hAnsi="Arial" w:cs="Arial"/>
                <w:noProof/>
                <w:webHidden/>
                <w:sz w:val="22"/>
              </w:rPr>
              <w:fldChar w:fldCharType="end"/>
            </w:r>
          </w:hyperlink>
        </w:p>
        <w:p w14:paraId="645BD6E4" w14:textId="6351305C" w:rsidR="00CD4FF4" w:rsidRPr="00BC2155" w:rsidRDefault="00CD4FF4">
          <w:pPr>
            <w:rPr>
              <w:rFonts w:ascii="Arial" w:hAnsi="Arial" w:cs="Arial"/>
              <w:sz w:val="22"/>
            </w:rPr>
          </w:pPr>
          <w:r w:rsidRPr="00BC2155">
            <w:rPr>
              <w:rFonts w:ascii="Arial" w:hAnsi="Arial" w:cs="Arial"/>
              <w:b/>
              <w:bCs/>
              <w:noProof/>
              <w:sz w:val="22"/>
            </w:rPr>
            <w:fldChar w:fldCharType="end"/>
          </w:r>
        </w:p>
      </w:sdtContent>
    </w:sdt>
    <w:p w14:paraId="5D6D29B9" w14:textId="77777777" w:rsidR="00CD262C" w:rsidRPr="00BC2155" w:rsidRDefault="00CD262C" w:rsidP="00BF4C53">
      <w:pPr>
        <w:rPr>
          <w:rFonts w:ascii="Arial" w:hAnsi="Arial" w:cs="Arial"/>
          <w:sz w:val="22"/>
        </w:rPr>
      </w:pPr>
    </w:p>
    <w:p w14:paraId="07E8B26A" w14:textId="77777777" w:rsidR="00CD262C" w:rsidRPr="00BC2155" w:rsidRDefault="00CD262C" w:rsidP="00BF4C53">
      <w:pPr>
        <w:rPr>
          <w:rFonts w:ascii="Arial" w:hAnsi="Arial" w:cs="Arial"/>
          <w:sz w:val="22"/>
        </w:rPr>
      </w:pPr>
    </w:p>
    <w:p w14:paraId="01B3B984" w14:textId="77777777" w:rsidR="00CD262C" w:rsidRPr="00BC2155" w:rsidRDefault="00CD262C" w:rsidP="00BF4C53">
      <w:pPr>
        <w:rPr>
          <w:rFonts w:ascii="Arial" w:hAnsi="Arial" w:cs="Arial"/>
          <w:sz w:val="22"/>
        </w:rPr>
      </w:pPr>
    </w:p>
    <w:p w14:paraId="5539397F" w14:textId="77777777" w:rsidR="00CD262C" w:rsidRPr="00BC2155" w:rsidRDefault="00CD262C" w:rsidP="00BF4C53">
      <w:pPr>
        <w:rPr>
          <w:rFonts w:ascii="Arial" w:hAnsi="Arial" w:cs="Arial"/>
          <w:sz w:val="22"/>
        </w:rPr>
      </w:pPr>
    </w:p>
    <w:p w14:paraId="620D1C88" w14:textId="77777777" w:rsidR="00CD262C" w:rsidRPr="00BC2155" w:rsidRDefault="00CD262C" w:rsidP="00BF4C53">
      <w:pPr>
        <w:rPr>
          <w:rFonts w:ascii="Arial" w:hAnsi="Arial" w:cs="Arial"/>
          <w:sz w:val="22"/>
        </w:rPr>
      </w:pPr>
    </w:p>
    <w:p w14:paraId="77009E18" w14:textId="77777777" w:rsidR="00CD262C" w:rsidRPr="00BC2155" w:rsidRDefault="00CD262C" w:rsidP="00BF4C53">
      <w:pPr>
        <w:rPr>
          <w:rFonts w:ascii="Arial" w:hAnsi="Arial" w:cs="Arial"/>
          <w:sz w:val="22"/>
        </w:rPr>
      </w:pPr>
    </w:p>
    <w:p w14:paraId="2A68723F" w14:textId="77777777" w:rsidR="00CD262C" w:rsidRPr="00BC2155" w:rsidRDefault="00CD262C" w:rsidP="00BF4C53">
      <w:pPr>
        <w:rPr>
          <w:rFonts w:ascii="Arial" w:hAnsi="Arial" w:cs="Arial"/>
          <w:sz w:val="22"/>
        </w:rPr>
      </w:pPr>
    </w:p>
    <w:p w14:paraId="371898DD" w14:textId="77777777" w:rsidR="00CD262C" w:rsidRPr="00BC2155" w:rsidRDefault="00CD262C" w:rsidP="00BF4C53">
      <w:pPr>
        <w:rPr>
          <w:rFonts w:ascii="Arial" w:hAnsi="Arial" w:cs="Arial"/>
          <w:sz w:val="22"/>
        </w:rPr>
      </w:pPr>
    </w:p>
    <w:p w14:paraId="17231ECD" w14:textId="507DFD83" w:rsidR="00CD3B8D" w:rsidRPr="00BC2155" w:rsidRDefault="00CD3B8D" w:rsidP="00CD262C">
      <w:pPr>
        <w:pStyle w:val="Heading1"/>
        <w:rPr>
          <w:rFonts w:ascii="Arial" w:hAnsi="Arial" w:cs="Arial"/>
          <w:sz w:val="22"/>
          <w:szCs w:val="22"/>
        </w:rPr>
      </w:pPr>
      <w:bookmarkStart w:id="1" w:name="_Toc102662504"/>
      <w:r w:rsidRPr="00BC2155">
        <w:rPr>
          <w:rFonts w:ascii="Arial" w:hAnsi="Arial" w:cs="Arial"/>
          <w:sz w:val="22"/>
          <w:szCs w:val="22"/>
        </w:rPr>
        <w:t>Introduction</w:t>
      </w:r>
      <w:bookmarkEnd w:id="1"/>
    </w:p>
    <w:p w14:paraId="0C7366FB" w14:textId="1F4D6538" w:rsidR="00CD262C" w:rsidRPr="00BC2155" w:rsidRDefault="00B02E0D" w:rsidP="00CD262C">
      <w:pPr>
        <w:rPr>
          <w:rFonts w:ascii="Arial" w:hAnsi="Arial" w:cs="Arial"/>
          <w:sz w:val="22"/>
        </w:rPr>
      </w:pPr>
      <w:r w:rsidRPr="00BC2155">
        <w:rPr>
          <w:rFonts w:ascii="Arial" w:hAnsi="Arial" w:cs="Arial"/>
          <w:sz w:val="22"/>
        </w:rPr>
        <w:t xml:space="preserve">This report is part </w:t>
      </w:r>
      <w:r w:rsidR="00EC4B99" w:rsidRPr="00BC2155">
        <w:rPr>
          <w:rFonts w:ascii="Arial" w:hAnsi="Arial" w:cs="Arial"/>
          <w:sz w:val="22"/>
        </w:rPr>
        <w:t xml:space="preserve">of an agenda that the Chief Executive of ABC Ltd attended to understand how employee engagement within workplace leads to improved performance as well as well-being of employees. ABC Ltd has not made any attempt in the past in measuring the employee engagement, though in light of the present Covid pandemic alongside new means </w:t>
      </w:r>
      <w:r w:rsidR="00EC4B99" w:rsidRPr="00BC2155">
        <w:rPr>
          <w:rFonts w:ascii="Arial" w:hAnsi="Arial" w:cs="Arial"/>
          <w:sz w:val="22"/>
        </w:rPr>
        <w:lastRenderedPageBreak/>
        <w:t xml:space="preserve">of working adopted by the business, the CEO is actually concerned that lower degree of employee engagement may have an impact on the viability of the business. This report will contain information and data regarding </w:t>
      </w:r>
      <w:r w:rsidR="00E9048A" w:rsidRPr="00BC2155">
        <w:rPr>
          <w:rFonts w:ascii="Arial" w:hAnsi="Arial" w:cs="Arial"/>
          <w:sz w:val="22"/>
        </w:rPr>
        <w:t xml:space="preserve">the employee engagement drivers in Covid-19, the diagnostic </w:t>
      </w:r>
      <w:proofErr w:type="gramStart"/>
      <w:r w:rsidR="00E9048A" w:rsidRPr="00BC2155">
        <w:rPr>
          <w:rFonts w:ascii="Arial" w:hAnsi="Arial" w:cs="Arial"/>
          <w:sz w:val="22"/>
        </w:rPr>
        <w:t>tools that helps</w:t>
      </w:r>
      <w:proofErr w:type="gramEnd"/>
      <w:r w:rsidR="00E9048A" w:rsidRPr="00BC2155">
        <w:rPr>
          <w:rFonts w:ascii="Arial" w:hAnsi="Arial" w:cs="Arial"/>
          <w:sz w:val="22"/>
        </w:rPr>
        <w:t xml:space="preserve"> businesses in measuring engagement and also employee value proposition and how the same can raise the engagement level. </w:t>
      </w:r>
    </w:p>
    <w:p w14:paraId="70561FA5" w14:textId="246D66CD" w:rsidR="00CD3B8D" w:rsidRPr="00BC2155" w:rsidRDefault="00CD262C" w:rsidP="00CD262C">
      <w:pPr>
        <w:pStyle w:val="Heading1"/>
        <w:rPr>
          <w:rFonts w:ascii="Arial" w:hAnsi="Arial" w:cs="Arial"/>
          <w:sz w:val="22"/>
          <w:szCs w:val="22"/>
        </w:rPr>
      </w:pPr>
      <w:bookmarkStart w:id="2" w:name="_Toc102662505"/>
      <w:r w:rsidRPr="00BC2155">
        <w:rPr>
          <w:rFonts w:ascii="Arial" w:hAnsi="Arial" w:cs="Arial"/>
          <w:sz w:val="22"/>
          <w:szCs w:val="22"/>
        </w:rPr>
        <w:t>1. The concept and drivers of employee engagement</w:t>
      </w:r>
      <w:bookmarkEnd w:id="2"/>
    </w:p>
    <w:p w14:paraId="65903F7D" w14:textId="39955D0A" w:rsidR="00CD262C" w:rsidRPr="00BC2155" w:rsidRDefault="00CD262C" w:rsidP="00CD262C">
      <w:pPr>
        <w:rPr>
          <w:rFonts w:ascii="Arial" w:hAnsi="Arial" w:cs="Arial"/>
          <w:sz w:val="22"/>
        </w:rPr>
      </w:pPr>
      <w:r w:rsidRPr="00BC2155">
        <w:rPr>
          <w:rFonts w:ascii="Arial" w:hAnsi="Arial" w:cs="Arial"/>
          <w:sz w:val="22"/>
        </w:rPr>
        <w:t>Several businesses have been disrupted. Businesses are constantly changing the way they work due to new business models, technological advancements, and agile working practices. It is this human experience-based transformation that has been accelerated by COVID-19 and can drive lasting change on a behavioural, cultural, and organizational level. COVID-19 provided a unique opportunity to learn from employees' involvement</w:t>
      </w:r>
      <w:r w:rsidR="00202718" w:rsidRPr="00BC2155">
        <w:rPr>
          <w:rFonts w:ascii="Arial" w:hAnsi="Arial" w:cs="Arial"/>
          <w:sz w:val="22"/>
        </w:rPr>
        <w:t xml:space="preserve"> (Chanana, 2021)</w:t>
      </w:r>
      <w:r w:rsidRPr="00BC2155">
        <w:rPr>
          <w:rFonts w:ascii="Arial" w:hAnsi="Arial" w:cs="Arial"/>
          <w:sz w:val="22"/>
        </w:rPr>
        <w:t>.</w:t>
      </w:r>
    </w:p>
    <w:p w14:paraId="663DC0B8" w14:textId="7D774AF2" w:rsidR="00CD262C" w:rsidRPr="00BC2155" w:rsidRDefault="00CD262C" w:rsidP="00CD262C">
      <w:pPr>
        <w:rPr>
          <w:rFonts w:ascii="Arial" w:hAnsi="Arial" w:cs="Arial"/>
          <w:sz w:val="22"/>
        </w:rPr>
      </w:pPr>
      <w:r w:rsidRPr="00BC2155">
        <w:rPr>
          <w:rFonts w:ascii="Arial" w:hAnsi="Arial" w:cs="Arial"/>
          <w:sz w:val="22"/>
        </w:rPr>
        <w:t>The phrase ‘employee management’ is related to the psychological attachment and commitment of employees toward their organisation. And the ambition and mission of the company have become the employees’ aim in life. There’s a misconception about employee management and human resources issues as they are totally different in every aspect.</w:t>
      </w:r>
      <w:r w:rsidR="00202718" w:rsidRPr="00BC2155">
        <w:rPr>
          <w:rFonts w:ascii="Arial" w:hAnsi="Arial" w:cs="Arial"/>
          <w:sz w:val="22"/>
        </w:rPr>
        <w:t xml:space="preserve"> </w:t>
      </w:r>
      <w:r w:rsidRPr="00BC2155">
        <w:rPr>
          <w:rFonts w:ascii="Arial" w:hAnsi="Arial" w:cs="Arial"/>
          <w:sz w:val="22"/>
        </w:rPr>
        <w:t>Employees need to be encouraged to develop emotional connections to their workplaces and motivated to stay committed to the company for the long haul by management by introducing the right work methods and policies</w:t>
      </w:r>
      <w:r w:rsidR="00202718" w:rsidRPr="00BC2155">
        <w:rPr>
          <w:rFonts w:ascii="Arial" w:hAnsi="Arial" w:cs="Arial"/>
          <w:sz w:val="22"/>
        </w:rPr>
        <w:t xml:space="preserve"> (Dixit and Singh, 2020)</w:t>
      </w:r>
      <w:r w:rsidRPr="00BC2155">
        <w:rPr>
          <w:rFonts w:ascii="Arial" w:hAnsi="Arial" w:cs="Arial"/>
          <w:sz w:val="22"/>
        </w:rPr>
        <w:t>.</w:t>
      </w:r>
    </w:p>
    <w:p w14:paraId="6A1735E6" w14:textId="77777777" w:rsidR="00CD262C" w:rsidRPr="00BC2155" w:rsidRDefault="00CD262C" w:rsidP="00CD262C">
      <w:pPr>
        <w:rPr>
          <w:rFonts w:ascii="Arial" w:hAnsi="Arial" w:cs="Arial"/>
          <w:sz w:val="22"/>
        </w:rPr>
      </w:pPr>
      <w:r w:rsidRPr="00BC2155">
        <w:rPr>
          <w:rFonts w:ascii="Arial" w:hAnsi="Arial" w:cs="Arial"/>
          <w:sz w:val="22"/>
        </w:rPr>
        <w:t>The following points may be considered as recommendations:</w:t>
      </w:r>
    </w:p>
    <w:p w14:paraId="177B9757" w14:textId="571D2AA8" w:rsidR="00CD262C" w:rsidRPr="00BC2155" w:rsidRDefault="00CD262C" w:rsidP="00CD262C">
      <w:pPr>
        <w:pStyle w:val="Heading2"/>
        <w:rPr>
          <w:rFonts w:ascii="Arial" w:hAnsi="Arial" w:cs="Arial"/>
          <w:sz w:val="22"/>
          <w:szCs w:val="22"/>
        </w:rPr>
      </w:pPr>
      <w:bookmarkStart w:id="3" w:name="_Toc102662506"/>
      <w:r w:rsidRPr="00BC2155">
        <w:rPr>
          <w:rFonts w:ascii="Arial" w:hAnsi="Arial" w:cs="Arial"/>
          <w:sz w:val="22"/>
          <w:szCs w:val="22"/>
        </w:rPr>
        <w:t>Tak</w:t>
      </w:r>
      <w:r w:rsidR="00202718" w:rsidRPr="00BC2155">
        <w:rPr>
          <w:rFonts w:ascii="Arial" w:hAnsi="Arial" w:cs="Arial"/>
          <w:sz w:val="22"/>
          <w:szCs w:val="22"/>
        </w:rPr>
        <w:t>ing</w:t>
      </w:r>
      <w:r w:rsidRPr="00BC2155">
        <w:rPr>
          <w:rFonts w:ascii="Arial" w:hAnsi="Arial" w:cs="Arial"/>
          <w:sz w:val="22"/>
          <w:szCs w:val="22"/>
        </w:rPr>
        <w:t xml:space="preserve"> a</w:t>
      </w:r>
      <w:r w:rsidR="002E2819" w:rsidRPr="00BC2155">
        <w:rPr>
          <w:rFonts w:ascii="Arial" w:hAnsi="Arial" w:cs="Arial"/>
          <w:sz w:val="22"/>
          <w:szCs w:val="22"/>
        </w:rPr>
        <w:t>n approach of</w:t>
      </w:r>
      <w:r w:rsidRPr="00BC2155">
        <w:rPr>
          <w:rFonts w:ascii="Arial" w:hAnsi="Arial" w:cs="Arial"/>
          <w:sz w:val="22"/>
          <w:szCs w:val="22"/>
        </w:rPr>
        <w:t xml:space="preserve"> ‘supportive management’ </w:t>
      </w:r>
      <w:bookmarkEnd w:id="3"/>
    </w:p>
    <w:p w14:paraId="7B69B5D3" w14:textId="61FC1CA6" w:rsidR="00CD262C" w:rsidRPr="00BC2155" w:rsidRDefault="001808DF" w:rsidP="00CD262C">
      <w:pPr>
        <w:rPr>
          <w:rFonts w:ascii="Arial" w:hAnsi="Arial" w:cs="Arial"/>
          <w:sz w:val="22"/>
        </w:rPr>
      </w:pPr>
      <w:r w:rsidRPr="00BC2155">
        <w:rPr>
          <w:rFonts w:ascii="Arial" w:hAnsi="Arial" w:cs="Arial"/>
          <w:sz w:val="22"/>
        </w:rPr>
        <w:t xml:space="preserve">During the scenario of work-from-home, the senior management that did not have in place measures related to remote working at the outset of the pandemic had to look for a way of managing the performance of their teams from home. Some of the common methods in online exercised were regular team meetings as well as frequent one-to-one check-ins. For most, having </w:t>
      </w:r>
      <w:r w:rsidR="004A582B" w:rsidRPr="00BC2155">
        <w:rPr>
          <w:rFonts w:ascii="Arial" w:hAnsi="Arial" w:cs="Arial"/>
          <w:sz w:val="22"/>
        </w:rPr>
        <w:t>check-ins frequently led to the setting of micro-goal and offered employees the prospect of receiving feedback in constant manner. This ‘coaching’ tactic empowers the management in easily assessing and measuring progress while also boosting the productivity of the team that, in turn, keeping the employees engaged</w:t>
      </w:r>
      <w:r w:rsidR="006D0C42" w:rsidRPr="00BC2155">
        <w:rPr>
          <w:rFonts w:ascii="Arial" w:hAnsi="Arial" w:cs="Arial"/>
          <w:sz w:val="22"/>
        </w:rPr>
        <w:t xml:space="preserve"> (Matthews, 2018)</w:t>
      </w:r>
      <w:r w:rsidR="00CD262C" w:rsidRPr="00BC2155">
        <w:rPr>
          <w:rFonts w:ascii="Arial" w:hAnsi="Arial" w:cs="Arial"/>
          <w:sz w:val="22"/>
        </w:rPr>
        <w:t>.</w:t>
      </w:r>
    </w:p>
    <w:p w14:paraId="21715BF6" w14:textId="5BA5CD2D" w:rsidR="00CD262C" w:rsidRPr="00BC2155" w:rsidRDefault="006D0C42" w:rsidP="00CD262C">
      <w:pPr>
        <w:rPr>
          <w:rFonts w:ascii="Arial" w:hAnsi="Arial" w:cs="Arial"/>
          <w:sz w:val="22"/>
        </w:rPr>
      </w:pPr>
      <w:r w:rsidRPr="00BC2155">
        <w:rPr>
          <w:rFonts w:ascii="Arial" w:hAnsi="Arial" w:cs="Arial"/>
          <w:sz w:val="22"/>
        </w:rPr>
        <w:t>According to Macey and Schneider, (2018) i</w:t>
      </w:r>
      <w:r w:rsidR="00CD262C" w:rsidRPr="00BC2155">
        <w:rPr>
          <w:rFonts w:ascii="Arial" w:hAnsi="Arial" w:cs="Arial"/>
          <w:sz w:val="22"/>
        </w:rPr>
        <w:t xml:space="preserve">t is also necessary for a company to establish a consistent with these findings </w:t>
      </w:r>
      <w:r w:rsidR="001808DF" w:rsidRPr="00BC2155">
        <w:rPr>
          <w:rFonts w:ascii="Arial" w:hAnsi="Arial" w:cs="Arial"/>
          <w:sz w:val="22"/>
        </w:rPr>
        <w:t>for</w:t>
      </w:r>
      <w:r w:rsidR="00CD262C" w:rsidRPr="00BC2155">
        <w:rPr>
          <w:rFonts w:ascii="Arial" w:hAnsi="Arial" w:cs="Arial"/>
          <w:sz w:val="22"/>
        </w:rPr>
        <w:t xml:space="preserve"> foster</w:t>
      </w:r>
      <w:r w:rsidR="001808DF" w:rsidRPr="00BC2155">
        <w:rPr>
          <w:rFonts w:ascii="Arial" w:hAnsi="Arial" w:cs="Arial"/>
          <w:sz w:val="22"/>
        </w:rPr>
        <w:t>ing</w:t>
      </w:r>
      <w:r w:rsidR="00CD262C" w:rsidRPr="00BC2155">
        <w:rPr>
          <w:rFonts w:ascii="Arial" w:hAnsi="Arial" w:cs="Arial"/>
          <w:sz w:val="22"/>
        </w:rPr>
        <w:t xml:space="preserve"> engagement; - </w:t>
      </w:r>
      <w:r w:rsidR="001808DF" w:rsidRPr="00BC2155">
        <w:rPr>
          <w:rFonts w:ascii="Arial" w:hAnsi="Arial" w:cs="Arial"/>
          <w:sz w:val="22"/>
        </w:rPr>
        <w:t>admiration</w:t>
      </w:r>
      <w:r w:rsidR="00CD262C" w:rsidRPr="00BC2155">
        <w:rPr>
          <w:rFonts w:ascii="Arial" w:hAnsi="Arial" w:cs="Arial"/>
          <w:sz w:val="22"/>
        </w:rPr>
        <w:t xml:space="preserve"> </w:t>
      </w:r>
      <w:r w:rsidR="001808DF" w:rsidRPr="00BC2155">
        <w:rPr>
          <w:rFonts w:ascii="Arial" w:hAnsi="Arial" w:cs="Arial"/>
          <w:sz w:val="22"/>
        </w:rPr>
        <w:t xml:space="preserve">or acclaim </w:t>
      </w:r>
      <w:r w:rsidR="00CD262C" w:rsidRPr="00BC2155">
        <w:rPr>
          <w:rFonts w:ascii="Arial" w:hAnsi="Arial" w:cs="Arial"/>
          <w:sz w:val="22"/>
        </w:rPr>
        <w:t xml:space="preserve">is a </w:t>
      </w:r>
      <w:r w:rsidR="001808DF" w:rsidRPr="00BC2155">
        <w:rPr>
          <w:rFonts w:ascii="Arial" w:hAnsi="Arial" w:cs="Arial"/>
          <w:sz w:val="22"/>
        </w:rPr>
        <w:t>factor</w:t>
      </w:r>
      <w:r w:rsidR="00CD262C" w:rsidRPr="00BC2155">
        <w:rPr>
          <w:rFonts w:ascii="Arial" w:hAnsi="Arial" w:cs="Arial"/>
          <w:sz w:val="22"/>
        </w:rPr>
        <w:t xml:space="preserve"> of the 'coaching' strategy discussed earlier. </w:t>
      </w:r>
      <w:r w:rsidR="001808DF" w:rsidRPr="00BC2155">
        <w:rPr>
          <w:rFonts w:ascii="Arial" w:hAnsi="Arial" w:cs="Arial"/>
          <w:sz w:val="22"/>
        </w:rPr>
        <w:t>Conferring</w:t>
      </w:r>
      <w:r w:rsidR="00CD262C" w:rsidRPr="00BC2155">
        <w:rPr>
          <w:rFonts w:ascii="Arial" w:hAnsi="Arial" w:cs="Arial"/>
          <w:sz w:val="22"/>
        </w:rPr>
        <w:t xml:space="preserve"> to the analysis, high-performing groups have a </w:t>
      </w:r>
      <w:r w:rsidR="001808DF" w:rsidRPr="00BC2155">
        <w:rPr>
          <w:rFonts w:ascii="Arial" w:hAnsi="Arial" w:cs="Arial"/>
          <w:sz w:val="22"/>
        </w:rPr>
        <w:t xml:space="preserve">5:1 </w:t>
      </w:r>
      <w:r w:rsidR="00CD262C" w:rsidRPr="00BC2155">
        <w:rPr>
          <w:rFonts w:ascii="Arial" w:hAnsi="Arial" w:cs="Arial"/>
          <w:sz w:val="22"/>
        </w:rPr>
        <w:t xml:space="preserve">praise to criticism ratio, which means they give one another five times as much </w:t>
      </w:r>
      <w:r w:rsidR="00CD262C" w:rsidRPr="00BC2155">
        <w:rPr>
          <w:rFonts w:ascii="Arial" w:hAnsi="Arial" w:cs="Arial"/>
          <w:sz w:val="22"/>
        </w:rPr>
        <w:lastRenderedPageBreak/>
        <w:t xml:space="preserve">positive input as negative comments. The praising words have positive vibes on the employees that motivate them to work with dedication towards their organisation.  </w:t>
      </w:r>
    </w:p>
    <w:p w14:paraId="14E1AD09" w14:textId="77777777" w:rsidR="00CD262C" w:rsidRPr="00BC2155" w:rsidRDefault="00CD262C" w:rsidP="00CD262C">
      <w:pPr>
        <w:pStyle w:val="Heading2"/>
        <w:rPr>
          <w:rFonts w:ascii="Arial" w:hAnsi="Arial" w:cs="Arial"/>
          <w:sz w:val="22"/>
          <w:szCs w:val="22"/>
        </w:rPr>
      </w:pPr>
      <w:bookmarkStart w:id="4" w:name="_Toc102662507"/>
      <w:r w:rsidRPr="00BC2155">
        <w:rPr>
          <w:rFonts w:ascii="Arial" w:hAnsi="Arial" w:cs="Arial"/>
          <w:sz w:val="22"/>
          <w:szCs w:val="22"/>
        </w:rPr>
        <w:t>Create a positive work environment</w:t>
      </w:r>
      <w:bookmarkEnd w:id="4"/>
    </w:p>
    <w:p w14:paraId="30B7DC61" w14:textId="6D8EE47B" w:rsidR="00CD262C" w:rsidRPr="00BC2155" w:rsidRDefault="00CD262C" w:rsidP="00CD262C">
      <w:pPr>
        <w:rPr>
          <w:rFonts w:ascii="Arial" w:hAnsi="Arial" w:cs="Arial"/>
          <w:sz w:val="22"/>
        </w:rPr>
      </w:pPr>
      <w:r w:rsidRPr="00BC2155">
        <w:rPr>
          <w:rFonts w:ascii="Arial" w:hAnsi="Arial" w:cs="Arial"/>
          <w:sz w:val="22"/>
        </w:rPr>
        <w:t>The majority of the participants found a change in environment to be the most challenging factor, having to go from the office - where</w:t>
      </w:r>
      <w:r w:rsidR="001808DF" w:rsidRPr="00BC2155">
        <w:rPr>
          <w:rFonts w:ascii="Arial" w:hAnsi="Arial" w:cs="Arial"/>
          <w:sz w:val="22"/>
        </w:rPr>
        <w:t>in</w:t>
      </w:r>
      <w:r w:rsidRPr="00BC2155">
        <w:rPr>
          <w:rFonts w:ascii="Arial" w:hAnsi="Arial" w:cs="Arial"/>
          <w:sz w:val="22"/>
        </w:rPr>
        <w:t xml:space="preserve"> </w:t>
      </w:r>
      <w:r w:rsidR="001808DF" w:rsidRPr="00BC2155">
        <w:rPr>
          <w:rFonts w:ascii="Arial" w:hAnsi="Arial" w:cs="Arial"/>
          <w:sz w:val="22"/>
        </w:rPr>
        <w:t>everybody</w:t>
      </w:r>
      <w:r w:rsidRPr="00BC2155">
        <w:rPr>
          <w:rFonts w:ascii="Arial" w:hAnsi="Arial" w:cs="Arial"/>
          <w:sz w:val="22"/>
        </w:rPr>
        <w:t xml:space="preserve"> is in </w:t>
      </w:r>
      <w:r w:rsidR="001808DF" w:rsidRPr="00BC2155">
        <w:rPr>
          <w:rFonts w:ascii="Arial" w:hAnsi="Arial" w:cs="Arial"/>
          <w:sz w:val="22"/>
        </w:rPr>
        <w:t xml:space="preserve">the mode of </w:t>
      </w:r>
      <w:r w:rsidRPr="00BC2155">
        <w:rPr>
          <w:rFonts w:ascii="Arial" w:hAnsi="Arial" w:cs="Arial"/>
          <w:sz w:val="22"/>
        </w:rPr>
        <w:t>work</w:t>
      </w:r>
      <w:r w:rsidR="001808DF" w:rsidRPr="00BC2155">
        <w:rPr>
          <w:rFonts w:ascii="Arial" w:hAnsi="Arial" w:cs="Arial"/>
          <w:sz w:val="22"/>
        </w:rPr>
        <w:t>-from-</w:t>
      </w:r>
      <w:r w:rsidRPr="00BC2155">
        <w:rPr>
          <w:rFonts w:ascii="Arial" w:hAnsi="Arial" w:cs="Arial"/>
          <w:sz w:val="22"/>
        </w:rPr>
        <w:t>home</w:t>
      </w:r>
      <w:r w:rsidR="001808DF" w:rsidRPr="00BC2155">
        <w:rPr>
          <w:rFonts w:ascii="Arial" w:hAnsi="Arial" w:cs="Arial"/>
          <w:sz w:val="22"/>
        </w:rPr>
        <w:t xml:space="preserve"> </w:t>
      </w:r>
      <w:r w:rsidRPr="00BC2155">
        <w:rPr>
          <w:rFonts w:ascii="Arial" w:hAnsi="Arial" w:cs="Arial"/>
          <w:sz w:val="22"/>
        </w:rPr>
        <w:t>where there are many contrasts to contend with, like being alone, or having to care for young children, or a neighbours’ pet making noise, which all would create potential disruptions to working processes.</w:t>
      </w:r>
    </w:p>
    <w:p w14:paraId="188E523A" w14:textId="42F9B1E0" w:rsidR="00CD262C" w:rsidRPr="00BC2155" w:rsidRDefault="00202718" w:rsidP="00CD262C">
      <w:pPr>
        <w:rPr>
          <w:rFonts w:ascii="Arial" w:hAnsi="Arial" w:cs="Arial"/>
          <w:sz w:val="22"/>
        </w:rPr>
      </w:pPr>
      <w:r w:rsidRPr="00BC2155">
        <w:rPr>
          <w:rFonts w:ascii="Arial" w:hAnsi="Arial" w:cs="Arial"/>
          <w:sz w:val="22"/>
        </w:rPr>
        <w:t>As per Ahmed et al., (2020) t</w:t>
      </w:r>
      <w:r w:rsidR="00CD262C" w:rsidRPr="00BC2155">
        <w:rPr>
          <w:rFonts w:ascii="Arial" w:hAnsi="Arial" w:cs="Arial"/>
          <w:sz w:val="22"/>
        </w:rPr>
        <w:t>he definition of work-life balance has been changed by the work from home culture during the COVID 19 pandemic. The work from home culture makes an employee a smart worker regardless of whether they are hard workers, as at home they have the scope to attend to their own personal needs while having the professional deeds. This would have acted as nothing more than a caution to administrators that a</w:t>
      </w:r>
      <w:r w:rsidR="00952A24" w:rsidRPr="00BC2155">
        <w:rPr>
          <w:rFonts w:ascii="Arial" w:hAnsi="Arial" w:cs="Arial"/>
          <w:sz w:val="22"/>
        </w:rPr>
        <w:t>n assortment</w:t>
      </w:r>
      <w:r w:rsidR="00CD262C" w:rsidRPr="00BC2155">
        <w:rPr>
          <w:rFonts w:ascii="Arial" w:hAnsi="Arial" w:cs="Arial"/>
          <w:sz w:val="22"/>
        </w:rPr>
        <w:t xml:space="preserve"> o</w:t>
      </w:r>
      <w:r w:rsidR="00952A24" w:rsidRPr="00BC2155">
        <w:rPr>
          <w:rFonts w:ascii="Arial" w:hAnsi="Arial" w:cs="Arial"/>
          <w:sz w:val="22"/>
        </w:rPr>
        <w:t xml:space="preserve">f </w:t>
      </w:r>
      <w:r w:rsidR="00CD262C" w:rsidRPr="00BC2155">
        <w:rPr>
          <w:rFonts w:ascii="Arial" w:hAnsi="Arial" w:cs="Arial"/>
          <w:sz w:val="22"/>
        </w:rPr>
        <w:t xml:space="preserve">issues </w:t>
      </w:r>
      <w:r w:rsidR="00952A24" w:rsidRPr="00BC2155">
        <w:rPr>
          <w:rFonts w:ascii="Arial" w:hAnsi="Arial" w:cs="Arial"/>
          <w:sz w:val="22"/>
        </w:rPr>
        <w:t xml:space="preserve">that are not related to work </w:t>
      </w:r>
      <w:r w:rsidR="00CD262C" w:rsidRPr="00BC2155">
        <w:rPr>
          <w:rFonts w:ascii="Arial" w:hAnsi="Arial" w:cs="Arial"/>
          <w:sz w:val="22"/>
        </w:rPr>
        <w:t xml:space="preserve">might </w:t>
      </w:r>
      <w:r w:rsidR="00952A24" w:rsidRPr="00BC2155">
        <w:rPr>
          <w:rFonts w:ascii="Arial" w:hAnsi="Arial" w:cs="Arial"/>
          <w:sz w:val="22"/>
        </w:rPr>
        <w:t>stimulate the thinking of</w:t>
      </w:r>
      <w:r w:rsidR="00CD262C" w:rsidRPr="00BC2155">
        <w:rPr>
          <w:rFonts w:ascii="Arial" w:hAnsi="Arial" w:cs="Arial"/>
          <w:sz w:val="22"/>
        </w:rPr>
        <w:t xml:space="preserve"> an employee and, as a </w:t>
      </w:r>
      <w:r w:rsidR="00952A24" w:rsidRPr="00BC2155">
        <w:rPr>
          <w:rFonts w:ascii="Arial" w:hAnsi="Arial" w:cs="Arial"/>
          <w:sz w:val="22"/>
        </w:rPr>
        <w:t>consequence</w:t>
      </w:r>
      <w:r w:rsidR="00CD262C" w:rsidRPr="00BC2155">
        <w:rPr>
          <w:rFonts w:ascii="Arial" w:hAnsi="Arial" w:cs="Arial"/>
          <w:sz w:val="22"/>
        </w:rPr>
        <w:t xml:space="preserve">, their engagement. Individuals have </w:t>
      </w:r>
      <w:r w:rsidR="00952A24" w:rsidRPr="00BC2155">
        <w:rPr>
          <w:rFonts w:ascii="Arial" w:hAnsi="Arial" w:cs="Arial"/>
          <w:sz w:val="22"/>
        </w:rPr>
        <w:t>confirmed</w:t>
      </w:r>
      <w:r w:rsidR="00CD262C" w:rsidRPr="00BC2155">
        <w:rPr>
          <w:rFonts w:ascii="Arial" w:hAnsi="Arial" w:cs="Arial"/>
          <w:sz w:val="22"/>
        </w:rPr>
        <w:t xml:space="preserve"> the </w:t>
      </w:r>
      <w:r w:rsidR="00952A24" w:rsidRPr="00BC2155">
        <w:rPr>
          <w:rFonts w:ascii="Arial" w:hAnsi="Arial" w:cs="Arial"/>
          <w:sz w:val="22"/>
        </w:rPr>
        <w:t>dimensions</w:t>
      </w:r>
      <w:r w:rsidR="00CD262C" w:rsidRPr="00BC2155">
        <w:rPr>
          <w:rFonts w:ascii="Arial" w:hAnsi="Arial" w:cs="Arial"/>
          <w:sz w:val="22"/>
        </w:rPr>
        <w:t xml:space="preserve"> </w:t>
      </w:r>
      <w:r w:rsidR="00952A24" w:rsidRPr="00BC2155">
        <w:rPr>
          <w:rFonts w:ascii="Arial" w:hAnsi="Arial" w:cs="Arial"/>
          <w:sz w:val="22"/>
        </w:rPr>
        <w:t>or volume of</w:t>
      </w:r>
      <w:r w:rsidR="00CD262C" w:rsidRPr="00BC2155">
        <w:rPr>
          <w:rFonts w:ascii="Arial" w:hAnsi="Arial" w:cs="Arial"/>
          <w:sz w:val="22"/>
        </w:rPr>
        <w:t xml:space="preserve"> manag</w:t>
      </w:r>
      <w:r w:rsidR="00952A24" w:rsidRPr="00BC2155">
        <w:rPr>
          <w:rFonts w:ascii="Arial" w:hAnsi="Arial" w:cs="Arial"/>
          <w:sz w:val="22"/>
        </w:rPr>
        <w:t>ing</w:t>
      </w:r>
      <w:r w:rsidR="00CD262C" w:rsidRPr="00BC2155">
        <w:rPr>
          <w:rFonts w:ascii="Arial" w:hAnsi="Arial" w:cs="Arial"/>
          <w:sz w:val="22"/>
        </w:rPr>
        <w:t xml:space="preserve"> work a</w:t>
      </w:r>
      <w:r w:rsidR="00952A24" w:rsidRPr="00BC2155">
        <w:rPr>
          <w:rFonts w:ascii="Arial" w:hAnsi="Arial" w:cs="Arial"/>
          <w:sz w:val="22"/>
        </w:rPr>
        <w:t>s well as</w:t>
      </w:r>
      <w:r w:rsidR="00CD262C" w:rsidRPr="00BC2155">
        <w:rPr>
          <w:rFonts w:ascii="Arial" w:hAnsi="Arial" w:cs="Arial"/>
          <w:sz w:val="22"/>
        </w:rPr>
        <w:t xml:space="preserve"> personal </w:t>
      </w:r>
      <w:r w:rsidR="00952A24" w:rsidRPr="00BC2155">
        <w:rPr>
          <w:rFonts w:ascii="Arial" w:hAnsi="Arial" w:cs="Arial"/>
          <w:sz w:val="22"/>
        </w:rPr>
        <w:t>necessities</w:t>
      </w:r>
      <w:r w:rsidR="00CD262C" w:rsidRPr="00BC2155">
        <w:rPr>
          <w:rFonts w:ascii="Arial" w:hAnsi="Arial" w:cs="Arial"/>
          <w:sz w:val="22"/>
        </w:rPr>
        <w:t xml:space="preserve">, </w:t>
      </w:r>
      <w:r w:rsidR="00952A24" w:rsidRPr="00BC2155">
        <w:rPr>
          <w:rFonts w:ascii="Arial" w:hAnsi="Arial" w:cs="Arial"/>
          <w:sz w:val="22"/>
        </w:rPr>
        <w:t>even if</w:t>
      </w:r>
      <w:r w:rsidR="00CD262C" w:rsidRPr="00BC2155">
        <w:rPr>
          <w:rFonts w:ascii="Arial" w:hAnsi="Arial" w:cs="Arial"/>
          <w:sz w:val="22"/>
        </w:rPr>
        <w:t xml:space="preserve"> under a</w:t>
      </w:r>
      <w:r w:rsidR="00952A24" w:rsidRPr="00BC2155">
        <w:rPr>
          <w:rFonts w:ascii="Arial" w:hAnsi="Arial" w:cs="Arial"/>
          <w:sz w:val="22"/>
        </w:rPr>
        <w:t>n obligatory</w:t>
      </w:r>
      <w:r w:rsidR="00CD262C" w:rsidRPr="00BC2155">
        <w:rPr>
          <w:rFonts w:ascii="Arial" w:hAnsi="Arial" w:cs="Arial"/>
          <w:sz w:val="22"/>
        </w:rPr>
        <w:t xml:space="preserve"> testing</w:t>
      </w:r>
      <w:r w:rsidR="00952A24" w:rsidRPr="00BC2155">
        <w:rPr>
          <w:rFonts w:ascii="Arial" w:hAnsi="Arial" w:cs="Arial"/>
          <w:sz w:val="22"/>
        </w:rPr>
        <w:t xml:space="preserve"> </w:t>
      </w:r>
      <w:r w:rsidR="001808DF" w:rsidRPr="00BC2155">
        <w:rPr>
          <w:rFonts w:ascii="Arial" w:hAnsi="Arial" w:cs="Arial"/>
          <w:sz w:val="22"/>
        </w:rPr>
        <w:t>phase</w:t>
      </w:r>
      <w:r w:rsidR="00CD262C" w:rsidRPr="00BC2155">
        <w:rPr>
          <w:rFonts w:ascii="Arial" w:hAnsi="Arial" w:cs="Arial"/>
          <w:sz w:val="22"/>
        </w:rPr>
        <w:t>.</w:t>
      </w:r>
    </w:p>
    <w:p w14:paraId="26F53E82" w14:textId="56D2A55B" w:rsidR="00CD262C" w:rsidRPr="00BC2155" w:rsidRDefault="00202718" w:rsidP="00CD262C">
      <w:pPr>
        <w:rPr>
          <w:rFonts w:ascii="Arial" w:hAnsi="Arial" w:cs="Arial"/>
          <w:sz w:val="22"/>
        </w:rPr>
      </w:pPr>
      <w:r w:rsidRPr="00BC2155">
        <w:rPr>
          <w:rFonts w:ascii="Arial" w:hAnsi="Arial" w:cs="Arial"/>
          <w:sz w:val="22"/>
        </w:rPr>
        <w:t>According to Chanana, (2021), l</w:t>
      </w:r>
      <w:r w:rsidR="00CD262C" w:rsidRPr="00BC2155">
        <w:rPr>
          <w:rFonts w:ascii="Arial" w:hAnsi="Arial" w:cs="Arial"/>
          <w:sz w:val="22"/>
        </w:rPr>
        <w:t>eadership really should not lose sight of the necessity of consistently establishing good, safe, and healthy working conditions in the post-COVID period. However, throughout the COVID-19 working from home situation, the ability to choose one's own working hours has occasionally resulted in an enhanced devotion from employees who may have been prepared to go beyond planned hours as a clear part of performance engagement.</w:t>
      </w:r>
    </w:p>
    <w:p w14:paraId="296BC6FD" w14:textId="14D6663D" w:rsidR="00CD262C" w:rsidRPr="00BC2155" w:rsidRDefault="00CD262C" w:rsidP="00CD262C">
      <w:pPr>
        <w:pStyle w:val="Heading2"/>
        <w:rPr>
          <w:rFonts w:ascii="Arial" w:hAnsi="Arial" w:cs="Arial"/>
          <w:sz w:val="22"/>
          <w:szCs w:val="22"/>
        </w:rPr>
      </w:pPr>
      <w:bookmarkStart w:id="5" w:name="_Toc102662508"/>
      <w:r w:rsidRPr="00BC2155">
        <w:rPr>
          <w:rFonts w:ascii="Arial" w:hAnsi="Arial" w:cs="Arial"/>
          <w:sz w:val="22"/>
          <w:szCs w:val="22"/>
        </w:rPr>
        <w:t>Encourag</w:t>
      </w:r>
      <w:r w:rsidR="00F83BA5" w:rsidRPr="00BC2155">
        <w:rPr>
          <w:rFonts w:ascii="Arial" w:hAnsi="Arial" w:cs="Arial"/>
          <w:sz w:val="22"/>
          <w:szCs w:val="22"/>
        </w:rPr>
        <w:t>ing</w:t>
      </w:r>
      <w:r w:rsidRPr="00BC2155">
        <w:rPr>
          <w:rFonts w:ascii="Arial" w:hAnsi="Arial" w:cs="Arial"/>
          <w:sz w:val="22"/>
          <w:szCs w:val="22"/>
        </w:rPr>
        <w:t xml:space="preserve"> ‘trust in leadership’</w:t>
      </w:r>
      <w:bookmarkEnd w:id="5"/>
    </w:p>
    <w:p w14:paraId="26BD8F82" w14:textId="0FA4B6A8" w:rsidR="00CD262C" w:rsidRPr="00BC2155" w:rsidRDefault="00202718" w:rsidP="00CD262C">
      <w:pPr>
        <w:rPr>
          <w:rFonts w:ascii="Arial" w:hAnsi="Arial" w:cs="Arial"/>
          <w:sz w:val="22"/>
        </w:rPr>
      </w:pPr>
      <w:r w:rsidRPr="00BC2155">
        <w:rPr>
          <w:rFonts w:ascii="Arial" w:hAnsi="Arial" w:cs="Arial"/>
          <w:sz w:val="22"/>
        </w:rPr>
        <w:t>As per Dixit and Singh, (2020) e</w:t>
      </w:r>
      <w:r w:rsidR="00CD262C" w:rsidRPr="00BC2155">
        <w:rPr>
          <w:rFonts w:ascii="Arial" w:hAnsi="Arial" w:cs="Arial"/>
          <w:sz w:val="22"/>
        </w:rPr>
        <w:t xml:space="preserve">mployees have had to automatically believe management </w:t>
      </w:r>
      <w:r w:rsidR="00F83BA5" w:rsidRPr="00BC2155">
        <w:rPr>
          <w:rFonts w:ascii="Arial" w:hAnsi="Arial" w:cs="Arial"/>
          <w:sz w:val="22"/>
        </w:rPr>
        <w:t>in</w:t>
      </w:r>
      <w:r w:rsidR="00CD262C" w:rsidRPr="00BC2155">
        <w:rPr>
          <w:rFonts w:ascii="Arial" w:hAnsi="Arial" w:cs="Arial"/>
          <w:sz w:val="22"/>
        </w:rPr>
        <w:t xml:space="preserve"> steer</w:t>
      </w:r>
      <w:r w:rsidR="00F83BA5" w:rsidRPr="00BC2155">
        <w:rPr>
          <w:rFonts w:ascii="Arial" w:hAnsi="Arial" w:cs="Arial"/>
          <w:sz w:val="22"/>
        </w:rPr>
        <w:t>ing</w:t>
      </w:r>
      <w:r w:rsidR="00CD262C" w:rsidRPr="00BC2155">
        <w:rPr>
          <w:rFonts w:ascii="Arial" w:hAnsi="Arial" w:cs="Arial"/>
          <w:sz w:val="22"/>
        </w:rPr>
        <w:t xml:space="preserve"> the ship</w:t>
      </w:r>
      <w:r w:rsidR="00F83BA5" w:rsidRPr="00BC2155">
        <w:rPr>
          <w:rFonts w:ascii="Arial" w:hAnsi="Arial" w:cs="Arial"/>
          <w:sz w:val="22"/>
        </w:rPr>
        <w:t xml:space="preserve"> towards the right direction</w:t>
      </w:r>
      <w:r w:rsidR="00CD262C" w:rsidRPr="00BC2155">
        <w:rPr>
          <w:rFonts w:ascii="Arial" w:hAnsi="Arial" w:cs="Arial"/>
          <w:sz w:val="22"/>
        </w:rPr>
        <w:t xml:space="preserve"> and mak</w:t>
      </w:r>
      <w:r w:rsidR="00F83BA5" w:rsidRPr="00BC2155">
        <w:rPr>
          <w:rFonts w:ascii="Arial" w:hAnsi="Arial" w:cs="Arial"/>
          <w:sz w:val="22"/>
        </w:rPr>
        <w:t>ing</w:t>
      </w:r>
      <w:r w:rsidR="00CD262C" w:rsidRPr="00BC2155">
        <w:rPr>
          <w:rFonts w:ascii="Arial" w:hAnsi="Arial" w:cs="Arial"/>
          <w:sz w:val="22"/>
        </w:rPr>
        <w:t xml:space="preserve"> difficult </w:t>
      </w:r>
      <w:r w:rsidR="00F83BA5" w:rsidRPr="00BC2155">
        <w:rPr>
          <w:rFonts w:ascii="Arial" w:hAnsi="Arial" w:cs="Arial"/>
          <w:sz w:val="22"/>
        </w:rPr>
        <w:t>strategies</w:t>
      </w:r>
      <w:r w:rsidR="00CD262C" w:rsidRPr="00BC2155">
        <w:rPr>
          <w:rFonts w:ascii="Arial" w:hAnsi="Arial" w:cs="Arial"/>
          <w:sz w:val="22"/>
        </w:rPr>
        <w:t xml:space="preserve"> </w:t>
      </w:r>
      <w:r w:rsidR="00F83BA5" w:rsidRPr="00BC2155">
        <w:rPr>
          <w:rFonts w:ascii="Arial" w:hAnsi="Arial" w:cs="Arial"/>
          <w:sz w:val="22"/>
        </w:rPr>
        <w:t xml:space="preserve">or tactics </w:t>
      </w:r>
      <w:r w:rsidR="00CD262C" w:rsidRPr="00BC2155">
        <w:rPr>
          <w:rFonts w:ascii="Arial" w:hAnsi="Arial" w:cs="Arial"/>
          <w:sz w:val="22"/>
        </w:rPr>
        <w:t xml:space="preserve">for the business during </w:t>
      </w:r>
      <w:r w:rsidR="00F83BA5" w:rsidRPr="00BC2155">
        <w:rPr>
          <w:rFonts w:ascii="Arial" w:hAnsi="Arial" w:cs="Arial"/>
          <w:sz w:val="22"/>
        </w:rPr>
        <w:t xml:space="preserve">the outbreak of </w:t>
      </w:r>
      <w:r w:rsidR="00CD262C" w:rsidRPr="00BC2155">
        <w:rPr>
          <w:rFonts w:ascii="Arial" w:hAnsi="Arial" w:cs="Arial"/>
          <w:sz w:val="22"/>
        </w:rPr>
        <w:t xml:space="preserve">COVID-19. </w:t>
      </w:r>
      <w:r w:rsidR="00F83BA5" w:rsidRPr="00BC2155">
        <w:rPr>
          <w:rFonts w:ascii="Arial" w:hAnsi="Arial" w:cs="Arial"/>
          <w:sz w:val="22"/>
        </w:rPr>
        <w:t xml:space="preserve">A key attribute of trust within leadership is the transparency aspect, wherein employees have perceptibility regarding what is taking place within their business. This is particularly significant during the scenario of work-from-home, wherein employees are found to be dependent on leaders for taking critical decisions for the future of their jobs alongside the business. </w:t>
      </w:r>
      <w:r w:rsidR="00952A24" w:rsidRPr="00BC2155">
        <w:rPr>
          <w:rFonts w:ascii="Arial" w:hAnsi="Arial" w:cs="Arial"/>
          <w:sz w:val="22"/>
        </w:rPr>
        <w:t xml:space="preserve">A key attribute of the same has been communication between employees and the management on the manner in which the business has been dealing with Covid-19. </w:t>
      </w:r>
    </w:p>
    <w:p w14:paraId="140D8411" w14:textId="4F5898E3" w:rsidR="00CD262C" w:rsidRPr="00BC2155" w:rsidRDefault="00CD262C" w:rsidP="00BF4C53">
      <w:pPr>
        <w:rPr>
          <w:rFonts w:ascii="Arial" w:hAnsi="Arial" w:cs="Arial"/>
          <w:sz w:val="22"/>
        </w:rPr>
      </w:pPr>
      <w:r w:rsidRPr="00BC2155">
        <w:rPr>
          <w:rFonts w:ascii="Arial" w:hAnsi="Arial" w:cs="Arial"/>
          <w:sz w:val="22"/>
        </w:rPr>
        <w:t xml:space="preserve">To develop credibility in management in the post-COVID-19 era, the Deloitte study encourages check-ins and open talks </w:t>
      </w:r>
      <w:r w:rsidR="00F83BA5" w:rsidRPr="00BC2155">
        <w:rPr>
          <w:rFonts w:ascii="Arial" w:hAnsi="Arial" w:cs="Arial"/>
          <w:sz w:val="22"/>
        </w:rPr>
        <w:t>in regular manner amongst the</w:t>
      </w:r>
      <w:r w:rsidRPr="00BC2155">
        <w:rPr>
          <w:rFonts w:ascii="Arial" w:hAnsi="Arial" w:cs="Arial"/>
          <w:sz w:val="22"/>
        </w:rPr>
        <w:t xml:space="preserve"> managers, </w:t>
      </w:r>
      <w:r w:rsidR="00F83BA5" w:rsidRPr="00BC2155">
        <w:rPr>
          <w:rFonts w:ascii="Arial" w:hAnsi="Arial" w:cs="Arial"/>
          <w:sz w:val="22"/>
        </w:rPr>
        <w:t xml:space="preserve">directors </w:t>
      </w:r>
      <w:r w:rsidR="00F83BA5" w:rsidRPr="00BC2155">
        <w:rPr>
          <w:rFonts w:ascii="Arial" w:hAnsi="Arial" w:cs="Arial"/>
          <w:sz w:val="22"/>
        </w:rPr>
        <w:lastRenderedPageBreak/>
        <w:t>besides</w:t>
      </w:r>
      <w:r w:rsidRPr="00BC2155">
        <w:rPr>
          <w:rFonts w:ascii="Arial" w:hAnsi="Arial" w:cs="Arial"/>
          <w:sz w:val="22"/>
        </w:rPr>
        <w:t xml:space="preserve"> workers, so that </w:t>
      </w:r>
      <w:r w:rsidR="00F83BA5" w:rsidRPr="00BC2155">
        <w:rPr>
          <w:rFonts w:ascii="Arial" w:hAnsi="Arial" w:cs="Arial"/>
          <w:sz w:val="22"/>
        </w:rPr>
        <w:t>individuals</w:t>
      </w:r>
      <w:r w:rsidRPr="00BC2155">
        <w:rPr>
          <w:rFonts w:ascii="Arial" w:hAnsi="Arial" w:cs="Arial"/>
          <w:sz w:val="22"/>
        </w:rPr>
        <w:t xml:space="preserve"> feel involved</w:t>
      </w:r>
      <w:r w:rsidR="00952A24" w:rsidRPr="00BC2155">
        <w:rPr>
          <w:rFonts w:ascii="Arial" w:hAnsi="Arial" w:cs="Arial"/>
          <w:sz w:val="22"/>
        </w:rPr>
        <w:t xml:space="preserve"> and engaged</w:t>
      </w:r>
      <w:r w:rsidRPr="00BC2155">
        <w:rPr>
          <w:rFonts w:ascii="Arial" w:hAnsi="Arial" w:cs="Arial"/>
          <w:sz w:val="22"/>
        </w:rPr>
        <w:t xml:space="preserve"> in what is </w:t>
      </w:r>
      <w:r w:rsidR="00952A24" w:rsidRPr="00BC2155">
        <w:rPr>
          <w:rFonts w:ascii="Arial" w:hAnsi="Arial" w:cs="Arial"/>
          <w:sz w:val="22"/>
        </w:rPr>
        <w:t xml:space="preserve">happening inside their business or workplace. </w:t>
      </w:r>
    </w:p>
    <w:p w14:paraId="357A5D69" w14:textId="57B48052" w:rsidR="00CD262C" w:rsidRPr="00BC2155" w:rsidRDefault="00CD262C" w:rsidP="00CD262C">
      <w:pPr>
        <w:pStyle w:val="Heading1"/>
        <w:rPr>
          <w:rFonts w:ascii="Arial" w:hAnsi="Arial" w:cs="Arial"/>
          <w:sz w:val="22"/>
          <w:szCs w:val="22"/>
        </w:rPr>
      </w:pPr>
      <w:bookmarkStart w:id="6" w:name="_Toc102662509"/>
      <w:r w:rsidRPr="00BC2155">
        <w:rPr>
          <w:rFonts w:ascii="Arial" w:hAnsi="Arial" w:cs="Arial"/>
          <w:sz w:val="22"/>
          <w:szCs w:val="22"/>
        </w:rPr>
        <w:t>2. Diagnostic tools to measure engagement</w:t>
      </w:r>
      <w:bookmarkEnd w:id="6"/>
    </w:p>
    <w:p w14:paraId="4E344138" w14:textId="77777777" w:rsidR="00CD262C" w:rsidRPr="00BC2155" w:rsidRDefault="00CD262C" w:rsidP="00CD262C">
      <w:pPr>
        <w:rPr>
          <w:rFonts w:ascii="Arial" w:hAnsi="Arial" w:cs="Arial"/>
          <w:sz w:val="22"/>
        </w:rPr>
      </w:pPr>
      <w:r w:rsidRPr="00BC2155">
        <w:rPr>
          <w:rFonts w:ascii="Arial" w:hAnsi="Arial" w:cs="Arial"/>
          <w:sz w:val="22"/>
        </w:rPr>
        <w:t>There should be more than guesswork involved in determining employee engagement. The following are some tips on how to measure the employee engagement in the business or in the organisation in the near future and in the immediate post-COVID 19 landscape.</w:t>
      </w:r>
    </w:p>
    <w:p w14:paraId="45B6E526" w14:textId="77777777" w:rsidR="00CD262C" w:rsidRPr="00BC2155" w:rsidRDefault="00CD262C" w:rsidP="00CD4FF4">
      <w:pPr>
        <w:pStyle w:val="Heading2"/>
        <w:rPr>
          <w:rFonts w:ascii="Arial" w:hAnsi="Arial" w:cs="Arial"/>
          <w:sz w:val="22"/>
          <w:szCs w:val="22"/>
        </w:rPr>
      </w:pPr>
      <w:bookmarkStart w:id="7" w:name="_Toc102662510"/>
      <w:r w:rsidRPr="00BC2155">
        <w:rPr>
          <w:rFonts w:ascii="Arial" w:hAnsi="Arial" w:cs="Arial"/>
          <w:sz w:val="22"/>
          <w:szCs w:val="22"/>
        </w:rPr>
        <w:t>Employee engagement surveys</w:t>
      </w:r>
      <w:bookmarkEnd w:id="7"/>
    </w:p>
    <w:p w14:paraId="1481BA8C" w14:textId="77777777" w:rsidR="00CD262C" w:rsidRPr="00BC2155" w:rsidRDefault="00CD262C" w:rsidP="00CD262C">
      <w:pPr>
        <w:rPr>
          <w:rFonts w:ascii="Arial" w:hAnsi="Arial" w:cs="Arial"/>
          <w:b/>
          <w:bCs/>
          <w:sz w:val="22"/>
        </w:rPr>
      </w:pPr>
      <w:r w:rsidRPr="00BC2155">
        <w:rPr>
          <w:rFonts w:ascii="Arial" w:hAnsi="Arial" w:cs="Arial"/>
          <w:b/>
          <w:bCs/>
          <w:sz w:val="22"/>
          <w:shd w:val="clear" w:color="auto" w:fill="FFFFFF"/>
        </w:rPr>
        <w:t>What are they?</w:t>
      </w:r>
    </w:p>
    <w:p w14:paraId="4FDE5B3C" w14:textId="373676EE" w:rsidR="00CD262C" w:rsidRPr="00BC2155" w:rsidRDefault="00CD262C" w:rsidP="00CD262C">
      <w:pPr>
        <w:rPr>
          <w:rFonts w:ascii="Arial" w:hAnsi="Arial" w:cs="Arial"/>
          <w:sz w:val="22"/>
        </w:rPr>
      </w:pPr>
      <w:r w:rsidRPr="00BC2155">
        <w:rPr>
          <w:rFonts w:ascii="Arial" w:hAnsi="Arial" w:cs="Arial"/>
          <w:sz w:val="22"/>
        </w:rPr>
        <w:t>The wide and deep assessments concentrate on the following engagement drivers: well-being, business culture, accessibility, liberty, and communication. The business may query about how individuals feel about their supervisors, the company's management and ambitions, and their connections with their colleagues. Take into account doing these polls either once or sometimes twice per year</w:t>
      </w:r>
      <w:r w:rsidR="006D0C42" w:rsidRPr="00BC2155">
        <w:rPr>
          <w:rFonts w:ascii="Arial" w:hAnsi="Arial" w:cs="Arial"/>
          <w:sz w:val="22"/>
        </w:rPr>
        <w:t xml:space="preserve"> (Cook, 2018)</w:t>
      </w:r>
      <w:r w:rsidRPr="00BC2155">
        <w:rPr>
          <w:rFonts w:ascii="Arial" w:hAnsi="Arial" w:cs="Arial"/>
          <w:sz w:val="22"/>
        </w:rPr>
        <w:t>.</w:t>
      </w:r>
    </w:p>
    <w:p w14:paraId="205EE67D" w14:textId="77777777" w:rsidR="00CD262C" w:rsidRPr="00BC2155" w:rsidRDefault="00CD262C" w:rsidP="00CD262C">
      <w:pPr>
        <w:rPr>
          <w:rFonts w:ascii="Arial" w:hAnsi="Arial" w:cs="Arial"/>
          <w:b/>
          <w:bCs/>
          <w:sz w:val="22"/>
        </w:rPr>
      </w:pPr>
      <w:r w:rsidRPr="00BC2155">
        <w:rPr>
          <w:rFonts w:ascii="Arial" w:hAnsi="Arial" w:cs="Arial"/>
          <w:b/>
          <w:bCs/>
          <w:sz w:val="22"/>
          <w:shd w:val="clear" w:color="auto" w:fill="FFFFFF"/>
        </w:rPr>
        <w:t>How do they work?</w:t>
      </w:r>
    </w:p>
    <w:p w14:paraId="73BD0D24" w14:textId="047AF14B" w:rsidR="00CD262C" w:rsidRPr="00BC2155" w:rsidRDefault="00CD262C" w:rsidP="00CD262C">
      <w:pPr>
        <w:rPr>
          <w:rFonts w:ascii="Arial" w:hAnsi="Arial" w:cs="Arial"/>
          <w:sz w:val="22"/>
        </w:rPr>
      </w:pPr>
      <w:r w:rsidRPr="00BC2155">
        <w:rPr>
          <w:rFonts w:ascii="Arial" w:hAnsi="Arial" w:cs="Arial"/>
          <w:sz w:val="22"/>
        </w:rPr>
        <w:t>Employee engagement assessments, such as pulse surveys, often use sliding scales for responses ranging from 1 to 10, or degrees from the level of agreement or disagreement. Organisations would employ open-ended inquiries to elicit more thorough responses</w:t>
      </w:r>
      <w:r w:rsidR="00CD4FF4" w:rsidRPr="00BC2155">
        <w:rPr>
          <w:rFonts w:ascii="Arial" w:hAnsi="Arial" w:cs="Arial"/>
          <w:sz w:val="22"/>
        </w:rPr>
        <w:t xml:space="preserve"> (Raj, 2020)</w:t>
      </w:r>
      <w:r w:rsidRPr="00BC2155">
        <w:rPr>
          <w:rFonts w:ascii="Arial" w:hAnsi="Arial" w:cs="Arial"/>
          <w:sz w:val="22"/>
        </w:rPr>
        <w:t>.</w:t>
      </w:r>
    </w:p>
    <w:p w14:paraId="36AE2613" w14:textId="77777777" w:rsidR="00CD262C" w:rsidRPr="00BC2155" w:rsidRDefault="00CD262C" w:rsidP="00CD262C">
      <w:pPr>
        <w:rPr>
          <w:rFonts w:ascii="Arial" w:hAnsi="Arial" w:cs="Arial"/>
          <w:b/>
          <w:bCs/>
          <w:sz w:val="22"/>
        </w:rPr>
      </w:pPr>
      <w:r w:rsidRPr="00BC2155">
        <w:rPr>
          <w:rFonts w:ascii="Arial" w:hAnsi="Arial" w:cs="Arial"/>
          <w:b/>
          <w:bCs/>
          <w:sz w:val="22"/>
          <w:shd w:val="clear" w:color="auto" w:fill="FFFFFF"/>
        </w:rPr>
        <w:t>How to carry out an employee engagement survey?</w:t>
      </w:r>
    </w:p>
    <w:p w14:paraId="51F77474" w14:textId="77777777" w:rsidR="00CD262C" w:rsidRPr="00BC2155" w:rsidRDefault="00CD262C" w:rsidP="00CD262C">
      <w:pPr>
        <w:rPr>
          <w:rFonts w:ascii="Arial" w:hAnsi="Arial" w:cs="Arial"/>
          <w:sz w:val="22"/>
        </w:rPr>
      </w:pPr>
      <w:r w:rsidRPr="00BC2155">
        <w:rPr>
          <w:rFonts w:ascii="Arial" w:hAnsi="Arial" w:cs="Arial"/>
          <w:sz w:val="22"/>
        </w:rPr>
        <w:t>Clearly transparent over what the business is seeking to accomplish, make the outcomes obvious to those who participate - and act on any concerns that arise.</w:t>
      </w:r>
    </w:p>
    <w:p w14:paraId="1D3B5FE8" w14:textId="77777777" w:rsidR="00CD262C" w:rsidRPr="00BC2155" w:rsidRDefault="00CD262C" w:rsidP="00CD4FF4">
      <w:pPr>
        <w:pStyle w:val="Heading2"/>
        <w:rPr>
          <w:rFonts w:ascii="Arial" w:hAnsi="Arial" w:cs="Arial"/>
          <w:sz w:val="22"/>
          <w:szCs w:val="22"/>
        </w:rPr>
      </w:pPr>
      <w:bookmarkStart w:id="8" w:name="_Toc102662511"/>
      <w:r w:rsidRPr="00BC2155">
        <w:rPr>
          <w:rFonts w:ascii="Arial" w:hAnsi="Arial" w:cs="Arial"/>
          <w:sz w:val="22"/>
          <w:szCs w:val="22"/>
        </w:rPr>
        <w:t>Exit interviews</w:t>
      </w:r>
      <w:bookmarkEnd w:id="8"/>
    </w:p>
    <w:p w14:paraId="09DB11FD" w14:textId="77777777" w:rsidR="00CD262C" w:rsidRPr="00BC2155" w:rsidRDefault="00CD262C" w:rsidP="00CD262C">
      <w:pPr>
        <w:rPr>
          <w:rFonts w:ascii="Arial" w:hAnsi="Arial" w:cs="Arial"/>
          <w:b/>
          <w:bCs/>
          <w:sz w:val="22"/>
        </w:rPr>
      </w:pPr>
      <w:r w:rsidRPr="00BC2155">
        <w:rPr>
          <w:rFonts w:ascii="Arial" w:hAnsi="Arial" w:cs="Arial"/>
          <w:b/>
          <w:bCs/>
          <w:sz w:val="22"/>
          <w:shd w:val="clear" w:color="auto" w:fill="FFFFFF"/>
        </w:rPr>
        <w:t>What are they?</w:t>
      </w:r>
    </w:p>
    <w:p w14:paraId="344DCE0F" w14:textId="04C5A691" w:rsidR="00CD262C" w:rsidRPr="00BC2155" w:rsidRDefault="00CD262C" w:rsidP="00CD262C">
      <w:pPr>
        <w:rPr>
          <w:rFonts w:ascii="Arial" w:hAnsi="Arial" w:cs="Arial"/>
          <w:sz w:val="22"/>
        </w:rPr>
      </w:pPr>
      <w:r w:rsidRPr="00BC2155">
        <w:rPr>
          <w:rFonts w:ascii="Arial" w:hAnsi="Arial" w:cs="Arial"/>
          <w:sz w:val="22"/>
        </w:rPr>
        <w:t>When someone leaves an organization, the company should conduct an exit interview. Getting engagement insights from someone who's not staying with a company might seem strange, but you can learn a lot about what employees think of the organization, identify problems, and address them</w:t>
      </w:r>
      <w:r w:rsidR="006D0C42" w:rsidRPr="00BC2155">
        <w:rPr>
          <w:rFonts w:ascii="Arial" w:hAnsi="Arial" w:cs="Arial"/>
          <w:sz w:val="22"/>
        </w:rPr>
        <w:t xml:space="preserve"> (Macey and Schneider, 2018)</w:t>
      </w:r>
      <w:r w:rsidRPr="00BC2155">
        <w:rPr>
          <w:rFonts w:ascii="Arial" w:hAnsi="Arial" w:cs="Arial"/>
          <w:sz w:val="22"/>
        </w:rPr>
        <w:t>.</w:t>
      </w:r>
    </w:p>
    <w:p w14:paraId="27E6E34D" w14:textId="77777777" w:rsidR="00CD262C" w:rsidRPr="00BC2155" w:rsidRDefault="00CD262C" w:rsidP="00CD262C">
      <w:pPr>
        <w:rPr>
          <w:rFonts w:ascii="Arial" w:hAnsi="Arial" w:cs="Arial"/>
          <w:b/>
          <w:bCs/>
          <w:sz w:val="22"/>
          <w:shd w:val="clear" w:color="auto" w:fill="FFFFFF"/>
        </w:rPr>
      </w:pPr>
      <w:r w:rsidRPr="00BC2155">
        <w:rPr>
          <w:rFonts w:ascii="Arial" w:hAnsi="Arial" w:cs="Arial"/>
          <w:b/>
          <w:bCs/>
          <w:sz w:val="22"/>
          <w:shd w:val="clear" w:color="auto" w:fill="FFFFFF"/>
        </w:rPr>
        <w:t>How do they work?</w:t>
      </w:r>
    </w:p>
    <w:p w14:paraId="5FAAD03F" w14:textId="0FF07F09" w:rsidR="00CD262C" w:rsidRPr="00BC2155" w:rsidRDefault="00CD262C" w:rsidP="00CD262C">
      <w:pPr>
        <w:rPr>
          <w:rFonts w:ascii="Arial" w:hAnsi="Arial" w:cs="Arial"/>
          <w:sz w:val="22"/>
        </w:rPr>
      </w:pPr>
      <w:r w:rsidRPr="00BC2155">
        <w:rPr>
          <w:rFonts w:ascii="Arial" w:hAnsi="Arial" w:cs="Arial"/>
          <w:sz w:val="22"/>
        </w:rPr>
        <w:t>An employee's evaluation should be completed at the end of their notice period, preferably by someone other than their line manager. As opposed to written exit interviews, it is best to conduct exit interviews face-to-face or via video chat with remote employees. By asking follow-up questions, you will be able to shape the exit interview</w:t>
      </w:r>
      <w:r w:rsidR="00CD4FF4" w:rsidRPr="00BC2155">
        <w:rPr>
          <w:rFonts w:ascii="Arial" w:hAnsi="Arial" w:cs="Arial"/>
          <w:sz w:val="22"/>
        </w:rPr>
        <w:t xml:space="preserve"> (Raj, 2020)</w:t>
      </w:r>
      <w:r w:rsidRPr="00BC2155">
        <w:rPr>
          <w:rFonts w:ascii="Arial" w:hAnsi="Arial" w:cs="Arial"/>
          <w:sz w:val="22"/>
        </w:rPr>
        <w:t>.</w:t>
      </w:r>
    </w:p>
    <w:p w14:paraId="3703E178" w14:textId="0AB70621" w:rsidR="00CD262C" w:rsidRPr="00BC2155" w:rsidRDefault="00CD262C" w:rsidP="00CD262C">
      <w:pPr>
        <w:rPr>
          <w:rFonts w:ascii="Arial" w:hAnsi="Arial" w:cs="Arial"/>
          <w:b/>
          <w:bCs/>
          <w:sz w:val="22"/>
          <w:shd w:val="clear" w:color="auto" w:fill="FFFFFF"/>
        </w:rPr>
      </w:pPr>
      <w:r w:rsidRPr="00BC2155">
        <w:rPr>
          <w:rFonts w:ascii="Arial" w:hAnsi="Arial" w:cs="Arial"/>
          <w:b/>
          <w:bCs/>
          <w:sz w:val="22"/>
          <w:shd w:val="clear" w:color="auto" w:fill="FFFFFF"/>
        </w:rPr>
        <w:lastRenderedPageBreak/>
        <w:t>How to carry out an exit interview?</w:t>
      </w:r>
    </w:p>
    <w:p w14:paraId="2AED979B" w14:textId="77777777" w:rsidR="00CD262C" w:rsidRPr="00BC2155" w:rsidRDefault="00CD262C" w:rsidP="00CD262C">
      <w:pPr>
        <w:rPr>
          <w:rFonts w:ascii="Arial" w:hAnsi="Arial" w:cs="Arial"/>
          <w:sz w:val="22"/>
        </w:rPr>
      </w:pPr>
      <w:r w:rsidRPr="00BC2155">
        <w:rPr>
          <w:rFonts w:ascii="Arial" w:hAnsi="Arial" w:cs="Arial"/>
          <w:sz w:val="22"/>
        </w:rPr>
        <w:t>Exit interviews should be done in accordance with a framework. The business should inquire about why the employees are leaving the job, what the company believes works well, and where they think there is room for improvement.</w:t>
      </w:r>
    </w:p>
    <w:p w14:paraId="77DDD512" w14:textId="77777777" w:rsidR="00CD262C" w:rsidRPr="00BC2155" w:rsidRDefault="00CD262C" w:rsidP="00CD4FF4">
      <w:pPr>
        <w:pStyle w:val="Heading2"/>
        <w:rPr>
          <w:rFonts w:ascii="Arial" w:hAnsi="Arial" w:cs="Arial"/>
          <w:sz w:val="22"/>
          <w:szCs w:val="22"/>
        </w:rPr>
      </w:pPr>
      <w:bookmarkStart w:id="9" w:name="_Toc102662512"/>
      <w:r w:rsidRPr="00BC2155">
        <w:rPr>
          <w:rFonts w:ascii="Arial" w:hAnsi="Arial" w:cs="Arial"/>
          <w:sz w:val="22"/>
          <w:szCs w:val="22"/>
        </w:rPr>
        <w:t>Focus groups</w:t>
      </w:r>
      <w:bookmarkEnd w:id="9"/>
    </w:p>
    <w:p w14:paraId="1444037C" w14:textId="77777777" w:rsidR="00CD262C" w:rsidRPr="00BC2155" w:rsidRDefault="00CD262C" w:rsidP="00CD262C">
      <w:pPr>
        <w:rPr>
          <w:rFonts w:ascii="Arial" w:hAnsi="Arial" w:cs="Arial"/>
          <w:b/>
          <w:bCs/>
          <w:sz w:val="22"/>
        </w:rPr>
      </w:pPr>
      <w:r w:rsidRPr="00BC2155">
        <w:rPr>
          <w:rFonts w:ascii="Arial" w:hAnsi="Arial" w:cs="Arial"/>
          <w:b/>
          <w:bCs/>
          <w:sz w:val="22"/>
          <w:shd w:val="clear" w:color="auto" w:fill="FFFFFF"/>
        </w:rPr>
        <w:t>What are they?</w:t>
      </w:r>
    </w:p>
    <w:p w14:paraId="10466DE9" w14:textId="4AD79A36" w:rsidR="00CD262C" w:rsidRPr="00BC2155" w:rsidRDefault="00CD262C" w:rsidP="00CD262C">
      <w:pPr>
        <w:rPr>
          <w:rFonts w:ascii="Arial" w:hAnsi="Arial" w:cs="Arial"/>
          <w:sz w:val="22"/>
        </w:rPr>
      </w:pPr>
      <w:r w:rsidRPr="00BC2155">
        <w:rPr>
          <w:rFonts w:ascii="Arial" w:hAnsi="Arial" w:cs="Arial"/>
          <w:sz w:val="22"/>
        </w:rPr>
        <w:t>The purpose of focus groups is to gauge what attitudes people hold about certain products in market research. However, they can also be used to explore employee concerns. The purpose of these interviews is to dig deeper into employee attitudes and uncover engagement barriers, despite the fact that fewer people are involved than in a survey</w:t>
      </w:r>
      <w:r w:rsidR="006D0C42" w:rsidRPr="00BC2155">
        <w:rPr>
          <w:rFonts w:ascii="Arial" w:hAnsi="Arial" w:cs="Arial"/>
          <w:sz w:val="22"/>
        </w:rPr>
        <w:t xml:space="preserve"> (Matthews, 2018)</w:t>
      </w:r>
      <w:r w:rsidRPr="00BC2155">
        <w:rPr>
          <w:rFonts w:ascii="Arial" w:hAnsi="Arial" w:cs="Arial"/>
          <w:sz w:val="22"/>
        </w:rPr>
        <w:t>.</w:t>
      </w:r>
    </w:p>
    <w:p w14:paraId="78F35085" w14:textId="77777777" w:rsidR="00CD262C" w:rsidRPr="00BC2155" w:rsidRDefault="00CD262C" w:rsidP="00CD262C">
      <w:pPr>
        <w:rPr>
          <w:rFonts w:ascii="Arial" w:hAnsi="Arial" w:cs="Arial"/>
          <w:b/>
          <w:bCs/>
          <w:sz w:val="22"/>
          <w:shd w:val="clear" w:color="auto" w:fill="FFFFFF"/>
        </w:rPr>
      </w:pPr>
      <w:r w:rsidRPr="00BC2155">
        <w:rPr>
          <w:rFonts w:ascii="Arial" w:hAnsi="Arial" w:cs="Arial"/>
          <w:b/>
          <w:bCs/>
          <w:sz w:val="22"/>
          <w:shd w:val="clear" w:color="auto" w:fill="FFFFFF"/>
        </w:rPr>
        <w:t>How do they work?</w:t>
      </w:r>
    </w:p>
    <w:p w14:paraId="2964E618" w14:textId="77777777" w:rsidR="00CD262C" w:rsidRPr="00BC2155" w:rsidRDefault="00CD262C" w:rsidP="00CD262C">
      <w:pPr>
        <w:rPr>
          <w:rFonts w:ascii="Arial" w:hAnsi="Arial" w:cs="Arial"/>
          <w:sz w:val="22"/>
        </w:rPr>
      </w:pPr>
      <w:r w:rsidRPr="00BC2155">
        <w:rPr>
          <w:rFonts w:ascii="Arial" w:hAnsi="Arial" w:cs="Arial"/>
          <w:sz w:val="22"/>
        </w:rPr>
        <w:t xml:space="preserve">The company management should organise an open meeting where employees would feel free to convey their messages. Or administration shows up the survey results on the board meeting. </w:t>
      </w:r>
    </w:p>
    <w:p w14:paraId="1EDBF03A" w14:textId="011B74A0" w:rsidR="00CD262C" w:rsidRPr="00BC2155" w:rsidRDefault="00CD262C" w:rsidP="00CD262C">
      <w:pPr>
        <w:rPr>
          <w:rFonts w:ascii="Arial" w:hAnsi="Arial" w:cs="Arial"/>
          <w:b/>
          <w:bCs/>
          <w:sz w:val="22"/>
          <w:shd w:val="clear" w:color="auto" w:fill="FFFFFF"/>
        </w:rPr>
      </w:pPr>
      <w:r w:rsidRPr="00BC2155">
        <w:rPr>
          <w:rFonts w:ascii="Arial" w:hAnsi="Arial" w:cs="Arial"/>
          <w:b/>
          <w:bCs/>
          <w:sz w:val="22"/>
          <w:shd w:val="clear" w:color="auto" w:fill="FFFFFF"/>
        </w:rPr>
        <w:t>How to run a focus group?</w:t>
      </w:r>
    </w:p>
    <w:p w14:paraId="42AB9CA9" w14:textId="52E4E147" w:rsidR="00CD262C" w:rsidRPr="00BC2155" w:rsidRDefault="00CD262C" w:rsidP="00BF4C53">
      <w:pPr>
        <w:rPr>
          <w:rFonts w:ascii="Arial" w:hAnsi="Arial" w:cs="Arial"/>
          <w:sz w:val="22"/>
        </w:rPr>
      </w:pPr>
      <w:proofErr w:type="gramStart"/>
      <w:r w:rsidRPr="00BC2155">
        <w:rPr>
          <w:rFonts w:ascii="Arial" w:hAnsi="Arial" w:cs="Arial"/>
          <w:sz w:val="22"/>
        </w:rPr>
        <w:t>Beginning of the meet up need a clear purpose to focus on.</w:t>
      </w:r>
      <w:proofErr w:type="gramEnd"/>
      <w:r w:rsidRPr="00BC2155">
        <w:rPr>
          <w:rFonts w:ascii="Arial" w:hAnsi="Arial" w:cs="Arial"/>
          <w:sz w:val="22"/>
        </w:rPr>
        <w:t xml:space="preserve"> The aim and goals of the meeting should have a clear idea. The questions and participants should be chosen priory. There will be a moderator who will guide the entire discussion procedure. Ideally, the moderator should be someone who is completely neutral and not the manager or representative of any of the participants, so that everyone is able to freely express their opinions and complaints</w:t>
      </w:r>
      <w:r w:rsidR="00CD4FF4" w:rsidRPr="00BC2155">
        <w:rPr>
          <w:rFonts w:ascii="Arial" w:hAnsi="Arial" w:cs="Arial"/>
          <w:sz w:val="22"/>
        </w:rPr>
        <w:t xml:space="preserve"> (</w:t>
      </w:r>
      <w:proofErr w:type="spellStart"/>
      <w:r w:rsidR="00CD4FF4" w:rsidRPr="00BC2155">
        <w:rPr>
          <w:rFonts w:ascii="Arial" w:hAnsi="Arial" w:cs="Arial"/>
          <w:sz w:val="22"/>
        </w:rPr>
        <w:t>Arasanmi</w:t>
      </w:r>
      <w:proofErr w:type="spellEnd"/>
      <w:r w:rsidR="00CD4FF4" w:rsidRPr="00BC2155">
        <w:rPr>
          <w:rFonts w:ascii="Arial" w:hAnsi="Arial" w:cs="Arial"/>
          <w:sz w:val="22"/>
        </w:rPr>
        <w:t xml:space="preserve"> and Krishna, 2019)</w:t>
      </w:r>
      <w:r w:rsidRPr="00BC2155">
        <w:rPr>
          <w:rFonts w:ascii="Arial" w:hAnsi="Arial" w:cs="Arial"/>
          <w:sz w:val="22"/>
        </w:rPr>
        <w:t xml:space="preserve">. </w:t>
      </w:r>
    </w:p>
    <w:p w14:paraId="22AE0BA7" w14:textId="1FA85073" w:rsidR="005E0FBD" w:rsidRPr="00BC2155" w:rsidRDefault="00BF4C53" w:rsidP="00CD262C">
      <w:pPr>
        <w:pStyle w:val="Heading1"/>
        <w:rPr>
          <w:rFonts w:ascii="Arial" w:hAnsi="Arial" w:cs="Arial"/>
          <w:sz w:val="22"/>
          <w:szCs w:val="22"/>
        </w:rPr>
      </w:pPr>
      <w:bookmarkStart w:id="10" w:name="_Toc102662513"/>
      <w:r w:rsidRPr="00BC2155">
        <w:rPr>
          <w:rFonts w:ascii="Arial" w:hAnsi="Arial" w:cs="Arial"/>
          <w:sz w:val="22"/>
          <w:szCs w:val="22"/>
        </w:rPr>
        <w:t>3. An employee value proposition from the ideas and analysis previously covered, including strategies to raise levels of engagement.</w:t>
      </w:r>
      <w:bookmarkEnd w:id="10"/>
    </w:p>
    <w:p w14:paraId="2AFC48CF" w14:textId="3E18CA92" w:rsidR="00BF4C53" w:rsidRPr="00BC2155" w:rsidRDefault="00BF4C53" w:rsidP="00BF4C53">
      <w:pPr>
        <w:rPr>
          <w:rFonts w:ascii="Arial" w:hAnsi="Arial" w:cs="Arial"/>
          <w:sz w:val="22"/>
        </w:rPr>
      </w:pPr>
      <w:r w:rsidRPr="00BC2155">
        <w:rPr>
          <w:rFonts w:ascii="Arial" w:hAnsi="Arial" w:cs="Arial"/>
          <w:sz w:val="22"/>
        </w:rPr>
        <w:t xml:space="preserve">The pandemic has transformed the relationship between individuals as well as their work, wherein the EVP (employee value proposition) requires evolving in reflecting such changes. Businesses in modern times tend to spend an average of </w:t>
      </w:r>
      <w:r w:rsidR="0017611E" w:rsidRPr="00BC2155">
        <w:rPr>
          <w:rFonts w:ascii="Arial" w:hAnsi="Arial" w:cs="Arial"/>
          <w:sz w:val="22"/>
        </w:rPr>
        <w:t>1900-2000 GBP per employee on the experiences of employees each year, and investments of such sort are projected to continue. Attempts in modernizing the EVP characteristically add on features- from the workers’ upskilling to keeping up with the emergent digital skills to proffering insurance for pets. Such efforts are stated being costly and have not been able to yield benefits expected. The aspect of employee engagement has not developed in tangible manner since the year 2016, and then emerged Covid-19</w:t>
      </w:r>
      <w:r w:rsidR="00CD4FF4" w:rsidRPr="00BC2155">
        <w:rPr>
          <w:rFonts w:ascii="Arial" w:hAnsi="Arial" w:cs="Arial"/>
          <w:sz w:val="22"/>
        </w:rPr>
        <w:t xml:space="preserve"> (Raj, 2020)</w:t>
      </w:r>
      <w:r w:rsidR="0017611E" w:rsidRPr="00BC2155">
        <w:rPr>
          <w:rFonts w:ascii="Arial" w:hAnsi="Arial" w:cs="Arial"/>
          <w:sz w:val="22"/>
        </w:rPr>
        <w:t xml:space="preserve">. </w:t>
      </w:r>
    </w:p>
    <w:p w14:paraId="7ED2B65A" w14:textId="07FE7B42" w:rsidR="0017611E" w:rsidRPr="00BC2155" w:rsidRDefault="0017611E" w:rsidP="00BF4C53">
      <w:pPr>
        <w:rPr>
          <w:rFonts w:ascii="Arial" w:hAnsi="Arial" w:cs="Arial"/>
          <w:sz w:val="22"/>
        </w:rPr>
      </w:pPr>
      <w:r w:rsidRPr="00BC2155">
        <w:rPr>
          <w:rFonts w:ascii="Arial" w:hAnsi="Arial" w:cs="Arial"/>
          <w:sz w:val="22"/>
        </w:rPr>
        <w:lastRenderedPageBreak/>
        <w:t xml:space="preserve">The actual reality is that the 3 shifts within work environment have to a certain degree eroded the conventional EVP’s impact: employees are </w:t>
      </w:r>
      <w:r w:rsidR="00060399" w:rsidRPr="00BC2155">
        <w:rPr>
          <w:rFonts w:ascii="Arial" w:hAnsi="Arial" w:cs="Arial"/>
          <w:sz w:val="22"/>
        </w:rPr>
        <w:t>seen as people, not simply workers; work is stated being a subset of life, not distinct from it; with values emerging from feelings, and not simply features</w:t>
      </w:r>
      <w:r w:rsidR="00CD4FF4" w:rsidRPr="00BC2155">
        <w:rPr>
          <w:rFonts w:ascii="Arial" w:hAnsi="Arial" w:cs="Arial"/>
          <w:sz w:val="22"/>
        </w:rPr>
        <w:t xml:space="preserve"> (</w:t>
      </w:r>
      <w:proofErr w:type="spellStart"/>
      <w:r w:rsidR="00CD4FF4" w:rsidRPr="00BC2155">
        <w:rPr>
          <w:rFonts w:ascii="Arial" w:hAnsi="Arial" w:cs="Arial"/>
          <w:sz w:val="22"/>
        </w:rPr>
        <w:t>Arasanmi</w:t>
      </w:r>
      <w:proofErr w:type="spellEnd"/>
      <w:r w:rsidR="00CD4FF4" w:rsidRPr="00BC2155">
        <w:rPr>
          <w:rFonts w:ascii="Arial" w:hAnsi="Arial" w:cs="Arial"/>
          <w:sz w:val="22"/>
        </w:rPr>
        <w:t xml:space="preserve"> and Krishna, 2019)</w:t>
      </w:r>
      <w:r w:rsidR="00060399" w:rsidRPr="00BC2155">
        <w:rPr>
          <w:rFonts w:ascii="Arial" w:hAnsi="Arial" w:cs="Arial"/>
          <w:sz w:val="22"/>
        </w:rPr>
        <w:t xml:space="preserve">. </w:t>
      </w:r>
    </w:p>
    <w:p w14:paraId="7585AA34" w14:textId="5B7E579C" w:rsidR="00060399" w:rsidRPr="00BC2155" w:rsidRDefault="00060399" w:rsidP="00BF4C53">
      <w:pPr>
        <w:rPr>
          <w:rFonts w:ascii="Arial" w:hAnsi="Arial" w:cs="Arial"/>
          <w:sz w:val="22"/>
        </w:rPr>
      </w:pPr>
      <w:r w:rsidRPr="00BC2155">
        <w:rPr>
          <w:rFonts w:ascii="Arial" w:hAnsi="Arial" w:cs="Arial"/>
          <w:sz w:val="22"/>
        </w:rPr>
        <w:t>Persistent challenges regarding engagement and attraction, along with the human crisis of 2020</w:t>
      </w:r>
      <w:r w:rsidR="00D073C9" w:rsidRPr="00BC2155">
        <w:rPr>
          <w:rFonts w:ascii="Arial" w:hAnsi="Arial" w:cs="Arial"/>
          <w:sz w:val="22"/>
        </w:rPr>
        <w:t xml:space="preserve"> have proven the fact that the principles of management primary to EVP are largely outdated. Employee value proposition have for long being dealt with 3 principles in mind: demarcated around employees, designed in providing an employee experience deemed exceptional as well as focused on distributing features which match the needs of the employees. </w:t>
      </w:r>
      <w:r w:rsidR="00080AD2" w:rsidRPr="00BC2155">
        <w:rPr>
          <w:rFonts w:ascii="Arial" w:hAnsi="Arial" w:cs="Arial"/>
          <w:sz w:val="22"/>
        </w:rPr>
        <w:t>Evidently, this conventional approach to EVP has been falling short and the problem lies in the fact that too much focus is being given on “what companies offer their employees” instead of “why”</w:t>
      </w:r>
      <w:r w:rsidR="006D0C42" w:rsidRPr="00BC2155">
        <w:rPr>
          <w:rFonts w:ascii="Arial" w:hAnsi="Arial" w:cs="Arial"/>
          <w:sz w:val="22"/>
        </w:rPr>
        <w:t xml:space="preserve"> (Bridger, 2022)</w:t>
      </w:r>
      <w:r w:rsidR="00080AD2" w:rsidRPr="00BC2155">
        <w:rPr>
          <w:rFonts w:ascii="Arial" w:hAnsi="Arial" w:cs="Arial"/>
          <w:sz w:val="22"/>
        </w:rPr>
        <w:t xml:space="preserve">. </w:t>
      </w:r>
    </w:p>
    <w:p w14:paraId="1A6CBE8D" w14:textId="30D23FF5" w:rsidR="00080AD2" w:rsidRPr="00BC2155" w:rsidRDefault="00080AD2" w:rsidP="00BF4C53">
      <w:pPr>
        <w:rPr>
          <w:rFonts w:ascii="Arial" w:hAnsi="Arial" w:cs="Arial"/>
          <w:sz w:val="22"/>
        </w:rPr>
      </w:pPr>
      <w:r w:rsidRPr="00BC2155">
        <w:rPr>
          <w:rFonts w:ascii="Arial" w:hAnsi="Arial" w:cs="Arial"/>
          <w:sz w:val="22"/>
        </w:rPr>
        <w:t xml:space="preserve">Some of the telling signals which </w:t>
      </w:r>
      <w:proofErr w:type="gramStart"/>
      <w:r w:rsidRPr="00BC2155">
        <w:rPr>
          <w:rFonts w:ascii="Arial" w:hAnsi="Arial" w:cs="Arial"/>
          <w:sz w:val="22"/>
        </w:rPr>
        <w:t>indicates</w:t>
      </w:r>
      <w:proofErr w:type="gramEnd"/>
      <w:r w:rsidRPr="00BC2155">
        <w:rPr>
          <w:rFonts w:ascii="Arial" w:hAnsi="Arial" w:cs="Arial"/>
          <w:sz w:val="22"/>
        </w:rPr>
        <w:t xml:space="preserve"> deepening weakness in conventional EVP is:</w:t>
      </w:r>
    </w:p>
    <w:p w14:paraId="0CEC5E1E" w14:textId="346C4E0B" w:rsidR="00080AD2" w:rsidRPr="00BC2155" w:rsidRDefault="00080AD2" w:rsidP="00BF4C53">
      <w:pPr>
        <w:rPr>
          <w:rFonts w:ascii="Arial" w:hAnsi="Arial" w:cs="Arial"/>
          <w:sz w:val="22"/>
        </w:rPr>
      </w:pPr>
      <w:r w:rsidRPr="00BC2155">
        <w:rPr>
          <w:rFonts w:ascii="Arial" w:hAnsi="Arial" w:cs="Arial"/>
          <w:sz w:val="22"/>
        </w:rPr>
        <w:t xml:space="preserve">-Engagement: Engagement that drives both performance as well as retention outcomes has stayed comparatively flat since the year 2016. </w:t>
      </w:r>
    </w:p>
    <w:p w14:paraId="39FACDBE" w14:textId="7CC3DD32" w:rsidR="00080AD2" w:rsidRPr="00BC2155" w:rsidRDefault="00080AD2" w:rsidP="00BF4C53">
      <w:pPr>
        <w:rPr>
          <w:rFonts w:ascii="Arial" w:hAnsi="Arial" w:cs="Arial"/>
          <w:sz w:val="22"/>
        </w:rPr>
      </w:pPr>
      <w:r w:rsidRPr="00BC2155">
        <w:rPr>
          <w:rFonts w:ascii="Arial" w:hAnsi="Arial" w:cs="Arial"/>
          <w:sz w:val="22"/>
        </w:rPr>
        <w:t xml:space="preserve">-Attraction: Only 29% of the leaders deemed ‘functional’ reports they possess all the talent they require in meeting the present performance needs. This challenge is particularly pronounced within most competitive areas concerning the labour market, like data science and IT roles. </w:t>
      </w:r>
    </w:p>
    <w:p w14:paraId="0109C7E5" w14:textId="273F71AC" w:rsidR="00080AD2" w:rsidRPr="00BC2155" w:rsidRDefault="00080AD2" w:rsidP="00BF4C53">
      <w:pPr>
        <w:rPr>
          <w:rFonts w:ascii="Arial" w:hAnsi="Arial" w:cs="Arial"/>
          <w:sz w:val="22"/>
        </w:rPr>
      </w:pPr>
      <w:r w:rsidRPr="00BC2155">
        <w:rPr>
          <w:rFonts w:ascii="Arial" w:hAnsi="Arial" w:cs="Arial"/>
          <w:sz w:val="22"/>
        </w:rPr>
        <w:t xml:space="preserve">-EVP satisfaction: </w:t>
      </w:r>
      <w:r w:rsidR="0020013F" w:rsidRPr="00BC2155">
        <w:rPr>
          <w:rFonts w:ascii="Arial" w:hAnsi="Arial" w:cs="Arial"/>
          <w:sz w:val="22"/>
        </w:rPr>
        <w:t>M</w:t>
      </w:r>
      <w:r w:rsidRPr="00BC2155">
        <w:rPr>
          <w:rFonts w:ascii="Arial" w:hAnsi="Arial" w:cs="Arial"/>
          <w:sz w:val="22"/>
        </w:rPr>
        <w:t xml:space="preserve">erely 31% of the HR leaders contemplate </w:t>
      </w:r>
      <w:r w:rsidR="0020013F" w:rsidRPr="00BC2155">
        <w:rPr>
          <w:rFonts w:ascii="Arial" w:hAnsi="Arial" w:cs="Arial"/>
          <w:sz w:val="22"/>
        </w:rPr>
        <w:t xml:space="preserve">that their employees are satisfied with employee value proposition, wherein 65% of the candidates reported they have truly discounted a process of hiring on grounds of an unattracted EVP. </w:t>
      </w:r>
    </w:p>
    <w:p w14:paraId="47F89C8A" w14:textId="52F5310A" w:rsidR="0020013F" w:rsidRPr="00BC2155" w:rsidRDefault="006D0C42" w:rsidP="00BF4C53">
      <w:pPr>
        <w:rPr>
          <w:rFonts w:ascii="Arial" w:hAnsi="Arial" w:cs="Arial"/>
          <w:sz w:val="22"/>
        </w:rPr>
      </w:pPr>
      <w:r w:rsidRPr="00BC2155">
        <w:rPr>
          <w:rFonts w:ascii="Arial" w:hAnsi="Arial" w:cs="Arial"/>
          <w:sz w:val="22"/>
        </w:rPr>
        <w:t xml:space="preserve">According to Browne, (2017) </w:t>
      </w:r>
      <w:r w:rsidR="0020013F" w:rsidRPr="00BC2155">
        <w:rPr>
          <w:rFonts w:ascii="Arial" w:hAnsi="Arial" w:cs="Arial"/>
          <w:sz w:val="22"/>
        </w:rPr>
        <w:t xml:space="preserve">HR leaders require evolving the management of their EVP by delivering a deal that is more human around the whole person, designed in offering a life experience deemed exceptional as well as focused on features plus feelings which matches the needs of the employees. The new human deal encompasses 5 components: growth at personal level, radical flexibility, deeper connections, shared purpose along with holistic well-being. </w:t>
      </w:r>
      <w:r w:rsidR="00D77C90" w:rsidRPr="00BC2155">
        <w:rPr>
          <w:rFonts w:ascii="Arial" w:hAnsi="Arial" w:cs="Arial"/>
          <w:sz w:val="22"/>
        </w:rPr>
        <w:t xml:space="preserve">In order to deliver on all the factors of this human deal, people notice emotional value within employment within the business by enabling them in feeling more understood, invested, autonomous as well as valued. The EVP that is being </w:t>
      </w:r>
      <w:proofErr w:type="gramStart"/>
      <w:r w:rsidR="00D77C90" w:rsidRPr="00BC2155">
        <w:rPr>
          <w:rFonts w:ascii="Arial" w:hAnsi="Arial" w:cs="Arial"/>
          <w:sz w:val="22"/>
        </w:rPr>
        <w:t>reinvented,</w:t>
      </w:r>
      <w:proofErr w:type="gramEnd"/>
      <w:r w:rsidR="00D77C90" w:rsidRPr="00BC2155">
        <w:rPr>
          <w:rFonts w:ascii="Arial" w:hAnsi="Arial" w:cs="Arial"/>
          <w:sz w:val="22"/>
        </w:rPr>
        <w:t xml:space="preserve"> designed in delivering an exceptional life, not simply work, outcomes and experience within higher employee satisfaction and engagement. </w:t>
      </w:r>
    </w:p>
    <w:p w14:paraId="28949B79" w14:textId="01F331BF" w:rsidR="00D77C90" w:rsidRPr="00BC2155" w:rsidRDefault="00D77C90" w:rsidP="00BF4C53">
      <w:pPr>
        <w:rPr>
          <w:rFonts w:ascii="Arial" w:hAnsi="Arial" w:cs="Arial"/>
          <w:sz w:val="22"/>
        </w:rPr>
      </w:pPr>
      <w:r w:rsidRPr="00BC2155">
        <w:rPr>
          <w:rFonts w:ascii="Arial" w:hAnsi="Arial" w:cs="Arial"/>
          <w:sz w:val="22"/>
        </w:rPr>
        <w:t xml:space="preserve">In this post-Covid era, creating personal opportunities of growth for employees holds key by offering them with objective career coaches alongside allowing them in designing </w:t>
      </w:r>
      <w:r w:rsidRPr="00BC2155">
        <w:rPr>
          <w:rFonts w:ascii="Arial" w:hAnsi="Arial" w:cs="Arial"/>
          <w:sz w:val="22"/>
        </w:rPr>
        <w:lastRenderedPageBreak/>
        <w:t>development which meets their personal requirements</w:t>
      </w:r>
      <w:r w:rsidR="00641071" w:rsidRPr="00BC2155">
        <w:rPr>
          <w:rFonts w:ascii="Arial" w:hAnsi="Arial" w:cs="Arial"/>
          <w:sz w:val="22"/>
        </w:rPr>
        <w:t xml:space="preserve">. </w:t>
      </w:r>
      <w:r w:rsidR="006D0C42" w:rsidRPr="00BC2155">
        <w:rPr>
          <w:rFonts w:ascii="Arial" w:hAnsi="Arial" w:cs="Arial"/>
          <w:sz w:val="22"/>
        </w:rPr>
        <w:t>According to Cook, (2018) d</w:t>
      </w:r>
      <w:r w:rsidR="00641071" w:rsidRPr="00BC2155">
        <w:rPr>
          <w:rFonts w:ascii="Arial" w:hAnsi="Arial" w:cs="Arial"/>
          <w:sz w:val="22"/>
        </w:rPr>
        <w:t xml:space="preserve">eeper connections and engagement are built through integration of inclusion goals into day-to-day activities as well as process of talent, keeping the focus on direct family benefits which matches the needs of employees and business, as well as training managers regarding the manner in which employees’ trust can be identified via empathetic conversations. The </w:t>
      </w:r>
      <w:r w:rsidR="009A3A75" w:rsidRPr="00BC2155">
        <w:rPr>
          <w:rFonts w:ascii="Arial" w:hAnsi="Arial" w:cs="Arial"/>
          <w:sz w:val="22"/>
        </w:rPr>
        <w:t xml:space="preserve">holistic well-being of the employees needs to be ensured by holding the staffs responsible in order to personalize the well-being </w:t>
      </w:r>
      <w:r w:rsidR="00CD3B8D" w:rsidRPr="00BC2155">
        <w:rPr>
          <w:rFonts w:ascii="Arial" w:hAnsi="Arial" w:cs="Arial"/>
          <w:sz w:val="22"/>
        </w:rPr>
        <w:t>growth</w:t>
      </w:r>
      <w:r w:rsidR="009A3A75" w:rsidRPr="00BC2155">
        <w:rPr>
          <w:rFonts w:ascii="Arial" w:hAnsi="Arial" w:cs="Arial"/>
          <w:sz w:val="22"/>
        </w:rPr>
        <w:t xml:space="preserve">, </w:t>
      </w:r>
      <w:r w:rsidR="00CD3B8D" w:rsidRPr="00BC2155">
        <w:rPr>
          <w:rFonts w:ascii="Arial" w:hAnsi="Arial" w:cs="Arial"/>
          <w:sz w:val="22"/>
        </w:rPr>
        <w:t xml:space="preserve">encouraging the champions of mental health in holding honest discussions about the mental well-being, plus establishing clearly the dos and don’ts concerning the way managers can support employee engagement and wellness. </w:t>
      </w:r>
    </w:p>
    <w:p w14:paraId="585E7EFC" w14:textId="170AE84C" w:rsidR="00E9048A" w:rsidRPr="00BC2155" w:rsidRDefault="00E9048A" w:rsidP="00E9048A">
      <w:pPr>
        <w:pStyle w:val="Heading1"/>
        <w:rPr>
          <w:rFonts w:ascii="Arial" w:hAnsi="Arial" w:cs="Arial"/>
          <w:sz w:val="22"/>
          <w:szCs w:val="22"/>
        </w:rPr>
      </w:pPr>
      <w:bookmarkStart w:id="11" w:name="_Toc102662514"/>
      <w:r w:rsidRPr="00BC2155">
        <w:rPr>
          <w:rFonts w:ascii="Arial" w:hAnsi="Arial" w:cs="Arial"/>
          <w:sz w:val="22"/>
          <w:szCs w:val="22"/>
        </w:rPr>
        <w:t>Conclusion</w:t>
      </w:r>
      <w:bookmarkEnd w:id="11"/>
    </w:p>
    <w:p w14:paraId="187E586B" w14:textId="769AD0E9" w:rsidR="00E9048A" w:rsidRPr="00BC2155" w:rsidRDefault="00E9048A" w:rsidP="00BF4C53">
      <w:pPr>
        <w:rPr>
          <w:rFonts w:ascii="Arial" w:hAnsi="Arial" w:cs="Arial"/>
          <w:sz w:val="22"/>
        </w:rPr>
      </w:pPr>
      <w:r w:rsidRPr="00BC2155">
        <w:rPr>
          <w:rFonts w:ascii="Arial" w:hAnsi="Arial" w:cs="Arial"/>
          <w:sz w:val="22"/>
        </w:rPr>
        <w:t xml:space="preserve">From the discussion made above it can be concluded that even though many businesses have encountered challenges in adjusting their styles of management during Covid-19, lessons learnt concerning employee engagement will bring about changes of positive sort in the mindsets of the employees. The emotional connection development between employees and their workplace, post-Covid will be leading to lower turnover of employees, improved motivation and productivity. </w:t>
      </w:r>
    </w:p>
    <w:p w14:paraId="2C4D627F" w14:textId="2FC872B0" w:rsidR="00E9048A" w:rsidRPr="00BC2155" w:rsidRDefault="00E9048A" w:rsidP="00BF4C53">
      <w:pPr>
        <w:rPr>
          <w:rFonts w:ascii="Arial" w:hAnsi="Arial" w:cs="Arial"/>
          <w:sz w:val="22"/>
        </w:rPr>
      </w:pPr>
    </w:p>
    <w:p w14:paraId="340A1E57" w14:textId="4ECF9485" w:rsidR="00E9048A" w:rsidRPr="00BC2155" w:rsidRDefault="00E9048A" w:rsidP="00202718">
      <w:pPr>
        <w:pStyle w:val="Heading1"/>
        <w:rPr>
          <w:rFonts w:ascii="Arial" w:hAnsi="Arial" w:cs="Arial"/>
          <w:sz w:val="22"/>
          <w:szCs w:val="22"/>
        </w:rPr>
      </w:pPr>
      <w:bookmarkStart w:id="12" w:name="_Toc102662515"/>
      <w:r w:rsidRPr="00BC2155">
        <w:rPr>
          <w:rFonts w:ascii="Arial" w:hAnsi="Arial" w:cs="Arial"/>
          <w:sz w:val="22"/>
          <w:szCs w:val="22"/>
        </w:rPr>
        <w:t>References</w:t>
      </w:r>
      <w:bookmarkEnd w:id="12"/>
    </w:p>
    <w:p w14:paraId="0092BC1D" w14:textId="77777777" w:rsidR="00CD4FF4" w:rsidRPr="00BC2155" w:rsidRDefault="00CD4FF4" w:rsidP="00BF4C53">
      <w:pPr>
        <w:rPr>
          <w:rFonts w:ascii="Arial" w:hAnsi="Arial" w:cs="Arial"/>
          <w:sz w:val="22"/>
        </w:rPr>
      </w:pPr>
      <w:proofErr w:type="gramStart"/>
      <w:r w:rsidRPr="00BC2155">
        <w:rPr>
          <w:rFonts w:ascii="Arial" w:hAnsi="Arial" w:cs="Arial"/>
          <w:sz w:val="22"/>
        </w:rPr>
        <w:t xml:space="preserve">Ahmed, T., Khan, M.S., </w:t>
      </w:r>
      <w:proofErr w:type="spellStart"/>
      <w:r w:rsidRPr="00BC2155">
        <w:rPr>
          <w:rFonts w:ascii="Arial" w:hAnsi="Arial" w:cs="Arial"/>
          <w:sz w:val="22"/>
        </w:rPr>
        <w:t>Thitivesa</w:t>
      </w:r>
      <w:proofErr w:type="spellEnd"/>
      <w:r w:rsidRPr="00BC2155">
        <w:rPr>
          <w:rFonts w:ascii="Arial" w:hAnsi="Arial" w:cs="Arial"/>
          <w:sz w:val="22"/>
        </w:rPr>
        <w:t xml:space="preserve">, D., </w:t>
      </w:r>
      <w:proofErr w:type="spellStart"/>
      <w:r w:rsidRPr="00BC2155">
        <w:rPr>
          <w:rFonts w:ascii="Arial" w:hAnsi="Arial" w:cs="Arial"/>
          <w:sz w:val="22"/>
        </w:rPr>
        <w:t>Siraphatthada</w:t>
      </w:r>
      <w:proofErr w:type="spellEnd"/>
      <w:r w:rsidRPr="00BC2155">
        <w:rPr>
          <w:rFonts w:ascii="Arial" w:hAnsi="Arial" w:cs="Arial"/>
          <w:sz w:val="22"/>
        </w:rPr>
        <w:t xml:space="preserve">, Y. and </w:t>
      </w:r>
      <w:proofErr w:type="spellStart"/>
      <w:r w:rsidRPr="00BC2155">
        <w:rPr>
          <w:rFonts w:ascii="Arial" w:hAnsi="Arial" w:cs="Arial"/>
          <w:sz w:val="22"/>
        </w:rPr>
        <w:t>Phumdara</w:t>
      </w:r>
      <w:proofErr w:type="spellEnd"/>
      <w:r w:rsidRPr="00BC2155">
        <w:rPr>
          <w:rFonts w:ascii="Arial" w:hAnsi="Arial" w:cs="Arial"/>
          <w:sz w:val="22"/>
        </w:rPr>
        <w:t>, T., 2020.</w:t>
      </w:r>
      <w:proofErr w:type="gramEnd"/>
      <w:r w:rsidRPr="00BC2155">
        <w:rPr>
          <w:rFonts w:ascii="Arial" w:hAnsi="Arial" w:cs="Arial"/>
          <w:sz w:val="22"/>
        </w:rPr>
        <w:t xml:space="preserve"> Impact of </w:t>
      </w:r>
      <w:proofErr w:type="gramStart"/>
      <w:r w:rsidRPr="00BC2155">
        <w:rPr>
          <w:rFonts w:ascii="Arial" w:hAnsi="Arial" w:cs="Arial"/>
          <w:sz w:val="22"/>
        </w:rPr>
        <w:t>employees</w:t>
      </w:r>
      <w:proofErr w:type="gramEnd"/>
      <w:r w:rsidRPr="00BC2155">
        <w:rPr>
          <w:rFonts w:ascii="Arial" w:hAnsi="Arial" w:cs="Arial"/>
          <w:sz w:val="22"/>
        </w:rPr>
        <w:t xml:space="preserve"> engagement and knowledge sharing on organizational performance: Study of HR challenges in COVID-19 pandemic. </w:t>
      </w:r>
      <w:proofErr w:type="gramStart"/>
      <w:r w:rsidRPr="00BC2155">
        <w:rPr>
          <w:rFonts w:ascii="Arial" w:hAnsi="Arial" w:cs="Arial"/>
          <w:sz w:val="22"/>
        </w:rPr>
        <w:t>Human Systems Management, 39(4), pp.589-601.</w:t>
      </w:r>
      <w:proofErr w:type="gramEnd"/>
    </w:p>
    <w:p w14:paraId="18475EFB" w14:textId="77777777" w:rsidR="00CD4FF4" w:rsidRPr="00BC2155" w:rsidRDefault="00CD4FF4" w:rsidP="00BF4C53">
      <w:pPr>
        <w:rPr>
          <w:rFonts w:ascii="Arial" w:hAnsi="Arial" w:cs="Arial"/>
          <w:sz w:val="22"/>
        </w:rPr>
      </w:pPr>
      <w:proofErr w:type="spellStart"/>
      <w:r w:rsidRPr="00BC2155">
        <w:rPr>
          <w:rFonts w:ascii="Arial" w:hAnsi="Arial" w:cs="Arial"/>
          <w:sz w:val="22"/>
        </w:rPr>
        <w:t>Arasanmi</w:t>
      </w:r>
      <w:proofErr w:type="spellEnd"/>
      <w:r w:rsidRPr="00BC2155">
        <w:rPr>
          <w:rFonts w:ascii="Arial" w:hAnsi="Arial" w:cs="Arial"/>
          <w:sz w:val="22"/>
        </w:rPr>
        <w:t xml:space="preserve">, C.N. and Krishna, A., 2019. Linking the employee value proposition (EVP) to employee behavioural outcomes. </w:t>
      </w:r>
      <w:proofErr w:type="gramStart"/>
      <w:r w:rsidRPr="00BC2155">
        <w:rPr>
          <w:rFonts w:ascii="Arial" w:hAnsi="Arial" w:cs="Arial"/>
          <w:sz w:val="22"/>
        </w:rPr>
        <w:t>Industrial and Commercial Training.</w:t>
      </w:r>
      <w:proofErr w:type="gramEnd"/>
    </w:p>
    <w:p w14:paraId="051390BD" w14:textId="77777777" w:rsidR="00CD4FF4" w:rsidRPr="00BC2155" w:rsidRDefault="00CD4FF4" w:rsidP="00BF4C53">
      <w:pPr>
        <w:rPr>
          <w:rFonts w:ascii="Arial" w:hAnsi="Arial" w:cs="Arial"/>
          <w:sz w:val="22"/>
        </w:rPr>
      </w:pPr>
      <w:r w:rsidRPr="00BC2155">
        <w:rPr>
          <w:rFonts w:ascii="Arial" w:hAnsi="Arial" w:cs="Arial"/>
          <w:sz w:val="22"/>
        </w:rPr>
        <w:t xml:space="preserve">Bridger, E., 2022. Employee engagement: A practical introduction (Vol. 24). </w:t>
      </w:r>
      <w:proofErr w:type="gramStart"/>
      <w:r w:rsidRPr="00BC2155">
        <w:rPr>
          <w:rFonts w:ascii="Arial" w:hAnsi="Arial" w:cs="Arial"/>
          <w:sz w:val="22"/>
        </w:rPr>
        <w:t>Kogan Page Publishers.</w:t>
      </w:r>
      <w:proofErr w:type="gramEnd"/>
    </w:p>
    <w:p w14:paraId="5AA46190" w14:textId="77777777" w:rsidR="00CD4FF4" w:rsidRPr="00BC2155" w:rsidRDefault="00CD4FF4" w:rsidP="00BF4C53">
      <w:pPr>
        <w:rPr>
          <w:rFonts w:ascii="Arial" w:hAnsi="Arial" w:cs="Arial"/>
          <w:sz w:val="22"/>
        </w:rPr>
      </w:pPr>
      <w:r w:rsidRPr="00BC2155">
        <w:rPr>
          <w:rFonts w:ascii="Arial" w:hAnsi="Arial" w:cs="Arial"/>
          <w:sz w:val="22"/>
        </w:rPr>
        <w:t xml:space="preserve">Browne, R., 2017. </w:t>
      </w:r>
      <w:proofErr w:type="gramStart"/>
      <w:r w:rsidRPr="00BC2155">
        <w:rPr>
          <w:rFonts w:ascii="Arial" w:hAnsi="Arial" w:cs="Arial"/>
          <w:sz w:val="22"/>
        </w:rPr>
        <w:t>Employee value proposition.</w:t>
      </w:r>
      <w:proofErr w:type="gramEnd"/>
      <w:r w:rsidRPr="00BC2155">
        <w:rPr>
          <w:rFonts w:ascii="Arial" w:hAnsi="Arial" w:cs="Arial"/>
          <w:sz w:val="22"/>
        </w:rPr>
        <w:t xml:space="preserve"> Beacon Management Review, 2, pp.29-36.</w:t>
      </w:r>
    </w:p>
    <w:p w14:paraId="6F3FAAA9" w14:textId="77777777" w:rsidR="00CD4FF4" w:rsidRPr="00BC2155" w:rsidRDefault="00CD4FF4" w:rsidP="00BF4C53">
      <w:pPr>
        <w:rPr>
          <w:rFonts w:ascii="Arial" w:hAnsi="Arial" w:cs="Arial"/>
          <w:sz w:val="22"/>
        </w:rPr>
      </w:pPr>
      <w:r w:rsidRPr="00BC2155">
        <w:rPr>
          <w:rFonts w:ascii="Arial" w:hAnsi="Arial" w:cs="Arial"/>
          <w:sz w:val="22"/>
        </w:rPr>
        <w:t>Chanana, N., 2021. Employee engagement practices during COVID</w:t>
      </w:r>
      <w:r w:rsidRPr="00BC2155">
        <w:rPr>
          <w:rFonts w:ascii="Cambria Math" w:hAnsi="Cambria Math" w:cs="Cambria Math"/>
          <w:sz w:val="22"/>
        </w:rPr>
        <w:t>‐</w:t>
      </w:r>
      <w:r w:rsidRPr="00BC2155">
        <w:rPr>
          <w:rFonts w:ascii="Arial" w:hAnsi="Arial" w:cs="Arial"/>
          <w:sz w:val="22"/>
        </w:rPr>
        <w:t xml:space="preserve">19 lockdown. </w:t>
      </w:r>
      <w:proofErr w:type="gramStart"/>
      <w:r w:rsidRPr="00BC2155">
        <w:rPr>
          <w:rFonts w:ascii="Arial" w:hAnsi="Arial" w:cs="Arial"/>
          <w:sz w:val="22"/>
        </w:rPr>
        <w:t>Journal of public affairs, 21(4), p.e2508.</w:t>
      </w:r>
      <w:proofErr w:type="gramEnd"/>
    </w:p>
    <w:p w14:paraId="788319B7" w14:textId="77777777" w:rsidR="00CD4FF4" w:rsidRPr="00BC2155" w:rsidRDefault="00CD4FF4" w:rsidP="00BF4C53">
      <w:pPr>
        <w:rPr>
          <w:rFonts w:ascii="Arial" w:hAnsi="Arial" w:cs="Arial"/>
          <w:sz w:val="22"/>
        </w:rPr>
      </w:pPr>
      <w:r w:rsidRPr="00BC2155">
        <w:rPr>
          <w:rFonts w:ascii="Arial" w:hAnsi="Arial" w:cs="Arial"/>
          <w:sz w:val="22"/>
        </w:rPr>
        <w:t xml:space="preserve">Cook, S., 2018. The essential guide to employee engagement: better business performance through staff satisfaction. </w:t>
      </w:r>
      <w:proofErr w:type="gramStart"/>
      <w:r w:rsidRPr="00BC2155">
        <w:rPr>
          <w:rFonts w:ascii="Arial" w:hAnsi="Arial" w:cs="Arial"/>
          <w:sz w:val="22"/>
        </w:rPr>
        <w:t>Kogan Page Publishers.</w:t>
      </w:r>
      <w:proofErr w:type="gramEnd"/>
    </w:p>
    <w:p w14:paraId="587E794A" w14:textId="77777777" w:rsidR="00CD4FF4" w:rsidRPr="00BC2155" w:rsidRDefault="00CD4FF4" w:rsidP="00BF4C53">
      <w:pPr>
        <w:rPr>
          <w:rFonts w:ascii="Arial" w:hAnsi="Arial" w:cs="Arial"/>
          <w:sz w:val="22"/>
        </w:rPr>
      </w:pPr>
      <w:r w:rsidRPr="00BC2155">
        <w:rPr>
          <w:rFonts w:ascii="Arial" w:hAnsi="Arial" w:cs="Arial"/>
          <w:sz w:val="22"/>
        </w:rPr>
        <w:t xml:space="preserve">Dixit, R. and Singh, S., 2020. </w:t>
      </w:r>
      <w:proofErr w:type="gramStart"/>
      <w:r w:rsidRPr="00BC2155">
        <w:rPr>
          <w:rFonts w:ascii="Arial" w:hAnsi="Arial" w:cs="Arial"/>
          <w:sz w:val="22"/>
        </w:rPr>
        <w:t>Understanding drivers of engagement from employees’ perspective during COVID-19.</w:t>
      </w:r>
      <w:proofErr w:type="gramEnd"/>
      <w:r w:rsidRPr="00BC2155">
        <w:rPr>
          <w:rFonts w:ascii="Arial" w:hAnsi="Arial" w:cs="Arial"/>
          <w:sz w:val="22"/>
        </w:rPr>
        <w:t xml:space="preserve"> </w:t>
      </w:r>
      <w:proofErr w:type="gramStart"/>
      <w:r w:rsidRPr="00BC2155">
        <w:rPr>
          <w:rFonts w:ascii="Arial" w:hAnsi="Arial" w:cs="Arial"/>
          <w:sz w:val="22"/>
        </w:rPr>
        <w:t>International Journal of Management, 11(10).</w:t>
      </w:r>
      <w:proofErr w:type="gramEnd"/>
    </w:p>
    <w:p w14:paraId="06FFF6CF" w14:textId="77777777" w:rsidR="00CD4FF4" w:rsidRPr="00BC2155" w:rsidRDefault="00CD4FF4" w:rsidP="00BF4C53">
      <w:pPr>
        <w:rPr>
          <w:rFonts w:ascii="Arial" w:hAnsi="Arial" w:cs="Arial"/>
          <w:sz w:val="22"/>
        </w:rPr>
      </w:pPr>
      <w:proofErr w:type="gramStart"/>
      <w:r w:rsidRPr="00BC2155">
        <w:rPr>
          <w:rFonts w:ascii="Arial" w:hAnsi="Arial" w:cs="Arial"/>
          <w:sz w:val="22"/>
        </w:rPr>
        <w:lastRenderedPageBreak/>
        <w:t>Macey, W.H. and Schneider, B., 2018.</w:t>
      </w:r>
      <w:proofErr w:type="gramEnd"/>
      <w:r w:rsidRPr="00BC2155">
        <w:rPr>
          <w:rFonts w:ascii="Arial" w:hAnsi="Arial" w:cs="Arial"/>
          <w:sz w:val="22"/>
        </w:rPr>
        <w:t xml:space="preserve"> </w:t>
      </w:r>
      <w:proofErr w:type="gramStart"/>
      <w:r w:rsidRPr="00BC2155">
        <w:rPr>
          <w:rFonts w:ascii="Arial" w:hAnsi="Arial" w:cs="Arial"/>
          <w:sz w:val="22"/>
        </w:rPr>
        <w:t>The meaning of employee engagement.</w:t>
      </w:r>
      <w:proofErr w:type="gramEnd"/>
      <w:r w:rsidRPr="00BC2155">
        <w:rPr>
          <w:rFonts w:ascii="Arial" w:hAnsi="Arial" w:cs="Arial"/>
          <w:sz w:val="22"/>
        </w:rPr>
        <w:t xml:space="preserve"> </w:t>
      </w:r>
      <w:proofErr w:type="gramStart"/>
      <w:r w:rsidRPr="00BC2155">
        <w:rPr>
          <w:rFonts w:ascii="Arial" w:hAnsi="Arial" w:cs="Arial"/>
          <w:sz w:val="22"/>
        </w:rPr>
        <w:t>Industrial and organizational Psychology, 1(1), pp.3-30.</w:t>
      </w:r>
      <w:proofErr w:type="gramEnd"/>
    </w:p>
    <w:p w14:paraId="24AC1E65" w14:textId="77777777" w:rsidR="00CD4FF4" w:rsidRPr="00BC2155" w:rsidRDefault="00CD4FF4" w:rsidP="00BF4C53">
      <w:pPr>
        <w:rPr>
          <w:rFonts w:ascii="Arial" w:hAnsi="Arial" w:cs="Arial"/>
          <w:sz w:val="22"/>
        </w:rPr>
      </w:pPr>
      <w:r w:rsidRPr="00BC2155">
        <w:rPr>
          <w:rFonts w:ascii="Arial" w:hAnsi="Arial" w:cs="Arial"/>
          <w:sz w:val="22"/>
        </w:rPr>
        <w:t>Matthews, G., 2018. Employee engagement: what’s your strategy</w:t>
      </w:r>
      <w:proofErr w:type="gramStart"/>
      <w:r w:rsidRPr="00BC2155">
        <w:rPr>
          <w:rFonts w:ascii="Arial" w:hAnsi="Arial" w:cs="Arial"/>
          <w:sz w:val="22"/>
        </w:rPr>
        <w:t>?.</w:t>
      </w:r>
      <w:proofErr w:type="gramEnd"/>
      <w:r w:rsidRPr="00BC2155">
        <w:rPr>
          <w:rFonts w:ascii="Arial" w:hAnsi="Arial" w:cs="Arial"/>
          <w:sz w:val="22"/>
        </w:rPr>
        <w:t xml:space="preserve"> </w:t>
      </w:r>
      <w:proofErr w:type="gramStart"/>
      <w:r w:rsidRPr="00BC2155">
        <w:rPr>
          <w:rFonts w:ascii="Arial" w:hAnsi="Arial" w:cs="Arial"/>
          <w:sz w:val="22"/>
        </w:rPr>
        <w:t>Strategic HR Review.</w:t>
      </w:r>
      <w:proofErr w:type="gramEnd"/>
    </w:p>
    <w:p w14:paraId="7A16CF32" w14:textId="77777777" w:rsidR="00CD4FF4" w:rsidRPr="00BC2155" w:rsidRDefault="00CD4FF4" w:rsidP="00BF4C53">
      <w:pPr>
        <w:rPr>
          <w:rFonts w:ascii="Arial" w:hAnsi="Arial" w:cs="Arial"/>
          <w:sz w:val="22"/>
        </w:rPr>
      </w:pPr>
      <w:proofErr w:type="gramStart"/>
      <w:r w:rsidRPr="00BC2155">
        <w:rPr>
          <w:rFonts w:ascii="Arial" w:hAnsi="Arial" w:cs="Arial"/>
          <w:sz w:val="22"/>
        </w:rPr>
        <w:t>Raj, A.B., 2020.</w:t>
      </w:r>
      <w:proofErr w:type="gramEnd"/>
      <w:r w:rsidRPr="00BC2155">
        <w:rPr>
          <w:rFonts w:ascii="Arial" w:hAnsi="Arial" w:cs="Arial"/>
          <w:sz w:val="22"/>
        </w:rPr>
        <w:t xml:space="preserve"> Impact of employee value proposition on employees’ intention to stay: moderating role of psychological contract and social identity. </w:t>
      </w:r>
      <w:proofErr w:type="gramStart"/>
      <w:r w:rsidRPr="00BC2155">
        <w:rPr>
          <w:rFonts w:ascii="Arial" w:hAnsi="Arial" w:cs="Arial"/>
          <w:sz w:val="22"/>
        </w:rPr>
        <w:t>South Asian Journal of Business Studies.</w:t>
      </w:r>
      <w:proofErr w:type="gramEnd"/>
    </w:p>
    <w:sectPr w:rsidR="00CD4FF4" w:rsidRPr="00BC2155" w:rsidSect="00CD4FF4">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43DB4" w14:textId="77777777" w:rsidR="00482E7F" w:rsidRDefault="00482E7F" w:rsidP="00CD4FF4">
      <w:pPr>
        <w:spacing w:after="0" w:line="240" w:lineRule="auto"/>
      </w:pPr>
      <w:r>
        <w:separator/>
      </w:r>
    </w:p>
  </w:endnote>
  <w:endnote w:type="continuationSeparator" w:id="0">
    <w:p w14:paraId="0B73CFA9" w14:textId="77777777" w:rsidR="00482E7F" w:rsidRDefault="00482E7F" w:rsidP="00CD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CBDAE" w14:textId="77777777" w:rsidR="00482E7F" w:rsidRDefault="00482E7F" w:rsidP="00CD4FF4">
      <w:pPr>
        <w:spacing w:after="0" w:line="240" w:lineRule="auto"/>
      </w:pPr>
      <w:r>
        <w:separator/>
      </w:r>
    </w:p>
  </w:footnote>
  <w:footnote w:type="continuationSeparator" w:id="0">
    <w:p w14:paraId="0B6067D0" w14:textId="77777777" w:rsidR="00482E7F" w:rsidRDefault="00482E7F" w:rsidP="00CD4F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243345"/>
      <w:docPartObj>
        <w:docPartGallery w:val="Page Numbers (Top of Page)"/>
        <w:docPartUnique/>
      </w:docPartObj>
    </w:sdtPr>
    <w:sdtEndPr>
      <w:rPr>
        <w:color w:val="7F7F7F" w:themeColor="background1" w:themeShade="7F"/>
        <w:spacing w:val="60"/>
      </w:rPr>
    </w:sdtEndPr>
    <w:sdtContent>
      <w:p w14:paraId="5E6A9FAD" w14:textId="0BC83DF9" w:rsidR="00CD4FF4" w:rsidRDefault="00CD4FF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BC2155" w:rsidRPr="00BC2155">
          <w:rPr>
            <w:b/>
            <w:bCs/>
            <w:noProof/>
          </w:rPr>
          <w:t>1</w:t>
        </w:r>
        <w:r>
          <w:rPr>
            <w:b/>
            <w:bCs/>
            <w:noProof/>
          </w:rPr>
          <w:fldChar w:fldCharType="end"/>
        </w:r>
        <w:r>
          <w:rPr>
            <w:b/>
            <w:bCs/>
          </w:rPr>
          <w:t xml:space="preserve"> | </w:t>
        </w:r>
        <w:r>
          <w:rPr>
            <w:color w:val="7F7F7F" w:themeColor="background1" w:themeShade="7F"/>
            <w:spacing w:val="60"/>
          </w:rPr>
          <w:t>Page</w:t>
        </w:r>
      </w:p>
    </w:sdtContent>
  </w:sdt>
  <w:p w14:paraId="2D428C95" w14:textId="77777777" w:rsidR="00CD4FF4" w:rsidRDefault="00CD4F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528"/>
    <w:rsid w:val="00014528"/>
    <w:rsid w:val="00060399"/>
    <w:rsid w:val="00080AD2"/>
    <w:rsid w:val="0017611E"/>
    <w:rsid w:val="001808DF"/>
    <w:rsid w:val="001D15B3"/>
    <w:rsid w:val="0020013F"/>
    <w:rsid w:val="00202718"/>
    <w:rsid w:val="00266062"/>
    <w:rsid w:val="002E2819"/>
    <w:rsid w:val="004471DC"/>
    <w:rsid w:val="00482E7F"/>
    <w:rsid w:val="004A582B"/>
    <w:rsid w:val="00511A0B"/>
    <w:rsid w:val="00513774"/>
    <w:rsid w:val="005C3F98"/>
    <w:rsid w:val="005E0FBD"/>
    <w:rsid w:val="00641071"/>
    <w:rsid w:val="006B6DDB"/>
    <w:rsid w:val="006D0C42"/>
    <w:rsid w:val="00952A24"/>
    <w:rsid w:val="00965AC1"/>
    <w:rsid w:val="009A3A75"/>
    <w:rsid w:val="00AD069A"/>
    <w:rsid w:val="00B02E0D"/>
    <w:rsid w:val="00BC2155"/>
    <w:rsid w:val="00BF4C53"/>
    <w:rsid w:val="00CD262C"/>
    <w:rsid w:val="00CD3B8D"/>
    <w:rsid w:val="00CD4FF4"/>
    <w:rsid w:val="00D073C9"/>
    <w:rsid w:val="00D77C90"/>
    <w:rsid w:val="00E06082"/>
    <w:rsid w:val="00E9048A"/>
    <w:rsid w:val="00EC4B99"/>
    <w:rsid w:val="00F518F8"/>
    <w:rsid w:val="00F83BA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80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528"/>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E06082"/>
    <w:pPr>
      <w:keepNext/>
      <w:keepLines/>
      <w:spacing w:before="240" w:after="0"/>
      <w:outlineLvl w:val="0"/>
    </w:pPr>
    <w:rPr>
      <w:rFonts w:eastAsiaTheme="majorEastAsia" w:cstheme="majorBidi"/>
      <w:b/>
      <w:color w:val="2F5496" w:themeColor="accent1" w:themeShade="BF"/>
      <w:sz w:val="28"/>
      <w:szCs w:val="32"/>
      <w:u w:val="single"/>
    </w:rPr>
  </w:style>
  <w:style w:type="paragraph" w:styleId="Heading2">
    <w:name w:val="heading 2"/>
    <w:basedOn w:val="Normal"/>
    <w:next w:val="Normal"/>
    <w:link w:val="Heading2Char"/>
    <w:uiPriority w:val="9"/>
    <w:unhideWhenUsed/>
    <w:qFormat/>
    <w:rsid w:val="00CD262C"/>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CD262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082"/>
    <w:rPr>
      <w:rFonts w:ascii="Times New Roman" w:eastAsiaTheme="majorEastAsia" w:hAnsi="Times New Roman" w:cstheme="majorBidi"/>
      <w:b/>
      <w:color w:val="2F5496" w:themeColor="accent1" w:themeShade="BF"/>
      <w:sz w:val="28"/>
      <w:szCs w:val="32"/>
      <w:u w:val="single"/>
      <w:lang w:val="en-GB"/>
    </w:rPr>
  </w:style>
  <w:style w:type="character" w:customStyle="1" w:styleId="Heading2Char">
    <w:name w:val="Heading 2 Char"/>
    <w:basedOn w:val="DefaultParagraphFont"/>
    <w:link w:val="Heading2"/>
    <w:uiPriority w:val="9"/>
    <w:rsid w:val="00CD262C"/>
    <w:rPr>
      <w:rFonts w:ascii="Times New Roman" w:eastAsiaTheme="majorEastAsia" w:hAnsi="Times New Roman" w:cstheme="majorBidi"/>
      <w:b/>
      <w:color w:val="2F5496" w:themeColor="accent1" w:themeShade="BF"/>
      <w:sz w:val="24"/>
      <w:szCs w:val="26"/>
      <w:lang w:val="en-GB"/>
    </w:rPr>
  </w:style>
  <w:style w:type="character" w:customStyle="1" w:styleId="Heading3Char">
    <w:name w:val="Heading 3 Char"/>
    <w:basedOn w:val="DefaultParagraphFont"/>
    <w:link w:val="Heading3"/>
    <w:uiPriority w:val="9"/>
    <w:semiHidden/>
    <w:rsid w:val="00CD262C"/>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CD4FF4"/>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D4FF4"/>
    <w:pPr>
      <w:spacing w:after="100"/>
    </w:pPr>
  </w:style>
  <w:style w:type="paragraph" w:styleId="TOC2">
    <w:name w:val="toc 2"/>
    <w:basedOn w:val="Normal"/>
    <w:next w:val="Normal"/>
    <w:autoRedefine/>
    <w:uiPriority w:val="39"/>
    <w:unhideWhenUsed/>
    <w:rsid w:val="00CD4FF4"/>
    <w:pPr>
      <w:spacing w:after="100"/>
      <w:ind w:left="240"/>
    </w:pPr>
  </w:style>
  <w:style w:type="character" w:styleId="Hyperlink">
    <w:name w:val="Hyperlink"/>
    <w:basedOn w:val="DefaultParagraphFont"/>
    <w:uiPriority w:val="99"/>
    <w:unhideWhenUsed/>
    <w:rsid w:val="00CD4FF4"/>
    <w:rPr>
      <w:color w:val="0563C1" w:themeColor="hyperlink"/>
      <w:u w:val="single"/>
    </w:rPr>
  </w:style>
  <w:style w:type="paragraph" w:styleId="Header">
    <w:name w:val="header"/>
    <w:basedOn w:val="Normal"/>
    <w:link w:val="HeaderChar"/>
    <w:uiPriority w:val="99"/>
    <w:unhideWhenUsed/>
    <w:rsid w:val="00CD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FF4"/>
    <w:rPr>
      <w:rFonts w:ascii="Times New Roman" w:hAnsi="Times New Roman"/>
      <w:color w:val="000000" w:themeColor="text1"/>
      <w:sz w:val="24"/>
      <w:lang w:val="en-GB"/>
    </w:rPr>
  </w:style>
  <w:style w:type="paragraph" w:styleId="Footer">
    <w:name w:val="footer"/>
    <w:basedOn w:val="Normal"/>
    <w:link w:val="FooterChar"/>
    <w:uiPriority w:val="99"/>
    <w:unhideWhenUsed/>
    <w:rsid w:val="00CD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FF4"/>
    <w:rPr>
      <w:rFonts w:ascii="Times New Roman" w:hAnsi="Times New Roman"/>
      <w:color w:val="000000" w:themeColor="text1"/>
      <w:sz w:val="24"/>
      <w:lang w:val="en-GB"/>
    </w:rPr>
  </w:style>
  <w:style w:type="table" w:styleId="TableGrid">
    <w:name w:val="Table Grid"/>
    <w:basedOn w:val="TableNormal"/>
    <w:uiPriority w:val="39"/>
    <w:rsid w:val="005137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2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155"/>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528"/>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E06082"/>
    <w:pPr>
      <w:keepNext/>
      <w:keepLines/>
      <w:spacing w:before="240" w:after="0"/>
      <w:outlineLvl w:val="0"/>
    </w:pPr>
    <w:rPr>
      <w:rFonts w:eastAsiaTheme="majorEastAsia" w:cstheme="majorBidi"/>
      <w:b/>
      <w:color w:val="2F5496" w:themeColor="accent1" w:themeShade="BF"/>
      <w:sz w:val="28"/>
      <w:szCs w:val="32"/>
      <w:u w:val="single"/>
    </w:rPr>
  </w:style>
  <w:style w:type="paragraph" w:styleId="Heading2">
    <w:name w:val="heading 2"/>
    <w:basedOn w:val="Normal"/>
    <w:next w:val="Normal"/>
    <w:link w:val="Heading2Char"/>
    <w:uiPriority w:val="9"/>
    <w:unhideWhenUsed/>
    <w:qFormat/>
    <w:rsid w:val="00CD262C"/>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CD262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082"/>
    <w:rPr>
      <w:rFonts w:ascii="Times New Roman" w:eastAsiaTheme="majorEastAsia" w:hAnsi="Times New Roman" w:cstheme="majorBidi"/>
      <w:b/>
      <w:color w:val="2F5496" w:themeColor="accent1" w:themeShade="BF"/>
      <w:sz w:val="28"/>
      <w:szCs w:val="32"/>
      <w:u w:val="single"/>
      <w:lang w:val="en-GB"/>
    </w:rPr>
  </w:style>
  <w:style w:type="character" w:customStyle="1" w:styleId="Heading2Char">
    <w:name w:val="Heading 2 Char"/>
    <w:basedOn w:val="DefaultParagraphFont"/>
    <w:link w:val="Heading2"/>
    <w:uiPriority w:val="9"/>
    <w:rsid w:val="00CD262C"/>
    <w:rPr>
      <w:rFonts w:ascii="Times New Roman" w:eastAsiaTheme="majorEastAsia" w:hAnsi="Times New Roman" w:cstheme="majorBidi"/>
      <w:b/>
      <w:color w:val="2F5496" w:themeColor="accent1" w:themeShade="BF"/>
      <w:sz w:val="24"/>
      <w:szCs w:val="26"/>
      <w:lang w:val="en-GB"/>
    </w:rPr>
  </w:style>
  <w:style w:type="character" w:customStyle="1" w:styleId="Heading3Char">
    <w:name w:val="Heading 3 Char"/>
    <w:basedOn w:val="DefaultParagraphFont"/>
    <w:link w:val="Heading3"/>
    <w:uiPriority w:val="9"/>
    <w:semiHidden/>
    <w:rsid w:val="00CD262C"/>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CD4FF4"/>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D4FF4"/>
    <w:pPr>
      <w:spacing w:after="100"/>
    </w:pPr>
  </w:style>
  <w:style w:type="paragraph" w:styleId="TOC2">
    <w:name w:val="toc 2"/>
    <w:basedOn w:val="Normal"/>
    <w:next w:val="Normal"/>
    <w:autoRedefine/>
    <w:uiPriority w:val="39"/>
    <w:unhideWhenUsed/>
    <w:rsid w:val="00CD4FF4"/>
    <w:pPr>
      <w:spacing w:after="100"/>
      <w:ind w:left="240"/>
    </w:pPr>
  </w:style>
  <w:style w:type="character" w:styleId="Hyperlink">
    <w:name w:val="Hyperlink"/>
    <w:basedOn w:val="DefaultParagraphFont"/>
    <w:uiPriority w:val="99"/>
    <w:unhideWhenUsed/>
    <w:rsid w:val="00CD4FF4"/>
    <w:rPr>
      <w:color w:val="0563C1" w:themeColor="hyperlink"/>
      <w:u w:val="single"/>
    </w:rPr>
  </w:style>
  <w:style w:type="paragraph" w:styleId="Header">
    <w:name w:val="header"/>
    <w:basedOn w:val="Normal"/>
    <w:link w:val="HeaderChar"/>
    <w:uiPriority w:val="99"/>
    <w:unhideWhenUsed/>
    <w:rsid w:val="00CD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FF4"/>
    <w:rPr>
      <w:rFonts w:ascii="Times New Roman" w:hAnsi="Times New Roman"/>
      <w:color w:val="000000" w:themeColor="text1"/>
      <w:sz w:val="24"/>
      <w:lang w:val="en-GB"/>
    </w:rPr>
  </w:style>
  <w:style w:type="paragraph" w:styleId="Footer">
    <w:name w:val="footer"/>
    <w:basedOn w:val="Normal"/>
    <w:link w:val="FooterChar"/>
    <w:uiPriority w:val="99"/>
    <w:unhideWhenUsed/>
    <w:rsid w:val="00CD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FF4"/>
    <w:rPr>
      <w:rFonts w:ascii="Times New Roman" w:hAnsi="Times New Roman"/>
      <w:color w:val="000000" w:themeColor="text1"/>
      <w:sz w:val="24"/>
      <w:lang w:val="en-GB"/>
    </w:rPr>
  </w:style>
  <w:style w:type="table" w:styleId="TableGrid">
    <w:name w:val="Table Grid"/>
    <w:basedOn w:val="TableNormal"/>
    <w:uiPriority w:val="39"/>
    <w:rsid w:val="005137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2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155"/>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4B7D0-C1E0-4EB3-9CB2-A3AEB7CD2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2523</Words>
  <Characters>14384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2022-05-05T14:56:00Z</dcterms:created>
  <dcterms:modified xsi:type="dcterms:W3CDTF">2022-05-09T21:31:00Z</dcterms:modified>
</cp:coreProperties>
</file>