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1F29EA" w14:textId="179F9D1B" w:rsidR="00346113" w:rsidRDefault="008051B3" w:rsidP="00346113">
      <w:pPr>
        <w:rPr>
          <w:b/>
          <w:bCs/>
        </w:rPr>
      </w:pPr>
      <w:r>
        <w:rPr>
          <w:noProof/>
          <w:sz w:val="20"/>
          <w:lang w:eastAsia="en-GB"/>
        </w:rPr>
        <w:drawing>
          <wp:anchor distT="0" distB="0" distL="114300" distR="114300" simplePos="0" relativeHeight="251658240" behindDoc="0" locked="0" layoutInCell="1" allowOverlap="1" wp14:anchorId="649C68F6" wp14:editId="3FA5578E">
            <wp:simplePos x="0" y="0"/>
            <wp:positionH relativeFrom="margin">
              <wp:align>left</wp:align>
            </wp:positionH>
            <wp:positionV relativeFrom="paragraph">
              <wp:posOffset>0</wp:posOffset>
            </wp:positionV>
            <wp:extent cx="1708150" cy="566387"/>
            <wp:effectExtent l="0" t="0" r="6350" b="5715"/>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12452" cy="567814"/>
                    </a:xfrm>
                    <a:prstGeom prst="rect">
                      <a:avLst/>
                    </a:prstGeom>
                  </pic:spPr>
                </pic:pic>
              </a:graphicData>
            </a:graphic>
            <wp14:sizeRelH relativeFrom="margin">
              <wp14:pctWidth>0</wp14:pctWidth>
            </wp14:sizeRelH>
            <wp14:sizeRelV relativeFrom="margin">
              <wp14:pctHeight>0</wp14:pctHeight>
            </wp14:sizeRelV>
          </wp:anchor>
        </w:drawing>
      </w:r>
    </w:p>
    <w:p w14:paraId="3A9F868D" w14:textId="29AE1D1D" w:rsidR="008051B3" w:rsidRDefault="008051B3" w:rsidP="00346113">
      <w:pPr>
        <w:rPr>
          <w:b/>
          <w:bCs/>
        </w:rPr>
      </w:pPr>
    </w:p>
    <w:p w14:paraId="174B1B63" w14:textId="420C69A9" w:rsidR="008051B3" w:rsidRDefault="008051B3" w:rsidP="008051B3">
      <w:pPr>
        <w:jc w:val="center"/>
        <w:rPr>
          <w:b/>
          <w:bCs/>
        </w:rPr>
      </w:pPr>
    </w:p>
    <w:p w14:paraId="3C556734" w14:textId="77777777" w:rsidR="008051B3" w:rsidRDefault="008051B3" w:rsidP="008051B3">
      <w:pPr>
        <w:jc w:val="center"/>
        <w:rPr>
          <w:b/>
          <w:bCs/>
        </w:rPr>
      </w:pPr>
    </w:p>
    <w:p w14:paraId="215CDADC" w14:textId="77777777" w:rsidR="008051B3" w:rsidRDefault="008051B3" w:rsidP="008051B3">
      <w:pPr>
        <w:jc w:val="center"/>
        <w:rPr>
          <w:b/>
          <w:bCs/>
        </w:rPr>
      </w:pPr>
    </w:p>
    <w:p w14:paraId="3D6762E0" w14:textId="77777777" w:rsidR="00C2562E" w:rsidRDefault="00C2562E" w:rsidP="008051B3">
      <w:pPr>
        <w:jc w:val="center"/>
        <w:rPr>
          <w:b/>
          <w:bCs/>
        </w:rPr>
      </w:pPr>
    </w:p>
    <w:p w14:paraId="270E024E" w14:textId="77777777" w:rsidR="008051B3" w:rsidRDefault="008051B3" w:rsidP="008051B3">
      <w:pPr>
        <w:jc w:val="center"/>
        <w:rPr>
          <w:b/>
          <w:bCs/>
        </w:rPr>
      </w:pPr>
    </w:p>
    <w:p w14:paraId="2DFCAF21" w14:textId="51D74C2B" w:rsidR="008051B3" w:rsidRPr="008051B3" w:rsidRDefault="008051B3" w:rsidP="008051B3">
      <w:pPr>
        <w:spacing w:line="276" w:lineRule="auto"/>
        <w:jc w:val="center"/>
        <w:rPr>
          <w:b/>
          <w:bCs/>
          <w:sz w:val="32"/>
          <w:szCs w:val="28"/>
        </w:rPr>
      </w:pPr>
      <w:r w:rsidRPr="008051B3">
        <w:rPr>
          <w:b/>
          <w:bCs/>
          <w:sz w:val="32"/>
          <w:szCs w:val="28"/>
        </w:rPr>
        <w:t>LCBB 6015</w:t>
      </w:r>
    </w:p>
    <w:p w14:paraId="6E52C217" w14:textId="77777777" w:rsidR="008051B3" w:rsidRPr="008051B3" w:rsidRDefault="008051B3" w:rsidP="008051B3">
      <w:pPr>
        <w:spacing w:line="276" w:lineRule="auto"/>
        <w:jc w:val="center"/>
        <w:rPr>
          <w:b/>
          <w:bCs/>
          <w:sz w:val="32"/>
          <w:szCs w:val="28"/>
        </w:rPr>
      </w:pPr>
      <w:r w:rsidRPr="008051B3">
        <w:rPr>
          <w:b/>
          <w:bCs/>
          <w:sz w:val="32"/>
          <w:szCs w:val="28"/>
        </w:rPr>
        <w:t>Strategic Management and Sustainability</w:t>
      </w:r>
    </w:p>
    <w:p w14:paraId="6BBA279C" w14:textId="6D5CE871" w:rsidR="008051B3" w:rsidRPr="008051B3" w:rsidRDefault="008051B3" w:rsidP="008051B3">
      <w:pPr>
        <w:spacing w:line="276" w:lineRule="auto"/>
        <w:jc w:val="center"/>
        <w:rPr>
          <w:b/>
          <w:bCs/>
          <w:sz w:val="28"/>
          <w:szCs w:val="24"/>
        </w:rPr>
      </w:pPr>
      <w:r w:rsidRPr="008051B3">
        <w:rPr>
          <w:b/>
          <w:bCs/>
          <w:sz w:val="28"/>
          <w:szCs w:val="24"/>
        </w:rPr>
        <w:t>Component 2</w:t>
      </w:r>
    </w:p>
    <w:p w14:paraId="79D75A61" w14:textId="77777777" w:rsidR="008051B3" w:rsidRDefault="008051B3" w:rsidP="008051B3"/>
    <w:p w14:paraId="5763D6BA" w14:textId="77777777" w:rsidR="008051B3" w:rsidRDefault="008051B3" w:rsidP="008051B3"/>
    <w:p w14:paraId="03B37F2D" w14:textId="77777777" w:rsidR="00C2562E" w:rsidRDefault="00C2562E" w:rsidP="008051B3"/>
    <w:p w14:paraId="0100E5D9" w14:textId="77777777" w:rsidR="008051B3" w:rsidRDefault="008051B3" w:rsidP="008051B3"/>
    <w:p w14:paraId="42184687" w14:textId="752CAA18" w:rsidR="00EE0516" w:rsidRPr="00EE0516" w:rsidRDefault="00EE0516" w:rsidP="008051B3">
      <w:pPr>
        <w:rPr>
          <w:b/>
          <w:bCs/>
        </w:rPr>
      </w:pPr>
      <w:r w:rsidRPr="00EE0516">
        <w:rPr>
          <w:b/>
          <w:bCs/>
        </w:rPr>
        <w:t>Student Name:</w:t>
      </w:r>
      <w:r w:rsidR="00910B5D">
        <w:rPr>
          <w:b/>
          <w:bCs/>
        </w:rPr>
        <w:t xml:space="preserve"> Alex-Andrei Perca</w:t>
      </w:r>
    </w:p>
    <w:p w14:paraId="4D5B962D" w14:textId="2692442C" w:rsidR="00EE0516" w:rsidRPr="00EE0516" w:rsidRDefault="00EE0516" w:rsidP="008051B3">
      <w:pPr>
        <w:rPr>
          <w:b/>
          <w:bCs/>
        </w:rPr>
      </w:pPr>
      <w:r w:rsidRPr="00EE0516">
        <w:rPr>
          <w:b/>
          <w:bCs/>
        </w:rPr>
        <w:t xml:space="preserve">Student ID: </w:t>
      </w:r>
      <w:r w:rsidR="00910B5D">
        <w:rPr>
          <w:b/>
          <w:bCs/>
        </w:rPr>
        <w:t>2020362</w:t>
      </w:r>
    </w:p>
    <w:p w14:paraId="4254E6D3" w14:textId="36D65731" w:rsidR="003C538E" w:rsidRDefault="00EE0516" w:rsidP="008051B3">
      <w:r w:rsidRPr="00EE0516">
        <w:rPr>
          <w:b/>
          <w:bCs/>
        </w:rPr>
        <w:t>Word Count:</w:t>
      </w:r>
      <w:r>
        <w:rPr>
          <w:b/>
          <w:bCs/>
        </w:rPr>
        <w:t xml:space="preserve"> </w:t>
      </w:r>
      <w:r w:rsidR="00C63109">
        <w:t>2003</w:t>
      </w:r>
      <w:r w:rsidR="003C538E">
        <w:br w:type="page"/>
      </w:r>
    </w:p>
    <w:p w14:paraId="59A384AB" w14:textId="2AA2CB10" w:rsidR="00221277" w:rsidRPr="00221277" w:rsidRDefault="00221277" w:rsidP="003C538E">
      <w:pPr>
        <w:pStyle w:val="Heading1"/>
      </w:pPr>
      <w:bookmarkStart w:id="0" w:name="_Toc223219137"/>
      <w:r w:rsidRPr="00221277">
        <w:lastRenderedPageBreak/>
        <w:t>Executive Summary</w:t>
      </w:r>
      <w:bookmarkEnd w:id="0"/>
    </w:p>
    <w:p w14:paraId="71257646" w14:textId="77777777" w:rsidR="00221277" w:rsidRPr="00221277" w:rsidRDefault="00221277" w:rsidP="00221277">
      <w:r w:rsidRPr="00221277">
        <w:t>In this report, Tesla's strategy in the current automotive industry is reviewed. The shift in the industry is also taking place rapidly due to electric cars, digital technology, stringent environmental regulations, and international competition. Tesla is a top-performing company in the electric vehicles sector that is highly innovative, has brand strength and technology in batteries. Nevertheless, the company is experiencing reduced growth in revenue and is competing on prices and with powerful competitors like BYD and Toyota. The report analyses the external and internal environment of Tesla based on the strategic tools of PESTEL, Porter's Five Forces, SWOT, VRIO, and value chain. These reviews indicate that Tesla possesses resources and opportunities, but also has to deal with risks of competition, economic pressure and supply-chain problems. According to these results, the report comes to a new solution: expansion into emerging markets with affordable electric vehicles. Such a move will boost sales, expand internationally, and contribute to Tesla's green energy. The report concludes that keeping the balance between innovation and cost efficiency will enable Tesla to have a long-term competitive advantage in the global automotive industry.</w:t>
      </w:r>
    </w:p>
    <w:p w14:paraId="4834BF93" w14:textId="77777777" w:rsidR="00D63A29" w:rsidRDefault="00D63A29">
      <w:pPr>
        <w:spacing w:line="276" w:lineRule="auto"/>
        <w:jc w:val="left"/>
        <w:rPr>
          <w:b/>
          <w:bCs/>
        </w:rPr>
      </w:pPr>
      <w:r>
        <w:rPr>
          <w:b/>
          <w:bCs/>
        </w:rPr>
        <w:br w:type="page"/>
      </w:r>
    </w:p>
    <w:sdt>
      <w:sdtPr>
        <w:rPr>
          <w:rFonts w:ascii="Times New Roman" w:eastAsiaTheme="minorHAnsi" w:hAnsi="Times New Roman" w:cstheme="minorBidi"/>
          <w:color w:val="auto"/>
          <w:kern w:val="2"/>
          <w:sz w:val="24"/>
          <w:szCs w:val="22"/>
          <w:lang w:val="en-GB"/>
          <w14:ligatures w14:val="standardContextual"/>
        </w:rPr>
        <w:id w:val="-376695897"/>
        <w:docPartObj>
          <w:docPartGallery w:val="Table of Contents"/>
          <w:docPartUnique/>
        </w:docPartObj>
      </w:sdtPr>
      <w:sdtEndPr>
        <w:rPr>
          <w:b/>
          <w:bCs/>
          <w:noProof/>
        </w:rPr>
      </w:sdtEndPr>
      <w:sdtContent>
        <w:p w14:paraId="7677C2C6" w14:textId="608F4E97" w:rsidR="00D63A29" w:rsidRPr="00D63A29" w:rsidRDefault="00D63A29" w:rsidP="00D63A29">
          <w:pPr>
            <w:pStyle w:val="TOCHeading"/>
            <w:jc w:val="center"/>
            <w:rPr>
              <w:rFonts w:ascii="Times New Roman" w:hAnsi="Times New Roman" w:cs="Times New Roman"/>
            </w:rPr>
          </w:pPr>
          <w:r w:rsidRPr="00D63A29">
            <w:rPr>
              <w:rFonts w:ascii="Times New Roman" w:hAnsi="Times New Roman" w:cs="Times New Roman"/>
            </w:rPr>
            <w:t>Contents</w:t>
          </w:r>
        </w:p>
        <w:p w14:paraId="525F6784" w14:textId="2A472179" w:rsidR="00290AE9" w:rsidRDefault="00D63A29">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3219137" w:history="1">
            <w:r w:rsidR="00290AE9" w:rsidRPr="004A303D">
              <w:rPr>
                <w:rStyle w:val="Hyperlink"/>
                <w:noProof/>
              </w:rPr>
              <w:t>Executive Summary</w:t>
            </w:r>
            <w:r w:rsidR="00290AE9">
              <w:rPr>
                <w:noProof/>
                <w:webHidden/>
              </w:rPr>
              <w:tab/>
            </w:r>
            <w:r w:rsidR="00290AE9">
              <w:rPr>
                <w:noProof/>
                <w:webHidden/>
              </w:rPr>
              <w:fldChar w:fldCharType="begin"/>
            </w:r>
            <w:r w:rsidR="00290AE9">
              <w:rPr>
                <w:noProof/>
                <w:webHidden/>
              </w:rPr>
              <w:instrText xml:space="preserve"> PAGEREF _Toc223219137 \h </w:instrText>
            </w:r>
            <w:r w:rsidR="00290AE9">
              <w:rPr>
                <w:noProof/>
                <w:webHidden/>
              </w:rPr>
            </w:r>
            <w:r w:rsidR="00290AE9">
              <w:rPr>
                <w:noProof/>
                <w:webHidden/>
              </w:rPr>
              <w:fldChar w:fldCharType="separate"/>
            </w:r>
            <w:r w:rsidR="00290AE9">
              <w:rPr>
                <w:noProof/>
                <w:webHidden/>
              </w:rPr>
              <w:t>2</w:t>
            </w:r>
            <w:r w:rsidR="00290AE9">
              <w:rPr>
                <w:noProof/>
                <w:webHidden/>
              </w:rPr>
              <w:fldChar w:fldCharType="end"/>
            </w:r>
          </w:hyperlink>
        </w:p>
        <w:p w14:paraId="31130F7E" w14:textId="61FBA641" w:rsidR="00290AE9" w:rsidRDefault="00290AE9">
          <w:pPr>
            <w:pStyle w:val="TOC1"/>
            <w:tabs>
              <w:tab w:val="right" w:leader="dot" w:pos="9016"/>
            </w:tabs>
            <w:rPr>
              <w:rFonts w:asciiTheme="minorHAnsi" w:eastAsiaTheme="minorEastAsia" w:hAnsiTheme="minorHAnsi"/>
              <w:noProof/>
              <w:szCs w:val="24"/>
              <w:lang w:eastAsia="en-GB"/>
            </w:rPr>
          </w:pPr>
          <w:hyperlink w:anchor="_Toc223219138" w:history="1">
            <w:r w:rsidRPr="004A303D">
              <w:rPr>
                <w:rStyle w:val="Hyperlink"/>
                <w:noProof/>
              </w:rPr>
              <w:t>Introduction</w:t>
            </w:r>
            <w:r>
              <w:rPr>
                <w:noProof/>
                <w:webHidden/>
              </w:rPr>
              <w:tab/>
            </w:r>
            <w:r>
              <w:rPr>
                <w:noProof/>
                <w:webHidden/>
              </w:rPr>
              <w:fldChar w:fldCharType="begin"/>
            </w:r>
            <w:r>
              <w:rPr>
                <w:noProof/>
                <w:webHidden/>
              </w:rPr>
              <w:instrText xml:space="preserve"> PAGEREF _Toc223219138 \h </w:instrText>
            </w:r>
            <w:r>
              <w:rPr>
                <w:noProof/>
                <w:webHidden/>
              </w:rPr>
            </w:r>
            <w:r>
              <w:rPr>
                <w:noProof/>
                <w:webHidden/>
              </w:rPr>
              <w:fldChar w:fldCharType="separate"/>
            </w:r>
            <w:r>
              <w:rPr>
                <w:noProof/>
                <w:webHidden/>
              </w:rPr>
              <w:t>4</w:t>
            </w:r>
            <w:r>
              <w:rPr>
                <w:noProof/>
                <w:webHidden/>
              </w:rPr>
              <w:fldChar w:fldCharType="end"/>
            </w:r>
          </w:hyperlink>
        </w:p>
        <w:p w14:paraId="434614C3" w14:textId="62D71729" w:rsidR="00290AE9" w:rsidRDefault="00290AE9">
          <w:pPr>
            <w:pStyle w:val="TOC1"/>
            <w:tabs>
              <w:tab w:val="right" w:leader="dot" w:pos="9016"/>
            </w:tabs>
            <w:rPr>
              <w:rFonts w:asciiTheme="minorHAnsi" w:eastAsiaTheme="minorEastAsia" w:hAnsiTheme="minorHAnsi"/>
              <w:noProof/>
              <w:szCs w:val="24"/>
              <w:lang w:eastAsia="en-GB"/>
            </w:rPr>
          </w:pPr>
          <w:hyperlink w:anchor="_Toc223219139" w:history="1">
            <w:r w:rsidRPr="004A303D">
              <w:rPr>
                <w:rStyle w:val="Hyperlink"/>
                <w:noProof/>
              </w:rPr>
              <w:t>Background</w:t>
            </w:r>
            <w:r>
              <w:rPr>
                <w:noProof/>
                <w:webHidden/>
              </w:rPr>
              <w:tab/>
            </w:r>
            <w:r>
              <w:rPr>
                <w:noProof/>
                <w:webHidden/>
              </w:rPr>
              <w:fldChar w:fldCharType="begin"/>
            </w:r>
            <w:r>
              <w:rPr>
                <w:noProof/>
                <w:webHidden/>
              </w:rPr>
              <w:instrText xml:space="preserve"> PAGEREF _Toc223219139 \h </w:instrText>
            </w:r>
            <w:r>
              <w:rPr>
                <w:noProof/>
                <w:webHidden/>
              </w:rPr>
            </w:r>
            <w:r>
              <w:rPr>
                <w:noProof/>
                <w:webHidden/>
              </w:rPr>
              <w:fldChar w:fldCharType="separate"/>
            </w:r>
            <w:r>
              <w:rPr>
                <w:noProof/>
                <w:webHidden/>
              </w:rPr>
              <w:t>4</w:t>
            </w:r>
            <w:r>
              <w:rPr>
                <w:noProof/>
                <w:webHidden/>
              </w:rPr>
              <w:fldChar w:fldCharType="end"/>
            </w:r>
          </w:hyperlink>
        </w:p>
        <w:p w14:paraId="72975B52" w14:textId="5303EE71" w:rsidR="00290AE9" w:rsidRDefault="00290AE9">
          <w:pPr>
            <w:pStyle w:val="TOC1"/>
            <w:tabs>
              <w:tab w:val="right" w:leader="dot" w:pos="9016"/>
            </w:tabs>
            <w:rPr>
              <w:rFonts w:asciiTheme="minorHAnsi" w:eastAsiaTheme="minorEastAsia" w:hAnsiTheme="minorHAnsi"/>
              <w:noProof/>
              <w:szCs w:val="24"/>
              <w:lang w:eastAsia="en-GB"/>
            </w:rPr>
          </w:pPr>
          <w:hyperlink w:anchor="_Toc223219140" w:history="1">
            <w:r w:rsidRPr="004A303D">
              <w:rPr>
                <w:rStyle w:val="Hyperlink"/>
                <w:noProof/>
              </w:rPr>
              <w:t>Strategic Intent</w:t>
            </w:r>
            <w:r>
              <w:rPr>
                <w:noProof/>
                <w:webHidden/>
              </w:rPr>
              <w:tab/>
            </w:r>
            <w:r>
              <w:rPr>
                <w:noProof/>
                <w:webHidden/>
              </w:rPr>
              <w:fldChar w:fldCharType="begin"/>
            </w:r>
            <w:r>
              <w:rPr>
                <w:noProof/>
                <w:webHidden/>
              </w:rPr>
              <w:instrText xml:space="preserve"> PAGEREF _Toc223219140 \h </w:instrText>
            </w:r>
            <w:r>
              <w:rPr>
                <w:noProof/>
                <w:webHidden/>
              </w:rPr>
            </w:r>
            <w:r>
              <w:rPr>
                <w:noProof/>
                <w:webHidden/>
              </w:rPr>
              <w:fldChar w:fldCharType="separate"/>
            </w:r>
            <w:r>
              <w:rPr>
                <w:noProof/>
                <w:webHidden/>
              </w:rPr>
              <w:t>5</w:t>
            </w:r>
            <w:r>
              <w:rPr>
                <w:noProof/>
                <w:webHidden/>
              </w:rPr>
              <w:fldChar w:fldCharType="end"/>
            </w:r>
          </w:hyperlink>
        </w:p>
        <w:p w14:paraId="33975ADE" w14:textId="08CFB33E" w:rsidR="00290AE9" w:rsidRDefault="00290AE9">
          <w:pPr>
            <w:pStyle w:val="TOC1"/>
            <w:tabs>
              <w:tab w:val="right" w:leader="dot" w:pos="9016"/>
            </w:tabs>
            <w:rPr>
              <w:rFonts w:asciiTheme="minorHAnsi" w:eastAsiaTheme="minorEastAsia" w:hAnsiTheme="minorHAnsi"/>
              <w:noProof/>
              <w:szCs w:val="24"/>
              <w:lang w:eastAsia="en-GB"/>
            </w:rPr>
          </w:pPr>
          <w:hyperlink w:anchor="_Toc223219141" w:history="1">
            <w:r w:rsidRPr="004A303D">
              <w:rPr>
                <w:rStyle w:val="Hyperlink"/>
                <w:noProof/>
              </w:rPr>
              <w:t>The Current Performance of the Company</w:t>
            </w:r>
            <w:r>
              <w:rPr>
                <w:noProof/>
                <w:webHidden/>
              </w:rPr>
              <w:tab/>
            </w:r>
            <w:r>
              <w:rPr>
                <w:noProof/>
                <w:webHidden/>
              </w:rPr>
              <w:fldChar w:fldCharType="begin"/>
            </w:r>
            <w:r>
              <w:rPr>
                <w:noProof/>
                <w:webHidden/>
              </w:rPr>
              <w:instrText xml:space="preserve"> PAGEREF _Toc223219141 \h </w:instrText>
            </w:r>
            <w:r>
              <w:rPr>
                <w:noProof/>
                <w:webHidden/>
              </w:rPr>
            </w:r>
            <w:r>
              <w:rPr>
                <w:noProof/>
                <w:webHidden/>
              </w:rPr>
              <w:fldChar w:fldCharType="separate"/>
            </w:r>
            <w:r>
              <w:rPr>
                <w:noProof/>
                <w:webHidden/>
              </w:rPr>
              <w:t>5</w:t>
            </w:r>
            <w:r>
              <w:rPr>
                <w:noProof/>
                <w:webHidden/>
              </w:rPr>
              <w:fldChar w:fldCharType="end"/>
            </w:r>
          </w:hyperlink>
        </w:p>
        <w:p w14:paraId="5085B6B6" w14:textId="06C48DFC" w:rsidR="00290AE9" w:rsidRDefault="00290AE9">
          <w:pPr>
            <w:pStyle w:val="TOC1"/>
            <w:tabs>
              <w:tab w:val="right" w:leader="dot" w:pos="9016"/>
            </w:tabs>
            <w:rPr>
              <w:rFonts w:asciiTheme="minorHAnsi" w:eastAsiaTheme="minorEastAsia" w:hAnsiTheme="minorHAnsi"/>
              <w:noProof/>
              <w:szCs w:val="24"/>
              <w:lang w:eastAsia="en-GB"/>
            </w:rPr>
          </w:pPr>
          <w:hyperlink w:anchor="_Toc223219142" w:history="1">
            <w:r w:rsidRPr="004A303D">
              <w:rPr>
                <w:rStyle w:val="Hyperlink"/>
                <w:noProof/>
              </w:rPr>
              <w:t>Strategy Analysis</w:t>
            </w:r>
            <w:r>
              <w:rPr>
                <w:noProof/>
                <w:webHidden/>
              </w:rPr>
              <w:tab/>
            </w:r>
            <w:r>
              <w:rPr>
                <w:noProof/>
                <w:webHidden/>
              </w:rPr>
              <w:fldChar w:fldCharType="begin"/>
            </w:r>
            <w:r>
              <w:rPr>
                <w:noProof/>
                <w:webHidden/>
              </w:rPr>
              <w:instrText xml:space="preserve"> PAGEREF _Toc223219142 \h </w:instrText>
            </w:r>
            <w:r>
              <w:rPr>
                <w:noProof/>
                <w:webHidden/>
              </w:rPr>
            </w:r>
            <w:r>
              <w:rPr>
                <w:noProof/>
                <w:webHidden/>
              </w:rPr>
              <w:fldChar w:fldCharType="separate"/>
            </w:r>
            <w:r>
              <w:rPr>
                <w:noProof/>
                <w:webHidden/>
              </w:rPr>
              <w:t>6</w:t>
            </w:r>
            <w:r>
              <w:rPr>
                <w:noProof/>
                <w:webHidden/>
              </w:rPr>
              <w:fldChar w:fldCharType="end"/>
            </w:r>
          </w:hyperlink>
        </w:p>
        <w:p w14:paraId="34BF4992" w14:textId="1853750C" w:rsidR="00290AE9" w:rsidRDefault="00290AE9">
          <w:pPr>
            <w:pStyle w:val="TOC2"/>
            <w:tabs>
              <w:tab w:val="right" w:leader="dot" w:pos="9016"/>
            </w:tabs>
            <w:rPr>
              <w:rFonts w:asciiTheme="minorHAnsi" w:eastAsiaTheme="minorEastAsia" w:hAnsiTheme="minorHAnsi"/>
              <w:noProof/>
              <w:szCs w:val="24"/>
              <w:lang w:eastAsia="en-GB"/>
            </w:rPr>
          </w:pPr>
          <w:hyperlink w:anchor="_Toc223219143" w:history="1">
            <w:r w:rsidRPr="004A303D">
              <w:rPr>
                <w:rStyle w:val="Hyperlink"/>
                <w:noProof/>
              </w:rPr>
              <w:t>External Environmental Audit</w:t>
            </w:r>
            <w:r>
              <w:rPr>
                <w:noProof/>
                <w:webHidden/>
              </w:rPr>
              <w:tab/>
            </w:r>
            <w:r>
              <w:rPr>
                <w:noProof/>
                <w:webHidden/>
              </w:rPr>
              <w:fldChar w:fldCharType="begin"/>
            </w:r>
            <w:r>
              <w:rPr>
                <w:noProof/>
                <w:webHidden/>
              </w:rPr>
              <w:instrText xml:space="preserve"> PAGEREF _Toc223219143 \h </w:instrText>
            </w:r>
            <w:r>
              <w:rPr>
                <w:noProof/>
                <w:webHidden/>
              </w:rPr>
            </w:r>
            <w:r>
              <w:rPr>
                <w:noProof/>
                <w:webHidden/>
              </w:rPr>
              <w:fldChar w:fldCharType="separate"/>
            </w:r>
            <w:r>
              <w:rPr>
                <w:noProof/>
                <w:webHidden/>
              </w:rPr>
              <w:t>6</w:t>
            </w:r>
            <w:r>
              <w:rPr>
                <w:noProof/>
                <w:webHidden/>
              </w:rPr>
              <w:fldChar w:fldCharType="end"/>
            </w:r>
          </w:hyperlink>
        </w:p>
        <w:p w14:paraId="29763DA2" w14:textId="17E2670A" w:rsidR="00290AE9" w:rsidRDefault="00290AE9">
          <w:pPr>
            <w:pStyle w:val="TOC2"/>
            <w:tabs>
              <w:tab w:val="right" w:leader="dot" w:pos="9016"/>
            </w:tabs>
            <w:rPr>
              <w:rFonts w:asciiTheme="minorHAnsi" w:eastAsiaTheme="minorEastAsia" w:hAnsiTheme="minorHAnsi"/>
              <w:noProof/>
              <w:szCs w:val="24"/>
              <w:lang w:eastAsia="en-GB"/>
            </w:rPr>
          </w:pPr>
          <w:hyperlink w:anchor="_Toc223219144" w:history="1">
            <w:r w:rsidRPr="004A303D">
              <w:rPr>
                <w:rStyle w:val="Hyperlink"/>
                <w:noProof/>
              </w:rPr>
              <w:t>Internal Environmental Audit</w:t>
            </w:r>
            <w:r>
              <w:rPr>
                <w:noProof/>
                <w:webHidden/>
              </w:rPr>
              <w:tab/>
            </w:r>
            <w:r>
              <w:rPr>
                <w:noProof/>
                <w:webHidden/>
              </w:rPr>
              <w:fldChar w:fldCharType="begin"/>
            </w:r>
            <w:r>
              <w:rPr>
                <w:noProof/>
                <w:webHidden/>
              </w:rPr>
              <w:instrText xml:space="preserve"> PAGEREF _Toc223219144 \h </w:instrText>
            </w:r>
            <w:r>
              <w:rPr>
                <w:noProof/>
                <w:webHidden/>
              </w:rPr>
            </w:r>
            <w:r>
              <w:rPr>
                <w:noProof/>
                <w:webHidden/>
              </w:rPr>
              <w:fldChar w:fldCharType="separate"/>
            </w:r>
            <w:r>
              <w:rPr>
                <w:noProof/>
                <w:webHidden/>
              </w:rPr>
              <w:t>9</w:t>
            </w:r>
            <w:r>
              <w:rPr>
                <w:noProof/>
                <w:webHidden/>
              </w:rPr>
              <w:fldChar w:fldCharType="end"/>
            </w:r>
          </w:hyperlink>
        </w:p>
        <w:p w14:paraId="3827304A" w14:textId="4A93AA1A" w:rsidR="00290AE9" w:rsidRDefault="00290AE9">
          <w:pPr>
            <w:pStyle w:val="TOC1"/>
            <w:tabs>
              <w:tab w:val="right" w:leader="dot" w:pos="9016"/>
            </w:tabs>
            <w:rPr>
              <w:rFonts w:asciiTheme="minorHAnsi" w:eastAsiaTheme="minorEastAsia" w:hAnsiTheme="minorHAnsi"/>
              <w:noProof/>
              <w:szCs w:val="24"/>
              <w:lang w:eastAsia="en-GB"/>
            </w:rPr>
          </w:pPr>
          <w:hyperlink w:anchor="_Toc223219145" w:history="1">
            <w:r w:rsidRPr="004A303D">
              <w:rPr>
                <w:rStyle w:val="Hyperlink"/>
                <w:noProof/>
              </w:rPr>
              <w:t>Strategy Formulation</w:t>
            </w:r>
            <w:r>
              <w:rPr>
                <w:noProof/>
                <w:webHidden/>
              </w:rPr>
              <w:tab/>
            </w:r>
            <w:r>
              <w:rPr>
                <w:noProof/>
                <w:webHidden/>
              </w:rPr>
              <w:fldChar w:fldCharType="begin"/>
            </w:r>
            <w:r>
              <w:rPr>
                <w:noProof/>
                <w:webHidden/>
              </w:rPr>
              <w:instrText xml:space="preserve"> PAGEREF _Toc223219145 \h </w:instrText>
            </w:r>
            <w:r>
              <w:rPr>
                <w:noProof/>
                <w:webHidden/>
              </w:rPr>
            </w:r>
            <w:r>
              <w:rPr>
                <w:noProof/>
                <w:webHidden/>
              </w:rPr>
              <w:fldChar w:fldCharType="separate"/>
            </w:r>
            <w:r>
              <w:rPr>
                <w:noProof/>
                <w:webHidden/>
              </w:rPr>
              <w:t>11</w:t>
            </w:r>
            <w:r>
              <w:rPr>
                <w:noProof/>
                <w:webHidden/>
              </w:rPr>
              <w:fldChar w:fldCharType="end"/>
            </w:r>
          </w:hyperlink>
        </w:p>
        <w:p w14:paraId="527468D0" w14:textId="562491BE" w:rsidR="00290AE9" w:rsidRDefault="00290AE9">
          <w:pPr>
            <w:pStyle w:val="TOC1"/>
            <w:tabs>
              <w:tab w:val="right" w:leader="dot" w:pos="9016"/>
            </w:tabs>
            <w:rPr>
              <w:rFonts w:asciiTheme="minorHAnsi" w:eastAsiaTheme="minorEastAsia" w:hAnsiTheme="minorHAnsi"/>
              <w:noProof/>
              <w:szCs w:val="24"/>
              <w:lang w:eastAsia="en-GB"/>
            </w:rPr>
          </w:pPr>
          <w:hyperlink w:anchor="_Toc223219146" w:history="1">
            <w:r w:rsidRPr="004A303D">
              <w:rPr>
                <w:rStyle w:val="Hyperlink"/>
                <w:noProof/>
              </w:rPr>
              <w:t>Conclusion and Recommendation</w:t>
            </w:r>
            <w:r>
              <w:rPr>
                <w:noProof/>
                <w:webHidden/>
              </w:rPr>
              <w:tab/>
            </w:r>
            <w:r>
              <w:rPr>
                <w:noProof/>
                <w:webHidden/>
              </w:rPr>
              <w:fldChar w:fldCharType="begin"/>
            </w:r>
            <w:r>
              <w:rPr>
                <w:noProof/>
                <w:webHidden/>
              </w:rPr>
              <w:instrText xml:space="preserve"> PAGEREF _Toc223219146 \h </w:instrText>
            </w:r>
            <w:r>
              <w:rPr>
                <w:noProof/>
                <w:webHidden/>
              </w:rPr>
            </w:r>
            <w:r>
              <w:rPr>
                <w:noProof/>
                <w:webHidden/>
              </w:rPr>
              <w:fldChar w:fldCharType="separate"/>
            </w:r>
            <w:r>
              <w:rPr>
                <w:noProof/>
                <w:webHidden/>
              </w:rPr>
              <w:t>12</w:t>
            </w:r>
            <w:r>
              <w:rPr>
                <w:noProof/>
                <w:webHidden/>
              </w:rPr>
              <w:fldChar w:fldCharType="end"/>
            </w:r>
          </w:hyperlink>
        </w:p>
        <w:p w14:paraId="56E5DCE9" w14:textId="6B115F1C" w:rsidR="00290AE9" w:rsidRDefault="00290AE9">
          <w:pPr>
            <w:pStyle w:val="TOC1"/>
            <w:tabs>
              <w:tab w:val="right" w:leader="dot" w:pos="9016"/>
            </w:tabs>
            <w:rPr>
              <w:rFonts w:asciiTheme="minorHAnsi" w:eastAsiaTheme="minorEastAsia" w:hAnsiTheme="minorHAnsi"/>
              <w:noProof/>
              <w:szCs w:val="24"/>
              <w:lang w:eastAsia="en-GB"/>
            </w:rPr>
          </w:pPr>
          <w:hyperlink w:anchor="_Toc223219147" w:history="1">
            <w:r w:rsidRPr="004A303D">
              <w:rPr>
                <w:rStyle w:val="Hyperlink"/>
                <w:noProof/>
              </w:rPr>
              <w:t>References</w:t>
            </w:r>
            <w:r>
              <w:rPr>
                <w:noProof/>
                <w:webHidden/>
              </w:rPr>
              <w:tab/>
            </w:r>
            <w:r>
              <w:rPr>
                <w:noProof/>
                <w:webHidden/>
              </w:rPr>
              <w:fldChar w:fldCharType="begin"/>
            </w:r>
            <w:r>
              <w:rPr>
                <w:noProof/>
                <w:webHidden/>
              </w:rPr>
              <w:instrText xml:space="preserve"> PAGEREF _Toc223219147 \h </w:instrText>
            </w:r>
            <w:r>
              <w:rPr>
                <w:noProof/>
                <w:webHidden/>
              </w:rPr>
            </w:r>
            <w:r>
              <w:rPr>
                <w:noProof/>
                <w:webHidden/>
              </w:rPr>
              <w:fldChar w:fldCharType="separate"/>
            </w:r>
            <w:r>
              <w:rPr>
                <w:noProof/>
                <w:webHidden/>
              </w:rPr>
              <w:t>13</w:t>
            </w:r>
            <w:r>
              <w:rPr>
                <w:noProof/>
                <w:webHidden/>
              </w:rPr>
              <w:fldChar w:fldCharType="end"/>
            </w:r>
          </w:hyperlink>
        </w:p>
        <w:p w14:paraId="6B781FC3" w14:textId="4B58BF52" w:rsidR="00D63A29" w:rsidRDefault="00D63A29">
          <w:r>
            <w:rPr>
              <w:b/>
              <w:bCs/>
              <w:noProof/>
            </w:rPr>
            <w:fldChar w:fldCharType="end"/>
          </w:r>
        </w:p>
      </w:sdtContent>
    </w:sdt>
    <w:p w14:paraId="366C0D69" w14:textId="7B88BFD8" w:rsidR="003C538E" w:rsidRDefault="003C538E">
      <w:pPr>
        <w:spacing w:line="276" w:lineRule="auto"/>
        <w:jc w:val="left"/>
        <w:rPr>
          <w:b/>
          <w:bCs/>
        </w:rPr>
      </w:pPr>
      <w:r>
        <w:rPr>
          <w:b/>
          <w:bCs/>
        </w:rPr>
        <w:br w:type="page"/>
      </w:r>
    </w:p>
    <w:p w14:paraId="453759AF" w14:textId="6A4B4398" w:rsidR="00221277" w:rsidRPr="00221277" w:rsidRDefault="00221277" w:rsidP="003C538E">
      <w:pPr>
        <w:pStyle w:val="Heading1"/>
      </w:pPr>
      <w:bookmarkStart w:id="1" w:name="_Toc223219138"/>
      <w:r w:rsidRPr="00221277">
        <w:lastRenderedPageBreak/>
        <w:t>Introduction</w:t>
      </w:r>
      <w:bookmarkEnd w:id="1"/>
    </w:p>
    <w:p w14:paraId="35D7B0A4" w14:textId="355EF554" w:rsidR="003C538E" w:rsidRPr="003C538E" w:rsidRDefault="00221277" w:rsidP="003C538E">
      <w:r w:rsidRPr="00221277">
        <w:t>Strategic management refers to the strategic planning and management of the long-term direction of a firm to enable it to gain a competitive advantage. It assists organisations to understand the internal strengths and external environment, which enables them to make superior business decisions (Johnson et al., 2023). Strategic management is highly significant in the automotive industry since the companies experience high rates of technological change, consumer demand and government regulation. This report dwells upon Tesla, which is one of the most successful electric vehicle companies in the world. The aim of the report is to discuss the competitive environment of Tesla and discuss its existing strategy based on the established strategic tools: PESTEL, Porter's five forces, SWOT and VRIO analysis. These instruments assist in determining the opportunities, threats, strengths, and weaknesses that determine the performance of the company (Grant, 202</w:t>
      </w:r>
      <w:r w:rsidR="00CA75FE">
        <w:t>1</w:t>
      </w:r>
      <w:r w:rsidRPr="00221277">
        <w:t>). The report is divided into various sections. To begin with, it gives some background information about Tesla and its strategic intent. Then it examines the existing performance and competitiveness of Tesla. Lastly, it suggests a new approach and provides suggestions for success in the future of the global car industry.</w:t>
      </w:r>
    </w:p>
    <w:p w14:paraId="61AC37C8" w14:textId="2C64E5FC" w:rsidR="00221277" w:rsidRPr="00221277" w:rsidRDefault="00221277" w:rsidP="003C538E">
      <w:pPr>
        <w:pStyle w:val="Heading1"/>
      </w:pPr>
      <w:bookmarkStart w:id="2" w:name="_Toc223219139"/>
      <w:r w:rsidRPr="00221277">
        <w:t>Background</w:t>
      </w:r>
      <w:bookmarkEnd w:id="2"/>
    </w:p>
    <w:p w14:paraId="3AEB5695" w14:textId="0C967DDC" w:rsidR="003C538E" w:rsidRDefault="00221277" w:rsidP="003C538E">
      <w:r w:rsidRPr="00221277">
        <w:t xml:space="preserve">Tesla, Inc. is a multinational corporation headquartered in America and was founded in 2003. It develops and markets electric vehicles, battery storage and solar energy products. Tesla's car models are Model S, Model 3, Model X, Model Y, Cybertruck, and Tesla Semi. Other energy products that the company offers include Powerwall, Megapack, solar panels, and software services, including Autopilot and over-the-air updates. Tesla is a company in the world car and clean energy sector that is currently shifting with remarkable speed towards the electrification and greener technology </w:t>
      </w:r>
      <w:r w:rsidR="00CA75FE" w:rsidRPr="00CA75FE">
        <w:t>(IEA, 2024)</w:t>
      </w:r>
      <w:r w:rsidRPr="00221277">
        <w:t>. Tesla has its headquarters in Austin, Texas, USA, with key factories in the United States, China and Germany. These giant Gigafactories assist the company in manufacturing vehicles and batteries in large volumes (Tesla, 2024). Over the past few years, Tesla has emerged as one of the most successful manufacturers of electric vehicles in the world in terms of market value and technology, which has to compete with other manufacturers like BYD, Toyota, and Volkswagen (Deloitte, 2024). Its highly developed brand image and technology on battery make it play a significant role in the international EV market.</w:t>
      </w:r>
    </w:p>
    <w:p w14:paraId="11B1331C" w14:textId="77777777" w:rsidR="008051B3" w:rsidRDefault="008051B3" w:rsidP="008051B3">
      <w:pPr>
        <w:keepNext/>
        <w:jc w:val="center"/>
      </w:pPr>
      <w:r>
        <w:rPr>
          <w:noProof/>
        </w:rPr>
        <w:lastRenderedPageBreak/>
        <w:drawing>
          <wp:inline distT="0" distB="0" distL="0" distR="0" wp14:anchorId="7AC70E79" wp14:editId="22CBAB08">
            <wp:extent cx="4597400" cy="2289532"/>
            <wp:effectExtent l="0" t="0" r="0" b="0"/>
            <wp:docPr id="16206704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670427" name="Picture 1620670427"/>
                    <pic:cNvPicPr/>
                  </pic:nvPicPr>
                  <pic:blipFill>
                    <a:blip r:embed="rId9">
                      <a:extLst>
                        <a:ext uri="{28A0092B-C50C-407E-A947-70E740481C1C}">
                          <a14:useLocalDpi xmlns:a14="http://schemas.microsoft.com/office/drawing/2010/main" val="0"/>
                        </a:ext>
                      </a:extLst>
                    </a:blip>
                    <a:stretch>
                      <a:fillRect/>
                    </a:stretch>
                  </pic:blipFill>
                  <pic:spPr>
                    <a:xfrm>
                      <a:off x="0" y="0"/>
                      <a:ext cx="4607558" cy="2294591"/>
                    </a:xfrm>
                    <a:prstGeom prst="rect">
                      <a:avLst/>
                    </a:prstGeom>
                  </pic:spPr>
                </pic:pic>
              </a:graphicData>
            </a:graphic>
          </wp:inline>
        </w:drawing>
      </w:r>
    </w:p>
    <w:p w14:paraId="152801CD" w14:textId="3F159ADB" w:rsidR="008051B3" w:rsidRPr="003C538E" w:rsidRDefault="008051B3" w:rsidP="008051B3">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221277">
        <w:t>Tesla, Inc.</w:t>
      </w:r>
      <w:r w:rsidR="00CA75FE">
        <w:t xml:space="preserve"> </w:t>
      </w:r>
      <w:r w:rsidR="00CA75FE" w:rsidRPr="00CA75FE">
        <w:t>(Tesla, 2024)</w:t>
      </w:r>
    </w:p>
    <w:p w14:paraId="349ABC91" w14:textId="41C4EE00" w:rsidR="00221277" w:rsidRPr="00221277" w:rsidRDefault="00221277" w:rsidP="003C538E">
      <w:pPr>
        <w:pStyle w:val="Heading1"/>
      </w:pPr>
      <w:bookmarkStart w:id="3" w:name="_Toc223219140"/>
      <w:r w:rsidRPr="00221277">
        <w:t>Strategic Intent</w:t>
      </w:r>
      <w:bookmarkEnd w:id="3"/>
    </w:p>
    <w:p w14:paraId="2F40CDC9" w14:textId="5F2F287A" w:rsidR="00221277" w:rsidRPr="00221277" w:rsidRDefault="00221277" w:rsidP="00221277">
      <w:r w:rsidRPr="00221277">
        <w:t xml:space="preserve">The strategy of Tesla is informed by a concise vision and mission. The vision of the company is to have a clean and sustainable energy future. It also aims to speed the world's transition to sustainable energy by ensuring that it uses electric cars, battery storage, and solar energy. This vision is significant since it is demanded by governments and customers that transport is low-carbon, and strict climate policies are pushing companies to green innovation </w:t>
      </w:r>
      <w:r w:rsidR="00CA75FE" w:rsidRPr="00CA75FE">
        <w:t>(IEA, 2024)</w:t>
      </w:r>
      <w:r w:rsidRPr="00221277">
        <w:t>.</w:t>
      </w:r>
    </w:p>
    <w:p w14:paraId="642359F4" w14:textId="3AE292FC" w:rsidR="00221277" w:rsidRPr="00221277" w:rsidRDefault="00221277" w:rsidP="00221277">
      <w:r w:rsidRPr="00221277">
        <w:t>The primary goals of Tesla are to remain the leader in the global electric car market, enhance battery efficiency and price, expand the charging network, and increase the volume of production by means of new Gigafactories. Development of autonomous driving software and customer digital services (Deloitte, 2024) are among the other goals of the company. The importance of these objectives is that good technology and scale will help Tesla keep up with the emerging EV rivals like BYD and mainstream auto manufacturers. The unambiguous strategic intent encourages the long-term growth and brand value, as well as the sustainability performance in the rapidly changing automobile industry.</w:t>
      </w:r>
    </w:p>
    <w:p w14:paraId="3B3EDFD9" w14:textId="564749E5" w:rsidR="00221277" w:rsidRPr="00221277" w:rsidRDefault="00221277" w:rsidP="003C538E">
      <w:pPr>
        <w:pStyle w:val="Heading1"/>
      </w:pPr>
      <w:bookmarkStart w:id="4" w:name="_Toc223219141"/>
      <w:r w:rsidRPr="00221277">
        <w:t>The Current Performance of the Company</w:t>
      </w:r>
      <w:bookmarkEnd w:id="4"/>
    </w:p>
    <w:p w14:paraId="761E6B7C" w14:textId="4EB62C37" w:rsidR="00221277" w:rsidRPr="00221277" w:rsidRDefault="00221277" w:rsidP="00221277">
      <w:r w:rsidRPr="00221277">
        <w:t xml:space="preserve">The current financial performance of Tesla presents its growth and new challenges. Tesla had a total revenue of approximately £77.3 billion in 2024 (equivalent to 97.7 billion), only approximately 1 per cent greater than the previous year, which is slower than the progress in the previous years </w:t>
      </w:r>
      <w:r w:rsidR="00CA75FE" w:rsidRPr="00CA75FE">
        <w:t>(Tesla, 2025)</w:t>
      </w:r>
      <w:r w:rsidRPr="00221277">
        <w:t xml:space="preserve">. Nevertheless, the profit margins declined as Tesla cut the prices of vehicles to remain competitive and incurred more expenditure on new factories and </w:t>
      </w:r>
      <w:r w:rsidRPr="00221277">
        <w:lastRenderedPageBreak/>
        <w:t xml:space="preserve">technology (Deloitte, 2024). In 2025, it also reported revenue of nearly £75.0 billion (considering it to be in dollars of 94.8 billion) and a reduced annual profit due to intense international competition and weak demand in certain markets </w:t>
      </w:r>
      <w:r w:rsidR="00CA75FE" w:rsidRPr="00CA75FE">
        <w:t>(IEA, 2024)</w:t>
      </w:r>
      <w:r w:rsidRPr="00221277">
        <w:t>.</w:t>
      </w:r>
    </w:p>
    <w:p w14:paraId="080E6438" w14:textId="0C9D54BC" w:rsidR="00221277" w:rsidRPr="00221277" w:rsidRDefault="00E75DD2" w:rsidP="00221277">
      <w:r w:rsidRPr="00E75DD2">
        <w:t>In 2024, Tesla has produced and sold about 1.7 -1.8 million motor vehicles and continues to be one of the largest electric vehicle manufacturers in the world, with about 15 -17% of the global motor vehicle EV market share (IEA, 2024)</w:t>
      </w:r>
      <w:r w:rsidR="00221277" w:rsidRPr="00221277">
        <w:t>. The stock of Tesla has remained fairly high in comparison with the traditional automobile firms due to the anticipation of investors that battery technology and autonomous driving systems will grow in the future.</w:t>
      </w:r>
    </w:p>
    <w:p w14:paraId="2B2768AD" w14:textId="77777777" w:rsidR="00221277" w:rsidRPr="00221277" w:rsidRDefault="00221277" w:rsidP="00221277">
      <w:r w:rsidRPr="00221277">
        <w:t>The main strengths of Tesla are that it has a high brand reputation, high battery innovation, vertical integration, and a global network of Superchargers. These are resources that provide Tesla with a competitive advantage. Nevertheless, other issues affecting Tesla include price wars, rapid expansion of the Chinese market by such companies as BYD, product recalls, and weaker demand in Europe and China (Deloitte, 2024). In general, Tesla is still a market leader that needs to regulate expenses and enhance innovation to achieve success in the long run.</w:t>
      </w:r>
    </w:p>
    <w:p w14:paraId="21E76E65" w14:textId="76825FD3" w:rsidR="00221277" w:rsidRPr="00221277" w:rsidRDefault="00221277" w:rsidP="003C538E">
      <w:pPr>
        <w:pStyle w:val="Heading1"/>
      </w:pPr>
      <w:bookmarkStart w:id="5" w:name="_Toc223219142"/>
      <w:r w:rsidRPr="00221277">
        <w:t>Strategy Analysis</w:t>
      </w:r>
      <w:bookmarkEnd w:id="5"/>
    </w:p>
    <w:p w14:paraId="4682DF59" w14:textId="2304E5E3" w:rsidR="00221277" w:rsidRDefault="00221277" w:rsidP="003C538E">
      <w:pPr>
        <w:pStyle w:val="Heading2"/>
      </w:pPr>
      <w:bookmarkStart w:id="6" w:name="_Toc223219143"/>
      <w:r w:rsidRPr="00221277">
        <w:t>External Environmental Audit</w:t>
      </w:r>
      <w:bookmarkEnd w:id="6"/>
    </w:p>
    <w:p w14:paraId="3D425474" w14:textId="2DAA2CA1" w:rsidR="008051B3" w:rsidRDefault="008051B3" w:rsidP="008051B3">
      <w:pPr>
        <w:rPr>
          <w:b/>
          <w:bCs/>
        </w:rPr>
      </w:pPr>
      <w:r w:rsidRPr="008051B3">
        <w:rPr>
          <w:b/>
          <w:bCs/>
        </w:rPr>
        <w:t>PESTEL Analysis</w:t>
      </w:r>
    </w:p>
    <w:p w14:paraId="1B539452" w14:textId="77777777" w:rsidR="008051B3" w:rsidRDefault="008051B3" w:rsidP="008051B3">
      <w:pPr>
        <w:keepNext/>
        <w:jc w:val="center"/>
      </w:pPr>
      <w:r>
        <w:rPr>
          <w:b/>
          <w:bCs/>
          <w:noProof/>
        </w:rPr>
        <w:lastRenderedPageBreak/>
        <w:drawing>
          <wp:inline distT="0" distB="0" distL="0" distR="0" wp14:anchorId="2571CE89" wp14:editId="2DD56F69">
            <wp:extent cx="3130215" cy="3213100"/>
            <wp:effectExtent l="0" t="0" r="0" b="6350"/>
            <wp:docPr id="10445042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504205" name="Picture 104450420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32441" cy="3215385"/>
                    </a:xfrm>
                    <a:prstGeom prst="rect">
                      <a:avLst/>
                    </a:prstGeom>
                  </pic:spPr>
                </pic:pic>
              </a:graphicData>
            </a:graphic>
          </wp:inline>
        </w:drawing>
      </w:r>
    </w:p>
    <w:p w14:paraId="426CCC57" w14:textId="671ABA54" w:rsidR="008051B3" w:rsidRPr="008051B3" w:rsidRDefault="008051B3" w:rsidP="008051B3">
      <w:pPr>
        <w:pStyle w:val="Caption"/>
        <w:jc w:val="center"/>
        <w:rPr>
          <w:b/>
          <w:bCs/>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8051B3">
        <w:t>PESTEL Analysis</w:t>
      </w:r>
      <w:r w:rsidR="00CA75FE">
        <w:t xml:space="preserve"> </w:t>
      </w:r>
      <w:r w:rsidR="00CA75FE" w:rsidRPr="00CA75FE">
        <w:t>(Deloitte, 2024)</w:t>
      </w:r>
    </w:p>
    <w:p w14:paraId="2AD5F6A6" w14:textId="5568BA66" w:rsidR="003049A5" w:rsidRPr="003049A5" w:rsidRDefault="00221277" w:rsidP="00500420">
      <w:r w:rsidRPr="00221277">
        <w:t>Tesla is a fast-evolving company that deals with the automotive business in a global environment, influenced by technology, regulation, and economic pressure. These external factors can be explained by a PESTEL analysis.</w:t>
      </w:r>
    </w:p>
    <w:tbl>
      <w:tblPr>
        <w:tblStyle w:val="TableGrid"/>
        <w:tblW w:w="0" w:type="auto"/>
        <w:tblLook w:val="04A0" w:firstRow="1" w:lastRow="0" w:firstColumn="1" w:lastColumn="0" w:noHBand="0" w:noVBand="1"/>
      </w:tblPr>
      <w:tblGrid>
        <w:gridCol w:w="1759"/>
        <w:gridCol w:w="7257"/>
      </w:tblGrid>
      <w:tr w:rsidR="003049A5" w:rsidRPr="003049A5" w14:paraId="723AFD0F" w14:textId="77777777" w:rsidTr="003C538E">
        <w:tc>
          <w:tcPr>
            <w:tcW w:w="0" w:type="auto"/>
            <w:shd w:val="clear" w:color="auto" w:fill="C6D9F1" w:themeFill="text2" w:themeFillTint="33"/>
            <w:hideMark/>
          </w:tcPr>
          <w:p w14:paraId="6D63FB5E" w14:textId="77777777" w:rsidR="003049A5" w:rsidRPr="003049A5" w:rsidRDefault="003049A5" w:rsidP="003C538E">
            <w:pPr>
              <w:spacing w:after="200"/>
              <w:jc w:val="center"/>
              <w:rPr>
                <w:b/>
                <w:bCs/>
              </w:rPr>
            </w:pPr>
            <w:r w:rsidRPr="003049A5">
              <w:rPr>
                <w:b/>
                <w:bCs/>
              </w:rPr>
              <w:t>Factor</w:t>
            </w:r>
          </w:p>
        </w:tc>
        <w:tc>
          <w:tcPr>
            <w:tcW w:w="0" w:type="auto"/>
            <w:shd w:val="clear" w:color="auto" w:fill="C6D9F1" w:themeFill="text2" w:themeFillTint="33"/>
            <w:hideMark/>
          </w:tcPr>
          <w:p w14:paraId="2FAF46C7" w14:textId="77777777" w:rsidR="003049A5" w:rsidRPr="003049A5" w:rsidRDefault="003049A5" w:rsidP="003C538E">
            <w:pPr>
              <w:spacing w:after="200"/>
              <w:jc w:val="center"/>
              <w:rPr>
                <w:b/>
                <w:bCs/>
              </w:rPr>
            </w:pPr>
            <w:r w:rsidRPr="003049A5">
              <w:rPr>
                <w:b/>
                <w:bCs/>
              </w:rPr>
              <w:t>Impact on Tesla</w:t>
            </w:r>
          </w:p>
        </w:tc>
      </w:tr>
      <w:tr w:rsidR="002B4FD6" w:rsidRPr="003049A5" w14:paraId="60217F55" w14:textId="77777777" w:rsidTr="003C538E">
        <w:tc>
          <w:tcPr>
            <w:tcW w:w="0" w:type="auto"/>
            <w:shd w:val="clear" w:color="auto" w:fill="C6D9F1" w:themeFill="text2" w:themeFillTint="33"/>
            <w:hideMark/>
          </w:tcPr>
          <w:p w14:paraId="5C0B0E33" w14:textId="77777777" w:rsidR="002B4FD6" w:rsidRPr="003049A5" w:rsidRDefault="002B4FD6" w:rsidP="002B4FD6">
            <w:pPr>
              <w:spacing w:after="200"/>
            </w:pPr>
            <w:r w:rsidRPr="003049A5">
              <w:rPr>
                <w:b/>
                <w:bCs/>
              </w:rPr>
              <w:t>Political</w:t>
            </w:r>
          </w:p>
        </w:tc>
        <w:tc>
          <w:tcPr>
            <w:tcW w:w="0" w:type="auto"/>
          </w:tcPr>
          <w:p w14:paraId="2F2CAE25" w14:textId="6AD7D922" w:rsidR="002B4FD6" w:rsidRPr="003049A5" w:rsidRDefault="002B4FD6" w:rsidP="002B4FD6">
            <w:pPr>
              <w:spacing w:after="200"/>
            </w:pPr>
            <w:r w:rsidRPr="002B4FD6">
              <w:t>The USA, EU, and China have government EV subsidies that hype the EV demand, yet trade conflicts and trade tariffs are escalating the cost of the supply chain (IEA, 2024).</w:t>
            </w:r>
          </w:p>
        </w:tc>
      </w:tr>
      <w:tr w:rsidR="002B4FD6" w:rsidRPr="003049A5" w14:paraId="064CA861" w14:textId="77777777" w:rsidTr="003C538E">
        <w:tc>
          <w:tcPr>
            <w:tcW w:w="0" w:type="auto"/>
            <w:shd w:val="clear" w:color="auto" w:fill="C6D9F1" w:themeFill="text2" w:themeFillTint="33"/>
            <w:hideMark/>
          </w:tcPr>
          <w:p w14:paraId="001EBB12" w14:textId="77777777" w:rsidR="002B4FD6" w:rsidRPr="003049A5" w:rsidRDefault="002B4FD6" w:rsidP="002B4FD6">
            <w:pPr>
              <w:spacing w:after="200"/>
            </w:pPr>
            <w:r w:rsidRPr="003049A5">
              <w:rPr>
                <w:b/>
                <w:bCs/>
              </w:rPr>
              <w:t>Economic</w:t>
            </w:r>
          </w:p>
        </w:tc>
        <w:tc>
          <w:tcPr>
            <w:tcW w:w="0" w:type="auto"/>
          </w:tcPr>
          <w:p w14:paraId="35FB5730" w14:textId="076B10D2" w:rsidR="002B4FD6" w:rsidRPr="003049A5" w:rsidRDefault="002B4FD6" w:rsidP="002B4FD6">
            <w:pPr>
              <w:spacing w:after="200"/>
            </w:pPr>
            <w:r w:rsidRPr="002B4FD6">
              <w:t>Inflation and elevated interest rates decrease consumer buying power, which slows down the growth of EV sales in certain markets.</w:t>
            </w:r>
          </w:p>
        </w:tc>
      </w:tr>
      <w:tr w:rsidR="002B4FD6" w:rsidRPr="003049A5" w14:paraId="494123AC" w14:textId="77777777" w:rsidTr="003C538E">
        <w:tc>
          <w:tcPr>
            <w:tcW w:w="0" w:type="auto"/>
            <w:shd w:val="clear" w:color="auto" w:fill="C6D9F1" w:themeFill="text2" w:themeFillTint="33"/>
            <w:hideMark/>
          </w:tcPr>
          <w:p w14:paraId="45E44E3B" w14:textId="77777777" w:rsidR="002B4FD6" w:rsidRPr="003049A5" w:rsidRDefault="002B4FD6" w:rsidP="002B4FD6">
            <w:pPr>
              <w:spacing w:after="200"/>
            </w:pPr>
            <w:r w:rsidRPr="003049A5">
              <w:rPr>
                <w:b/>
                <w:bCs/>
              </w:rPr>
              <w:t>Social</w:t>
            </w:r>
          </w:p>
        </w:tc>
        <w:tc>
          <w:tcPr>
            <w:tcW w:w="0" w:type="auto"/>
          </w:tcPr>
          <w:p w14:paraId="629A01BA" w14:textId="471619CD" w:rsidR="002B4FD6" w:rsidRPr="003049A5" w:rsidRDefault="002B4FD6" w:rsidP="002B4FD6">
            <w:pPr>
              <w:spacing w:after="200"/>
            </w:pPr>
            <w:r w:rsidRPr="002B4FD6">
              <w:t>Consumers are more likely to use green transportation, which promotes the use of EVs and promotes the brand of Tesla.</w:t>
            </w:r>
          </w:p>
        </w:tc>
      </w:tr>
      <w:tr w:rsidR="002B4FD6" w:rsidRPr="003049A5" w14:paraId="4A43278A" w14:textId="77777777" w:rsidTr="003C538E">
        <w:tc>
          <w:tcPr>
            <w:tcW w:w="0" w:type="auto"/>
            <w:shd w:val="clear" w:color="auto" w:fill="C6D9F1" w:themeFill="text2" w:themeFillTint="33"/>
            <w:hideMark/>
          </w:tcPr>
          <w:p w14:paraId="630254ED" w14:textId="77777777" w:rsidR="002B4FD6" w:rsidRPr="003049A5" w:rsidRDefault="002B4FD6" w:rsidP="002B4FD6">
            <w:pPr>
              <w:spacing w:after="200"/>
            </w:pPr>
            <w:r w:rsidRPr="003049A5">
              <w:rPr>
                <w:b/>
                <w:bCs/>
              </w:rPr>
              <w:t>Technological</w:t>
            </w:r>
          </w:p>
        </w:tc>
        <w:tc>
          <w:tcPr>
            <w:tcW w:w="0" w:type="auto"/>
          </w:tcPr>
          <w:p w14:paraId="6B80E0F6" w14:textId="363BB60B" w:rsidR="002B4FD6" w:rsidRPr="003049A5" w:rsidRDefault="002B4FD6" w:rsidP="002B4FD6">
            <w:pPr>
              <w:spacing w:after="200"/>
            </w:pPr>
            <w:r w:rsidRPr="002B4FD6">
              <w:t>The innovation in batteries and AI is fast-paced and opens opportunities, yet it demands a large budget for research.</w:t>
            </w:r>
          </w:p>
        </w:tc>
      </w:tr>
      <w:tr w:rsidR="002B4FD6" w:rsidRPr="003049A5" w14:paraId="0D8FCDBC" w14:textId="77777777" w:rsidTr="003C538E">
        <w:tc>
          <w:tcPr>
            <w:tcW w:w="0" w:type="auto"/>
            <w:shd w:val="clear" w:color="auto" w:fill="C6D9F1" w:themeFill="text2" w:themeFillTint="33"/>
            <w:hideMark/>
          </w:tcPr>
          <w:p w14:paraId="0D50C1D0" w14:textId="77777777" w:rsidR="002B4FD6" w:rsidRPr="003049A5" w:rsidRDefault="002B4FD6" w:rsidP="002B4FD6">
            <w:pPr>
              <w:spacing w:after="200"/>
            </w:pPr>
            <w:r w:rsidRPr="003049A5">
              <w:rPr>
                <w:b/>
                <w:bCs/>
              </w:rPr>
              <w:t>Legal</w:t>
            </w:r>
          </w:p>
        </w:tc>
        <w:tc>
          <w:tcPr>
            <w:tcW w:w="0" w:type="auto"/>
          </w:tcPr>
          <w:p w14:paraId="6E27F285" w14:textId="7224AD9D" w:rsidR="002B4FD6" w:rsidRPr="003049A5" w:rsidRDefault="00E75DD2" w:rsidP="002B4FD6">
            <w:pPr>
              <w:spacing w:after="200"/>
            </w:pPr>
            <w:r w:rsidRPr="00E75DD2">
              <w:t>Safety regulation, autopilot investigations and recall risks increase the cost of legal compliance (European Commission, 2025).</w:t>
            </w:r>
          </w:p>
        </w:tc>
      </w:tr>
      <w:tr w:rsidR="002B4FD6" w:rsidRPr="003049A5" w14:paraId="401CAAE4" w14:textId="77777777" w:rsidTr="003C538E">
        <w:tc>
          <w:tcPr>
            <w:tcW w:w="0" w:type="auto"/>
            <w:shd w:val="clear" w:color="auto" w:fill="C6D9F1" w:themeFill="text2" w:themeFillTint="33"/>
            <w:hideMark/>
          </w:tcPr>
          <w:p w14:paraId="60D44AAF" w14:textId="77777777" w:rsidR="002B4FD6" w:rsidRPr="003049A5" w:rsidRDefault="002B4FD6" w:rsidP="002B4FD6">
            <w:pPr>
              <w:spacing w:after="200"/>
            </w:pPr>
            <w:r w:rsidRPr="003049A5">
              <w:rPr>
                <w:b/>
                <w:bCs/>
              </w:rPr>
              <w:lastRenderedPageBreak/>
              <w:t>Environmental</w:t>
            </w:r>
          </w:p>
        </w:tc>
        <w:tc>
          <w:tcPr>
            <w:tcW w:w="0" w:type="auto"/>
          </w:tcPr>
          <w:p w14:paraId="4B420DEA" w14:textId="6CC2F2BD" w:rsidR="002B4FD6" w:rsidRPr="003049A5" w:rsidRDefault="002B4FD6" w:rsidP="002B4FD6">
            <w:pPr>
              <w:spacing w:after="200"/>
            </w:pPr>
            <w:r w:rsidRPr="002B4FD6">
              <w:t>The clean-energy strategy of Tesla is supported by the climate policies that compel companies to minimise carbon emissions.</w:t>
            </w:r>
          </w:p>
        </w:tc>
      </w:tr>
    </w:tbl>
    <w:p w14:paraId="19DA490C" w14:textId="6C35FD6C" w:rsidR="003049A5" w:rsidRDefault="003049A5" w:rsidP="003049A5"/>
    <w:p w14:paraId="0F538E60" w14:textId="1B873150" w:rsidR="003049A5" w:rsidRDefault="002B4FD6" w:rsidP="002B4FD6">
      <w:pPr>
        <w:rPr>
          <w:b/>
          <w:bCs/>
        </w:rPr>
      </w:pPr>
      <w:r w:rsidRPr="002B4FD6">
        <w:rPr>
          <w:b/>
          <w:bCs/>
        </w:rPr>
        <w:t xml:space="preserve">Porter’s Five Forces Analysis </w:t>
      </w:r>
    </w:p>
    <w:p w14:paraId="3C7BA312" w14:textId="77777777" w:rsidR="008051B3" w:rsidRDefault="008051B3" w:rsidP="008051B3">
      <w:pPr>
        <w:keepNext/>
        <w:jc w:val="center"/>
      </w:pPr>
      <w:r>
        <w:rPr>
          <w:noProof/>
        </w:rPr>
        <w:drawing>
          <wp:inline distT="0" distB="0" distL="0" distR="0" wp14:anchorId="5B49B2CB" wp14:editId="2C8D051B">
            <wp:extent cx="3969330" cy="2978150"/>
            <wp:effectExtent l="0" t="0" r="0" b="0"/>
            <wp:docPr id="16028152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15220" name="Picture 1602815220"/>
                    <pic:cNvPicPr/>
                  </pic:nvPicPr>
                  <pic:blipFill>
                    <a:blip r:embed="rId11">
                      <a:extLst>
                        <a:ext uri="{28A0092B-C50C-407E-A947-70E740481C1C}">
                          <a14:useLocalDpi xmlns:a14="http://schemas.microsoft.com/office/drawing/2010/main" val="0"/>
                        </a:ext>
                      </a:extLst>
                    </a:blip>
                    <a:stretch>
                      <a:fillRect/>
                    </a:stretch>
                  </pic:blipFill>
                  <pic:spPr>
                    <a:xfrm>
                      <a:off x="0" y="0"/>
                      <a:ext cx="3973298" cy="2981127"/>
                    </a:xfrm>
                    <a:prstGeom prst="rect">
                      <a:avLst/>
                    </a:prstGeom>
                  </pic:spPr>
                </pic:pic>
              </a:graphicData>
            </a:graphic>
          </wp:inline>
        </w:drawing>
      </w:r>
    </w:p>
    <w:p w14:paraId="63CD972C" w14:textId="0179D76E" w:rsidR="008051B3" w:rsidRPr="003049A5" w:rsidRDefault="008051B3" w:rsidP="008051B3">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8051B3">
        <w:t>Porter’s Five Forces</w:t>
      </w:r>
    </w:p>
    <w:tbl>
      <w:tblPr>
        <w:tblStyle w:val="TableGrid"/>
        <w:tblW w:w="0" w:type="auto"/>
        <w:tblLook w:val="04A0" w:firstRow="1" w:lastRow="0" w:firstColumn="1" w:lastColumn="0" w:noHBand="0" w:noVBand="1"/>
      </w:tblPr>
      <w:tblGrid>
        <w:gridCol w:w="2689"/>
        <w:gridCol w:w="6327"/>
      </w:tblGrid>
      <w:tr w:rsidR="003049A5" w:rsidRPr="003049A5" w14:paraId="1A5F8263" w14:textId="77777777" w:rsidTr="00DF7FF6">
        <w:tc>
          <w:tcPr>
            <w:tcW w:w="2689" w:type="dxa"/>
            <w:shd w:val="clear" w:color="auto" w:fill="C6D9F1" w:themeFill="text2" w:themeFillTint="33"/>
            <w:hideMark/>
          </w:tcPr>
          <w:p w14:paraId="1389B3FF" w14:textId="77777777" w:rsidR="003049A5" w:rsidRPr="003049A5" w:rsidRDefault="003049A5" w:rsidP="00DF7FF6">
            <w:pPr>
              <w:spacing w:after="200"/>
              <w:jc w:val="center"/>
              <w:rPr>
                <w:b/>
                <w:bCs/>
              </w:rPr>
            </w:pPr>
            <w:r w:rsidRPr="003049A5">
              <w:rPr>
                <w:b/>
                <w:bCs/>
              </w:rPr>
              <w:t>Force</w:t>
            </w:r>
          </w:p>
        </w:tc>
        <w:tc>
          <w:tcPr>
            <w:tcW w:w="6327" w:type="dxa"/>
            <w:shd w:val="clear" w:color="auto" w:fill="C6D9F1" w:themeFill="text2" w:themeFillTint="33"/>
            <w:hideMark/>
          </w:tcPr>
          <w:p w14:paraId="24CAFD2E" w14:textId="77777777" w:rsidR="003049A5" w:rsidRPr="003049A5" w:rsidRDefault="003049A5" w:rsidP="00DF7FF6">
            <w:pPr>
              <w:spacing w:after="200"/>
              <w:jc w:val="center"/>
              <w:rPr>
                <w:b/>
                <w:bCs/>
              </w:rPr>
            </w:pPr>
            <w:r w:rsidRPr="003049A5">
              <w:rPr>
                <w:b/>
                <w:bCs/>
              </w:rPr>
              <w:t>Impact on Tesla</w:t>
            </w:r>
          </w:p>
        </w:tc>
      </w:tr>
      <w:tr w:rsidR="00C11791" w:rsidRPr="003049A5" w14:paraId="664D44C8" w14:textId="77777777" w:rsidTr="00DF7FF6">
        <w:tc>
          <w:tcPr>
            <w:tcW w:w="2689" w:type="dxa"/>
            <w:shd w:val="clear" w:color="auto" w:fill="C6D9F1" w:themeFill="text2" w:themeFillTint="33"/>
            <w:hideMark/>
          </w:tcPr>
          <w:p w14:paraId="5D19DE0A" w14:textId="77777777" w:rsidR="00C11791" w:rsidRPr="003049A5" w:rsidRDefault="00C11791" w:rsidP="00C11791">
            <w:pPr>
              <w:spacing w:after="200"/>
              <w:jc w:val="center"/>
            </w:pPr>
            <w:r w:rsidRPr="003049A5">
              <w:rPr>
                <w:b/>
                <w:bCs/>
              </w:rPr>
              <w:t>Industry Rivalry – High</w:t>
            </w:r>
          </w:p>
        </w:tc>
        <w:tc>
          <w:tcPr>
            <w:tcW w:w="6327" w:type="dxa"/>
          </w:tcPr>
          <w:p w14:paraId="446809D0" w14:textId="4A5A4F58" w:rsidR="00C11791" w:rsidRPr="003049A5" w:rsidRDefault="00C11791" w:rsidP="00C11791">
            <w:pPr>
              <w:spacing w:after="200"/>
            </w:pPr>
            <w:r w:rsidRPr="00332747">
              <w:t>The traditional automobile manufacturers, such as Toyota and the companies with high growth rates of EVs, such as BYD, are strong rivals of Tesla. In China and Europe, the level of price competition is high.</w:t>
            </w:r>
          </w:p>
        </w:tc>
      </w:tr>
      <w:tr w:rsidR="00C11791" w:rsidRPr="003049A5" w14:paraId="6759A867" w14:textId="77777777" w:rsidTr="00DF7FF6">
        <w:tc>
          <w:tcPr>
            <w:tcW w:w="2689" w:type="dxa"/>
            <w:shd w:val="clear" w:color="auto" w:fill="C6D9F1" w:themeFill="text2" w:themeFillTint="33"/>
            <w:hideMark/>
          </w:tcPr>
          <w:p w14:paraId="3D548CCA" w14:textId="77777777" w:rsidR="00C11791" w:rsidRPr="003049A5" w:rsidRDefault="00C11791" w:rsidP="00C11791">
            <w:pPr>
              <w:spacing w:after="200"/>
              <w:jc w:val="center"/>
            </w:pPr>
            <w:r w:rsidRPr="003049A5">
              <w:rPr>
                <w:b/>
                <w:bCs/>
              </w:rPr>
              <w:t>Threat of New Entrants – Medium</w:t>
            </w:r>
          </w:p>
        </w:tc>
        <w:tc>
          <w:tcPr>
            <w:tcW w:w="6327" w:type="dxa"/>
          </w:tcPr>
          <w:p w14:paraId="6FA9FCF1" w14:textId="1B953C76" w:rsidR="00C11791" w:rsidRPr="003049A5" w:rsidRDefault="00C11791" w:rsidP="00C11791">
            <w:pPr>
              <w:spacing w:after="200"/>
            </w:pPr>
            <w:r w:rsidRPr="00332747">
              <w:t>Tesla is safeguarded by high-investment and technology requirements, yet new EV start-ups and technology companies continue to enter the market (Porter, 2008).</w:t>
            </w:r>
          </w:p>
        </w:tc>
      </w:tr>
      <w:tr w:rsidR="00C11791" w:rsidRPr="003049A5" w14:paraId="10881A9D" w14:textId="77777777" w:rsidTr="00DF7FF6">
        <w:tc>
          <w:tcPr>
            <w:tcW w:w="2689" w:type="dxa"/>
            <w:shd w:val="clear" w:color="auto" w:fill="C6D9F1" w:themeFill="text2" w:themeFillTint="33"/>
            <w:hideMark/>
          </w:tcPr>
          <w:p w14:paraId="759E652F" w14:textId="77777777" w:rsidR="00C11791" w:rsidRPr="003049A5" w:rsidRDefault="00C11791" w:rsidP="00C11791">
            <w:pPr>
              <w:spacing w:after="200"/>
              <w:jc w:val="center"/>
            </w:pPr>
            <w:r w:rsidRPr="003049A5">
              <w:rPr>
                <w:b/>
                <w:bCs/>
              </w:rPr>
              <w:t>Supplier Power – Medium</w:t>
            </w:r>
          </w:p>
        </w:tc>
        <w:tc>
          <w:tcPr>
            <w:tcW w:w="6327" w:type="dxa"/>
          </w:tcPr>
          <w:p w14:paraId="589CC03F" w14:textId="289A5A40" w:rsidR="00C11791" w:rsidRPr="003049A5" w:rsidRDefault="00C11791" w:rsidP="00C11791">
            <w:pPr>
              <w:spacing w:after="200"/>
            </w:pPr>
            <w:r w:rsidRPr="00332747">
              <w:t>Tesla relies on lithium and battery substances, but vertical integration minimises the risk.</w:t>
            </w:r>
          </w:p>
        </w:tc>
      </w:tr>
      <w:tr w:rsidR="00C11791" w:rsidRPr="003049A5" w14:paraId="3BB72C38" w14:textId="77777777" w:rsidTr="00DF7FF6">
        <w:tc>
          <w:tcPr>
            <w:tcW w:w="2689" w:type="dxa"/>
            <w:shd w:val="clear" w:color="auto" w:fill="C6D9F1" w:themeFill="text2" w:themeFillTint="33"/>
            <w:hideMark/>
          </w:tcPr>
          <w:p w14:paraId="5071B7D3" w14:textId="77777777" w:rsidR="00C11791" w:rsidRPr="003049A5" w:rsidRDefault="00C11791" w:rsidP="00C11791">
            <w:pPr>
              <w:spacing w:after="200"/>
              <w:jc w:val="center"/>
            </w:pPr>
            <w:r w:rsidRPr="003049A5">
              <w:rPr>
                <w:b/>
                <w:bCs/>
              </w:rPr>
              <w:lastRenderedPageBreak/>
              <w:t>Buyer Power – Increasing</w:t>
            </w:r>
          </w:p>
        </w:tc>
        <w:tc>
          <w:tcPr>
            <w:tcW w:w="6327" w:type="dxa"/>
          </w:tcPr>
          <w:p w14:paraId="35A5FBBC" w14:textId="5BBC0C59" w:rsidR="00C11791" w:rsidRPr="003049A5" w:rsidRDefault="00C11791" w:rsidP="00C11791">
            <w:pPr>
              <w:spacing w:after="200"/>
            </w:pPr>
            <w:r w:rsidRPr="00332747">
              <w:t xml:space="preserve">The prices of EVs can be easily compared by customers, which obliges Tesla to reduce prices </w:t>
            </w:r>
            <w:r w:rsidR="00CA75FE" w:rsidRPr="00CA75FE">
              <w:t>(Adams, Alldredge and Kohli, 2025)</w:t>
            </w:r>
            <w:r w:rsidRPr="00332747">
              <w:t>.</w:t>
            </w:r>
          </w:p>
        </w:tc>
      </w:tr>
      <w:tr w:rsidR="00C11791" w:rsidRPr="003049A5" w14:paraId="09A4554F" w14:textId="77777777" w:rsidTr="00DF7FF6">
        <w:tc>
          <w:tcPr>
            <w:tcW w:w="2689" w:type="dxa"/>
            <w:shd w:val="clear" w:color="auto" w:fill="C6D9F1" w:themeFill="text2" w:themeFillTint="33"/>
            <w:hideMark/>
          </w:tcPr>
          <w:p w14:paraId="7D2840C6" w14:textId="77777777" w:rsidR="00C11791" w:rsidRPr="003049A5" w:rsidRDefault="00C11791" w:rsidP="00C11791">
            <w:pPr>
              <w:spacing w:after="200"/>
              <w:jc w:val="center"/>
            </w:pPr>
            <w:r w:rsidRPr="003049A5">
              <w:rPr>
                <w:b/>
                <w:bCs/>
              </w:rPr>
              <w:t>Threat of Substitutes – Medium</w:t>
            </w:r>
          </w:p>
        </w:tc>
        <w:tc>
          <w:tcPr>
            <w:tcW w:w="6327" w:type="dxa"/>
          </w:tcPr>
          <w:p w14:paraId="0C49E35E" w14:textId="22298764" w:rsidR="00C11791" w:rsidRPr="003049A5" w:rsidRDefault="00C11791" w:rsidP="00C11791">
            <w:pPr>
              <w:spacing w:after="200"/>
            </w:pPr>
            <w:r w:rsidRPr="00332747">
              <w:t>Hybrid vehicles, petrol cars, and public transport are still options.</w:t>
            </w:r>
          </w:p>
        </w:tc>
      </w:tr>
    </w:tbl>
    <w:p w14:paraId="197B3754" w14:textId="77777777" w:rsidR="003049A5" w:rsidRDefault="003049A5" w:rsidP="003049A5"/>
    <w:p w14:paraId="02C2B53B" w14:textId="789D19D2" w:rsidR="002B4FD6" w:rsidRPr="002B4FD6" w:rsidRDefault="002B4FD6" w:rsidP="00DF7FF6">
      <w:pPr>
        <w:pStyle w:val="Heading2"/>
      </w:pPr>
      <w:bookmarkStart w:id="7" w:name="_Toc223219144"/>
      <w:r w:rsidRPr="002B4FD6">
        <w:t>Internal Environmental Audit</w:t>
      </w:r>
      <w:bookmarkEnd w:id="7"/>
    </w:p>
    <w:p w14:paraId="1C6008F2" w14:textId="66918B62" w:rsidR="003049A5" w:rsidRDefault="002B4FD6" w:rsidP="002B4FD6">
      <w:pPr>
        <w:rPr>
          <w:b/>
          <w:bCs/>
        </w:rPr>
      </w:pPr>
      <w:r w:rsidRPr="002B4FD6">
        <w:rPr>
          <w:b/>
          <w:bCs/>
        </w:rPr>
        <w:t>SWOT Analysis</w:t>
      </w:r>
    </w:p>
    <w:p w14:paraId="46B9B81D" w14:textId="77777777" w:rsidR="008051B3" w:rsidRDefault="008051B3" w:rsidP="008051B3">
      <w:pPr>
        <w:keepNext/>
        <w:jc w:val="center"/>
      </w:pPr>
      <w:r>
        <w:rPr>
          <w:noProof/>
        </w:rPr>
        <w:drawing>
          <wp:inline distT="0" distB="0" distL="0" distR="0" wp14:anchorId="03A50589" wp14:editId="52AC7CBE">
            <wp:extent cx="3175000" cy="1955443"/>
            <wp:effectExtent l="0" t="0" r="6350" b="6985"/>
            <wp:docPr id="1742211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21107" name="Picture 17422110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78496" cy="1957596"/>
                    </a:xfrm>
                    <a:prstGeom prst="rect">
                      <a:avLst/>
                    </a:prstGeom>
                  </pic:spPr>
                </pic:pic>
              </a:graphicData>
            </a:graphic>
          </wp:inline>
        </w:drawing>
      </w:r>
    </w:p>
    <w:p w14:paraId="423C53E8" w14:textId="14846F9B" w:rsidR="008051B3" w:rsidRPr="003049A5" w:rsidRDefault="008051B3" w:rsidP="008051B3">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w:t>
      </w:r>
      <w:r w:rsidRPr="008051B3">
        <w:t>SWOT Analysis</w:t>
      </w:r>
      <w:r w:rsidR="00CA75FE">
        <w:t xml:space="preserve"> </w:t>
      </w:r>
      <w:r w:rsidR="00CA75FE" w:rsidRPr="00CA75FE">
        <w:t>(Lynch, 2021)</w:t>
      </w:r>
    </w:p>
    <w:tbl>
      <w:tblPr>
        <w:tblStyle w:val="TableGrid"/>
        <w:tblW w:w="0" w:type="auto"/>
        <w:tblLook w:val="04A0" w:firstRow="1" w:lastRow="0" w:firstColumn="1" w:lastColumn="0" w:noHBand="0" w:noVBand="1"/>
      </w:tblPr>
      <w:tblGrid>
        <w:gridCol w:w="4131"/>
        <w:gridCol w:w="4885"/>
      </w:tblGrid>
      <w:tr w:rsidR="003049A5" w:rsidRPr="003049A5" w14:paraId="22B027BC" w14:textId="77777777" w:rsidTr="00DF7FF6">
        <w:tc>
          <w:tcPr>
            <w:tcW w:w="0" w:type="auto"/>
            <w:shd w:val="clear" w:color="auto" w:fill="C6D9F1" w:themeFill="text2" w:themeFillTint="33"/>
            <w:hideMark/>
          </w:tcPr>
          <w:p w14:paraId="2B43EC48" w14:textId="77777777" w:rsidR="003049A5" w:rsidRPr="00346113" w:rsidRDefault="003049A5" w:rsidP="00DF7FF6">
            <w:pPr>
              <w:jc w:val="center"/>
              <w:rPr>
                <w:b/>
                <w:bCs/>
              </w:rPr>
            </w:pPr>
            <w:r w:rsidRPr="00346113">
              <w:rPr>
                <w:b/>
                <w:bCs/>
              </w:rPr>
              <w:t>Strengths</w:t>
            </w:r>
          </w:p>
        </w:tc>
        <w:tc>
          <w:tcPr>
            <w:tcW w:w="0" w:type="auto"/>
            <w:shd w:val="clear" w:color="auto" w:fill="C6D9F1" w:themeFill="text2" w:themeFillTint="33"/>
            <w:hideMark/>
          </w:tcPr>
          <w:p w14:paraId="67CC4641" w14:textId="77777777" w:rsidR="003049A5" w:rsidRPr="00346113" w:rsidRDefault="003049A5" w:rsidP="00DF7FF6">
            <w:pPr>
              <w:jc w:val="center"/>
              <w:rPr>
                <w:b/>
                <w:bCs/>
              </w:rPr>
            </w:pPr>
            <w:r w:rsidRPr="00346113">
              <w:rPr>
                <w:b/>
                <w:bCs/>
              </w:rPr>
              <w:t>Weaknesses</w:t>
            </w:r>
          </w:p>
        </w:tc>
      </w:tr>
      <w:tr w:rsidR="003049A5" w:rsidRPr="003049A5" w14:paraId="52808093" w14:textId="77777777" w:rsidTr="003049A5">
        <w:tc>
          <w:tcPr>
            <w:tcW w:w="0" w:type="auto"/>
            <w:hideMark/>
          </w:tcPr>
          <w:p w14:paraId="5AF119AF" w14:textId="77777777" w:rsidR="003049A5" w:rsidRPr="003049A5" w:rsidRDefault="003049A5" w:rsidP="00346113">
            <w:r w:rsidRPr="003049A5">
              <w:t>Strong global brand and innovation image</w:t>
            </w:r>
          </w:p>
        </w:tc>
        <w:tc>
          <w:tcPr>
            <w:tcW w:w="0" w:type="auto"/>
            <w:hideMark/>
          </w:tcPr>
          <w:p w14:paraId="6E7325DD" w14:textId="77777777" w:rsidR="003049A5" w:rsidRPr="003049A5" w:rsidRDefault="003049A5" w:rsidP="00346113">
            <w:r w:rsidRPr="003049A5">
              <w:t>High vehicle prices compared to mass-market cars</w:t>
            </w:r>
          </w:p>
        </w:tc>
      </w:tr>
      <w:tr w:rsidR="003049A5" w:rsidRPr="003049A5" w14:paraId="727E58B0" w14:textId="77777777" w:rsidTr="003049A5">
        <w:tc>
          <w:tcPr>
            <w:tcW w:w="0" w:type="auto"/>
            <w:hideMark/>
          </w:tcPr>
          <w:p w14:paraId="26D179D2" w14:textId="77777777" w:rsidR="003049A5" w:rsidRPr="003049A5" w:rsidRDefault="003049A5" w:rsidP="00346113">
            <w:r w:rsidRPr="003049A5">
              <w:t>Advanced battery technology</w:t>
            </w:r>
          </w:p>
        </w:tc>
        <w:tc>
          <w:tcPr>
            <w:tcW w:w="0" w:type="auto"/>
            <w:hideMark/>
          </w:tcPr>
          <w:p w14:paraId="4D3B2EC7" w14:textId="77777777" w:rsidR="003049A5" w:rsidRPr="003049A5" w:rsidRDefault="003049A5" w:rsidP="00346113">
            <w:r w:rsidRPr="003049A5">
              <w:t>Production delays in some models</w:t>
            </w:r>
          </w:p>
        </w:tc>
      </w:tr>
      <w:tr w:rsidR="003049A5" w:rsidRPr="003049A5" w14:paraId="29C63CCB" w14:textId="77777777" w:rsidTr="003049A5">
        <w:tc>
          <w:tcPr>
            <w:tcW w:w="0" w:type="auto"/>
            <w:hideMark/>
          </w:tcPr>
          <w:p w14:paraId="741D5451" w14:textId="77777777" w:rsidR="003049A5" w:rsidRPr="003049A5" w:rsidRDefault="003049A5" w:rsidP="00346113">
            <w:r w:rsidRPr="003049A5">
              <w:t>Vertical integration and Gigafactories</w:t>
            </w:r>
          </w:p>
        </w:tc>
        <w:tc>
          <w:tcPr>
            <w:tcW w:w="0" w:type="auto"/>
            <w:hideMark/>
          </w:tcPr>
          <w:p w14:paraId="24389559" w14:textId="77777777" w:rsidR="003049A5" w:rsidRPr="003049A5" w:rsidRDefault="003049A5" w:rsidP="00346113">
            <w:r w:rsidRPr="003049A5">
              <w:t>Limited product variety in low-cost segment</w:t>
            </w:r>
          </w:p>
        </w:tc>
      </w:tr>
      <w:tr w:rsidR="003049A5" w:rsidRPr="003049A5" w14:paraId="0CA5FA4F" w14:textId="77777777" w:rsidTr="003049A5">
        <w:tc>
          <w:tcPr>
            <w:tcW w:w="0" w:type="auto"/>
            <w:hideMark/>
          </w:tcPr>
          <w:p w14:paraId="3516F9D5" w14:textId="77777777" w:rsidR="003049A5" w:rsidRPr="003049A5" w:rsidRDefault="003049A5" w:rsidP="00346113">
            <w:r w:rsidRPr="003049A5">
              <w:t>Global Supercharger network</w:t>
            </w:r>
          </w:p>
        </w:tc>
        <w:tc>
          <w:tcPr>
            <w:tcW w:w="0" w:type="auto"/>
            <w:hideMark/>
          </w:tcPr>
          <w:p w14:paraId="4D7B4229" w14:textId="77777777" w:rsidR="003049A5" w:rsidRPr="003049A5" w:rsidRDefault="003049A5" w:rsidP="00346113">
            <w:r w:rsidRPr="003049A5">
              <w:t>Customer service complaints in some regions</w:t>
            </w:r>
          </w:p>
        </w:tc>
      </w:tr>
      <w:tr w:rsidR="003049A5" w:rsidRPr="003049A5" w14:paraId="1F4925E2" w14:textId="77777777" w:rsidTr="00DF7FF6">
        <w:tc>
          <w:tcPr>
            <w:tcW w:w="0" w:type="auto"/>
            <w:shd w:val="clear" w:color="auto" w:fill="C6D9F1" w:themeFill="text2" w:themeFillTint="33"/>
            <w:vAlign w:val="center"/>
          </w:tcPr>
          <w:p w14:paraId="000A6616" w14:textId="510B8C15" w:rsidR="003049A5" w:rsidRPr="00346113" w:rsidRDefault="003049A5" w:rsidP="00DF7FF6">
            <w:pPr>
              <w:jc w:val="center"/>
              <w:rPr>
                <w:b/>
                <w:bCs/>
              </w:rPr>
            </w:pPr>
            <w:r w:rsidRPr="00346113">
              <w:rPr>
                <w:b/>
                <w:bCs/>
              </w:rPr>
              <w:t>Opportunities</w:t>
            </w:r>
          </w:p>
        </w:tc>
        <w:tc>
          <w:tcPr>
            <w:tcW w:w="0" w:type="auto"/>
            <w:shd w:val="clear" w:color="auto" w:fill="C6D9F1" w:themeFill="text2" w:themeFillTint="33"/>
            <w:vAlign w:val="center"/>
          </w:tcPr>
          <w:p w14:paraId="29FB0DB2" w14:textId="4309E0F0" w:rsidR="003049A5" w:rsidRPr="00346113" w:rsidRDefault="003049A5" w:rsidP="00DF7FF6">
            <w:pPr>
              <w:jc w:val="center"/>
              <w:rPr>
                <w:b/>
                <w:bCs/>
              </w:rPr>
            </w:pPr>
            <w:r w:rsidRPr="00346113">
              <w:rPr>
                <w:b/>
                <w:bCs/>
              </w:rPr>
              <w:t>Threats</w:t>
            </w:r>
          </w:p>
        </w:tc>
      </w:tr>
      <w:tr w:rsidR="003049A5" w:rsidRPr="003049A5" w14:paraId="4C86B969" w14:textId="77777777" w:rsidTr="004E4EEE">
        <w:tc>
          <w:tcPr>
            <w:tcW w:w="0" w:type="auto"/>
            <w:vAlign w:val="center"/>
          </w:tcPr>
          <w:p w14:paraId="68920B3B" w14:textId="6D0732D3" w:rsidR="003049A5" w:rsidRPr="003049A5" w:rsidRDefault="003049A5" w:rsidP="00346113">
            <w:r w:rsidRPr="003049A5">
              <w:t>Growth of global EV demand</w:t>
            </w:r>
          </w:p>
        </w:tc>
        <w:tc>
          <w:tcPr>
            <w:tcW w:w="0" w:type="auto"/>
            <w:vAlign w:val="center"/>
          </w:tcPr>
          <w:p w14:paraId="45C5B392" w14:textId="4835A81C" w:rsidR="003049A5" w:rsidRPr="003049A5" w:rsidRDefault="003049A5" w:rsidP="00346113">
            <w:r w:rsidRPr="003049A5">
              <w:t>Strong competition from Chinese EV makers</w:t>
            </w:r>
          </w:p>
        </w:tc>
      </w:tr>
      <w:tr w:rsidR="003049A5" w:rsidRPr="003049A5" w14:paraId="7A36642A" w14:textId="77777777" w:rsidTr="004E4EEE">
        <w:tc>
          <w:tcPr>
            <w:tcW w:w="0" w:type="auto"/>
            <w:vAlign w:val="center"/>
          </w:tcPr>
          <w:p w14:paraId="6C2BF583" w14:textId="4D7F23E5" w:rsidR="003049A5" w:rsidRPr="003049A5" w:rsidRDefault="003049A5" w:rsidP="00346113">
            <w:r w:rsidRPr="003049A5">
              <w:t>Expansion in emerging markets</w:t>
            </w:r>
          </w:p>
        </w:tc>
        <w:tc>
          <w:tcPr>
            <w:tcW w:w="0" w:type="auto"/>
            <w:vAlign w:val="center"/>
          </w:tcPr>
          <w:p w14:paraId="6D769B72" w14:textId="2190ED59" w:rsidR="003049A5" w:rsidRPr="003049A5" w:rsidRDefault="003049A5" w:rsidP="00346113">
            <w:r w:rsidRPr="003049A5">
              <w:t>Price wars reducing profit margins</w:t>
            </w:r>
          </w:p>
        </w:tc>
      </w:tr>
      <w:tr w:rsidR="003049A5" w:rsidRPr="003049A5" w14:paraId="6F1FB61B" w14:textId="77777777" w:rsidTr="004E4EEE">
        <w:tc>
          <w:tcPr>
            <w:tcW w:w="0" w:type="auto"/>
            <w:vAlign w:val="center"/>
          </w:tcPr>
          <w:p w14:paraId="7DBF7135" w14:textId="4FEE2B0D" w:rsidR="003049A5" w:rsidRPr="003049A5" w:rsidRDefault="003049A5" w:rsidP="00346113">
            <w:r w:rsidRPr="003049A5">
              <w:t>Battery cost reduction</w:t>
            </w:r>
          </w:p>
        </w:tc>
        <w:tc>
          <w:tcPr>
            <w:tcW w:w="0" w:type="auto"/>
            <w:vAlign w:val="center"/>
          </w:tcPr>
          <w:p w14:paraId="34670460" w14:textId="7EF662A4" w:rsidR="003049A5" w:rsidRPr="003049A5" w:rsidRDefault="003049A5" w:rsidP="00346113">
            <w:r w:rsidRPr="003049A5">
              <w:t>Government policy changes</w:t>
            </w:r>
          </w:p>
        </w:tc>
      </w:tr>
      <w:tr w:rsidR="003049A5" w:rsidRPr="003049A5" w14:paraId="2518AA0D" w14:textId="77777777" w:rsidTr="004E4EEE">
        <w:tc>
          <w:tcPr>
            <w:tcW w:w="0" w:type="auto"/>
            <w:vAlign w:val="center"/>
          </w:tcPr>
          <w:p w14:paraId="6A7E9DE2" w14:textId="4D333460" w:rsidR="003049A5" w:rsidRPr="003049A5" w:rsidRDefault="003049A5" w:rsidP="00346113">
            <w:r w:rsidRPr="003049A5">
              <w:t>Autonomous driving services</w:t>
            </w:r>
          </w:p>
        </w:tc>
        <w:tc>
          <w:tcPr>
            <w:tcW w:w="0" w:type="auto"/>
            <w:vAlign w:val="center"/>
          </w:tcPr>
          <w:p w14:paraId="167BC3F1" w14:textId="406D1806" w:rsidR="003049A5" w:rsidRPr="003049A5" w:rsidRDefault="003049A5" w:rsidP="00346113">
            <w:r w:rsidRPr="003049A5">
              <w:t>Raw material shortages</w:t>
            </w:r>
          </w:p>
        </w:tc>
      </w:tr>
    </w:tbl>
    <w:p w14:paraId="56807340" w14:textId="77777777" w:rsidR="003049A5" w:rsidRPr="003049A5" w:rsidRDefault="003049A5" w:rsidP="003049A5">
      <w:pPr>
        <w:rPr>
          <w:vanish/>
        </w:rPr>
      </w:pPr>
    </w:p>
    <w:p w14:paraId="6F2F9B39" w14:textId="343F6D28" w:rsidR="003049A5" w:rsidRPr="003049A5" w:rsidRDefault="003049A5" w:rsidP="003049A5"/>
    <w:p w14:paraId="0DE1D751" w14:textId="51C56CD4" w:rsidR="00346113" w:rsidRDefault="00346113" w:rsidP="00346113">
      <w:pPr>
        <w:rPr>
          <w:b/>
          <w:bCs/>
        </w:rPr>
      </w:pPr>
      <w:r w:rsidRPr="00346113">
        <w:rPr>
          <w:b/>
          <w:bCs/>
        </w:rPr>
        <w:t xml:space="preserve">VRIO Analysis </w:t>
      </w:r>
    </w:p>
    <w:p w14:paraId="597BFA10" w14:textId="77777777" w:rsidR="008051B3" w:rsidRDefault="008051B3" w:rsidP="008051B3">
      <w:pPr>
        <w:keepNext/>
        <w:jc w:val="center"/>
      </w:pPr>
      <w:r>
        <w:rPr>
          <w:noProof/>
        </w:rPr>
        <w:lastRenderedPageBreak/>
        <w:drawing>
          <wp:inline distT="0" distB="0" distL="0" distR="0" wp14:anchorId="0F3EC360" wp14:editId="544E15F0">
            <wp:extent cx="4127500" cy="2084328"/>
            <wp:effectExtent l="0" t="0" r="6350" b="0"/>
            <wp:docPr id="1224089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089200" name="Picture 122408920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29302" cy="2085238"/>
                    </a:xfrm>
                    <a:prstGeom prst="rect">
                      <a:avLst/>
                    </a:prstGeom>
                  </pic:spPr>
                </pic:pic>
              </a:graphicData>
            </a:graphic>
          </wp:inline>
        </w:drawing>
      </w:r>
    </w:p>
    <w:p w14:paraId="7152E4CD" w14:textId="09758C3F" w:rsidR="008051B3" w:rsidRPr="00346113" w:rsidRDefault="008051B3" w:rsidP="008051B3">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xml:space="preserve">: </w:t>
      </w:r>
      <w:r w:rsidRPr="008051B3">
        <w:t>VRIO Analysis</w:t>
      </w:r>
      <w:r>
        <w:t xml:space="preserve"> </w:t>
      </w:r>
      <w:r w:rsidR="00CA75FE" w:rsidRPr="00CA75FE">
        <w:t>(Lynch, 2021)</w:t>
      </w:r>
    </w:p>
    <w:tbl>
      <w:tblPr>
        <w:tblStyle w:val="TableGrid"/>
        <w:tblW w:w="0" w:type="auto"/>
        <w:tblLook w:val="04A0" w:firstRow="1" w:lastRow="0" w:firstColumn="1" w:lastColumn="0" w:noHBand="0" w:noVBand="1"/>
      </w:tblPr>
      <w:tblGrid>
        <w:gridCol w:w="2156"/>
        <w:gridCol w:w="1115"/>
        <w:gridCol w:w="719"/>
        <w:gridCol w:w="1345"/>
        <w:gridCol w:w="1283"/>
        <w:gridCol w:w="2398"/>
      </w:tblGrid>
      <w:tr w:rsidR="00346113" w:rsidRPr="00346113" w14:paraId="771DBCB7" w14:textId="77777777" w:rsidTr="00346113">
        <w:tc>
          <w:tcPr>
            <w:tcW w:w="0" w:type="auto"/>
            <w:hideMark/>
          </w:tcPr>
          <w:p w14:paraId="2C0E03D0" w14:textId="77777777" w:rsidR="00346113" w:rsidRPr="00346113" w:rsidRDefault="00346113" w:rsidP="00346113">
            <w:pPr>
              <w:spacing w:after="200"/>
              <w:rPr>
                <w:b/>
                <w:bCs/>
              </w:rPr>
            </w:pPr>
            <w:r w:rsidRPr="00346113">
              <w:rPr>
                <w:b/>
                <w:bCs/>
              </w:rPr>
              <w:t>Resource</w:t>
            </w:r>
          </w:p>
        </w:tc>
        <w:tc>
          <w:tcPr>
            <w:tcW w:w="0" w:type="auto"/>
            <w:hideMark/>
          </w:tcPr>
          <w:p w14:paraId="30B4FDAF" w14:textId="77777777" w:rsidR="00346113" w:rsidRPr="00346113" w:rsidRDefault="00346113" w:rsidP="00346113">
            <w:pPr>
              <w:spacing w:after="200"/>
              <w:rPr>
                <w:b/>
                <w:bCs/>
              </w:rPr>
            </w:pPr>
            <w:r w:rsidRPr="00346113">
              <w:rPr>
                <w:b/>
                <w:bCs/>
              </w:rPr>
              <w:t>Valuable</w:t>
            </w:r>
          </w:p>
        </w:tc>
        <w:tc>
          <w:tcPr>
            <w:tcW w:w="0" w:type="auto"/>
            <w:hideMark/>
          </w:tcPr>
          <w:p w14:paraId="2A74E21D" w14:textId="77777777" w:rsidR="00346113" w:rsidRPr="00346113" w:rsidRDefault="00346113" w:rsidP="00346113">
            <w:pPr>
              <w:spacing w:after="200"/>
              <w:rPr>
                <w:b/>
                <w:bCs/>
              </w:rPr>
            </w:pPr>
            <w:r w:rsidRPr="00346113">
              <w:rPr>
                <w:b/>
                <w:bCs/>
              </w:rPr>
              <w:t>Rare</w:t>
            </w:r>
          </w:p>
        </w:tc>
        <w:tc>
          <w:tcPr>
            <w:tcW w:w="0" w:type="auto"/>
            <w:hideMark/>
          </w:tcPr>
          <w:p w14:paraId="61134D92" w14:textId="77777777" w:rsidR="00346113" w:rsidRPr="00346113" w:rsidRDefault="00346113" w:rsidP="00346113">
            <w:pPr>
              <w:spacing w:after="200"/>
              <w:rPr>
                <w:b/>
                <w:bCs/>
              </w:rPr>
            </w:pPr>
            <w:r w:rsidRPr="00346113">
              <w:rPr>
                <w:b/>
                <w:bCs/>
              </w:rPr>
              <w:t>Hard to Imitate</w:t>
            </w:r>
          </w:p>
        </w:tc>
        <w:tc>
          <w:tcPr>
            <w:tcW w:w="0" w:type="auto"/>
            <w:hideMark/>
          </w:tcPr>
          <w:p w14:paraId="3C93CE7A" w14:textId="77777777" w:rsidR="00346113" w:rsidRPr="00346113" w:rsidRDefault="00346113" w:rsidP="00346113">
            <w:pPr>
              <w:spacing w:after="200"/>
              <w:rPr>
                <w:b/>
                <w:bCs/>
              </w:rPr>
            </w:pPr>
            <w:r w:rsidRPr="00346113">
              <w:rPr>
                <w:b/>
                <w:bCs/>
              </w:rPr>
              <w:t>Organised</w:t>
            </w:r>
          </w:p>
        </w:tc>
        <w:tc>
          <w:tcPr>
            <w:tcW w:w="0" w:type="auto"/>
            <w:hideMark/>
          </w:tcPr>
          <w:p w14:paraId="0D650281" w14:textId="77777777" w:rsidR="00346113" w:rsidRPr="00346113" w:rsidRDefault="00346113" w:rsidP="00346113">
            <w:pPr>
              <w:spacing w:after="200"/>
              <w:rPr>
                <w:b/>
                <w:bCs/>
              </w:rPr>
            </w:pPr>
            <w:r w:rsidRPr="00346113">
              <w:rPr>
                <w:b/>
                <w:bCs/>
              </w:rPr>
              <w:t>Result</w:t>
            </w:r>
          </w:p>
        </w:tc>
      </w:tr>
      <w:tr w:rsidR="00346113" w:rsidRPr="00346113" w14:paraId="33A8914B" w14:textId="77777777" w:rsidTr="00346113">
        <w:tc>
          <w:tcPr>
            <w:tcW w:w="0" w:type="auto"/>
            <w:hideMark/>
          </w:tcPr>
          <w:p w14:paraId="4ADDBEFA" w14:textId="77777777" w:rsidR="00346113" w:rsidRPr="00346113" w:rsidRDefault="00346113" w:rsidP="00346113">
            <w:pPr>
              <w:spacing w:after="200"/>
            </w:pPr>
            <w:r w:rsidRPr="00346113">
              <w:t>Brand reputation</w:t>
            </w:r>
          </w:p>
        </w:tc>
        <w:tc>
          <w:tcPr>
            <w:tcW w:w="0" w:type="auto"/>
            <w:hideMark/>
          </w:tcPr>
          <w:p w14:paraId="37F45875" w14:textId="77777777" w:rsidR="00346113" w:rsidRPr="00346113" w:rsidRDefault="00346113" w:rsidP="00346113">
            <w:pPr>
              <w:spacing w:after="200"/>
            </w:pPr>
            <w:r w:rsidRPr="00346113">
              <w:t>Yes</w:t>
            </w:r>
          </w:p>
        </w:tc>
        <w:tc>
          <w:tcPr>
            <w:tcW w:w="0" w:type="auto"/>
            <w:hideMark/>
          </w:tcPr>
          <w:p w14:paraId="33F25FF7" w14:textId="77777777" w:rsidR="00346113" w:rsidRPr="00346113" w:rsidRDefault="00346113" w:rsidP="00346113">
            <w:pPr>
              <w:spacing w:after="200"/>
            </w:pPr>
            <w:r w:rsidRPr="00346113">
              <w:t>Yes</w:t>
            </w:r>
          </w:p>
        </w:tc>
        <w:tc>
          <w:tcPr>
            <w:tcW w:w="0" w:type="auto"/>
            <w:hideMark/>
          </w:tcPr>
          <w:p w14:paraId="745849F0" w14:textId="77777777" w:rsidR="00346113" w:rsidRPr="00346113" w:rsidRDefault="00346113" w:rsidP="00346113">
            <w:pPr>
              <w:spacing w:after="200"/>
            </w:pPr>
            <w:r w:rsidRPr="00346113">
              <w:t>Yes</w:t>
            </w:r>
          </w:p>
        </w:tc>
        <w:tc>
          <w:tcPr>
            <w:tcW w:w="0" w:type="auto"/>
            <w:hideMark/>
          </w:tcPr>
          <w:p w14:paraId="7A1979C4" w14:textId="77777777" w:rsidR="00346113" w:rsidRPr="00346113" w:rsidRDefault="00346113" w:rsidP="00346113">
            <w:pPr>
              <w:spacing w:after="200"/>
            </w:pPr>
            <w:r w:rsidRPr="00346113">
              <w:t>Yes</w:t>
            </w:r>
          </w:p>
        </w:tc>
        <w:tc>
          <w:tcPr>
            <w:tcW w:w="0" w:type="auto"/>
            <w:hideMark/>
          </w:tcPr>
          <w:p w14:paraId="3E613E87" w14:textId="77777777" w:rsidR="00346113" w:rsidRPr="00346113" w:rsidRDefault="00346113" w:rsidP="00346113">
            <w:pPr>
              <w:spacing w:after="200"/>
            </w:pPr>
            <w:r w:rsidRPr="00346113">
              <w:t>Sustained competitive advantage</w:t>
            </w:r>
          </w:p>
        </w:tc>
      </w:tr>
      <w:tr w:rsidR="00346113" w:rsidRPr="00346113" w14:paraId="39BA29DD" w14:textId="77777777" w:rsidTr="00346113">
        <w:tc>
          <w:tcPr>
            <w:tcW w:w="0" w:type="auto"/>
            <w:hideMark/>
          </w:tcPr>
          <w:p w14:paraId="64DAB253" w14:textId="77777777" w:rsidR="00346113" w:rsidRPr="00346113" w:rsidRDefault="00346113" w:rsidP="00346113">
            <w:pPr>
              <w:spacing w:after="200"/>
            </w:pPr>
            <w:r w:rsidRPr="00346113">
              <w:t>Battery &amp; software technology</w:t>
            </w:r>
          </w:p>
        </w:tc>
        <w:tc>
          <w:tcPr>
            <w:tcW w:w="0" w:type="auto"/>
            <w:hideMark/>
          </w:tcPr>
          <w:p w14:paraId="34F81051" w14:textId="77777777" w:rsidR="00346113" w:rsidRPr="00346113" w:rsidRDefault="00346113" w:rsidP="00346113">
            <w:pPr>
              <w:spacing w:after="200"/>
            </w:pPr>
            <w:r w:rsidRPr="00346113">
              <w:t>Yes</w:t>
            </w:r>
          </w:p>
        </w:tc>
        <w:tc>
          <w:tcPr>
            <w:tcW w:w="0" w:type="auto"/>
            <w:hideMark/>
          </w:tcPr>
          <w:p w14:paraId="2B96B810" w14:textId="77777777" w:rsidR="00346113" w:rsidRPr="00346113" w:rsidRDefault="00346113" w:rsidP="00346113">
            <w:pPr>
              <w:spacing w:after="200"/>
            </w:pPr>
            <w:r w:rsidRPr="00346113">
              <w:t>Yes</w:t>
            </w:r>
          </w:p>
        </w:tc>
        <w:tc>
          <w:tcPr>
            <w:tcW w:w="0" w:type="auto"/>
            <w:hideMark/>
          </w:tcPr>
          <w:p w14:paraId="501FFFF9" w14:textId="77777777" w:rsidR="00346113" w:rsidRPr="00346113" w:rsidRDefault="00346113" w:rsidP="00346113">
            <w:pPr>
              <w:spacing w:after="200"/>
            </w:pPr>
            <w:r w:rsidRPr="00346113">
              <w:t>Medium</w:t>
            </w:r>
          </w:p>
        </w:tc>
        <w:tc>
          <w:tcPr>
            <w:tcW w:w="0" w:type="auto"/>
            <w:hideMark/>
          </w:tcPr>
          <w:p w14:paraId="76ABDC34" w14:textId="77777777" w:rsidR="00346113" w:rsidRPr="00346113" w:rsidRDefault="00346113" w:rsidP="00346113">
            <w:pPr>
              <w:spacing w:after="200"/>
            </w:pPr>
            <w:r w:rsidRPr="00346113">
              <w:t>Yes</w:t>
            </w:r>
          </w:p>
        </w:tc>
        <w:tc>
          <w:tcPr>
            <w:tcW w:w="0" w:type="auto"/>
            <w:hideMark/>
          </w:tcPr>
          <w:p w14:paraId="3A2BB48C" w14:textId="77777777" w:rsidR="00346113" w:rsidRPr="00346113" w:rsidRDefault="00346113" w:rsidP="00346113">
            <w:pPr>
              <w:spacing w:after="200"/>
            </w:pPr>
            <w:r w:rsidRPr="00346113">
              <w:t>Temporary advantage as rivals improve</w:t>
            </w:r>
          </w:p>
        </w:tc>
      </w:tr>
      <w:tr w:rsidR="00346113" w:rsidRPr="00346113" w14:paraId="04165252" w14:textId="77777777" w:rsidTr="00346113">
        <w:tc>
          <w:tcPr>
            <w:tcW w:w="0" w:type="auto"/>
            <w:hideMark/>
          </w:tcPr>
          <w:p w14:paraId="35E4D64F" w14:textId="77777777" w:rsidR="00346113" w:rsidRPr="00346113" w:rsidRDefault="00346113" w:rsidP="00346113">
            <w:pPr>
              <w:spacing w:after="200"/>
            </w:pPr>
            <w:r w:rsidRPr="00346113">
              <w:t>Supercharger network</w:t>
            </w:r>
          </w:p>
        </w:tc>
        <w:tc>
          <w:tcPr>
            <w:tcW w:w="0" w:type="auto"/>
            <w:hideMark/>
          </w:tcPr>
          <w:p w14:paraId="26FE5211" w14:textId="77777777" w:rsidR="00346113" w:rsidRPr="00346113" w:rsidRDefault="00346113" w:rsidP="00346113">
            <w:pPr>
              <w:spacing w:after="200"/>
            </w:pPr>
            <w:r w:rsidRPr="00346113">
              <w:t>Yes</w:t>
            </w:r>
          </w:p>
        </w:tc>
        <w:tc>
          <w:tcPr>
            <w:tcW w:w="0" w:type="auto"/>
            <w:hideMark/>
          </w:tcPr>
          <w:p w14:paraId="059F26F4" w14:textId="77777777" w:rsidR="00346113" w:rsidRPr="00346113" w:rsidRDefault="00346113" w:rsidP="00346113">
            <w:pPr>
              <w:spacing w:after="200"/>
            </w:pPr>
            <w:r w:rsidRPr="00346113">
              <w:t>Yes</w:t>
            </w:r>
          </w:p>
        </w:tc>
        <w:tc>
          <w:tcPr>
            <w:tcW w:w="0" w:type="auto"/>
            <w:hideMark/>
          </w:tcPr>
          <w:p w14:paraId="45A60AC6" w14:textId="77777777" w:rsidR="00346113" w:rsidRPr="00346113" w:rsidRDefault="00346113" w:rsidP="00346113">
            <w:pPr>
              <w:spacing w:after="200"/>
            </w:pPr>
            <w:r w:rsidRPr="00346113">
              <w:t>Yes</w:t>
            </w:r>
          </w:p>
        </w:tc>
        <w:tc>
          <w:tcPr>
            <w:tcW w:w="0" w:type="auto"/>
            <w:hideMark/>
          </w:tcPr>
          <w:p w14:paraId="0DF8273F" w14:textId="77777777" w:rsidR="00346113" w:rsidRPr="00346113" w:rsidRDefault="00346113" w:rsidP="00346113">
            <w:pPr>
              <w:spacing w:after="200"/>
            </w:pPr>
            <w:r w:rsidRPr="00346113">
              <w:t>Yes</w:t>
            </w:r>
          </w:p>
        </w:tc>
        <w:tc>
          <w:tcPr>
            <w:tcW w:w="0" w:type="auto"/>
            <w:hideMark/>
          </w:tcPr>
          <w:p w14:paraId="04066326" w14:textId="77777777" w:rsidR="00346113" w:rsidRPr="00346113" w:rsidRDefault="00346113" w:rsidP="00346113">
            <w:pPr>
              <w:spacing w:after="200"/>
            </w:pPr>
            <w:r w:rsidRPr="00346113">
              <w:t>Strong long-term competitive position</w:t>
            </w:r>
          </w:p>
        </w:tc>
      </w:tr>
    </w:tbl>
    <w:p w14:paraId="2920492D" w14:textId="77777777" w:rsidR="00346113" w:rsidRDefault="00346113" w:rsidP="00346113"/>
    <w:p w14:paraId="6F3EF316" w14:textId="209BD877" w:rsidR="002B4FD6" w:rsidRPr="002B4FD6" w:rsidRDefault="002B4FD6" w:rsidP="002B4FD6">
      <w:r w:rsidRPr="002B4FD6">
        <w:t>Tesla has the main resources that address most of the VRIO requirements, and it explains why the company is still the leader in the EV market (Barney, 1991).</w:t>
      </w:r>
    </w:p>
    <w:p w14:paraId="5D008136" w14:textId="77777777" w:rsidR="002B4FD6" w:rsidRPr="002B4FD6" w:rsidRDefault="002B4FD6" w:rsidP="002B4FD6">
      <w:r w:rsidRPr="002B4FD6">
        <w:rPr>
          <w:b/>
          <w:bCs/>
        </w:rPr>
        <w:t>Value Chain Analysis</w:t>
      </w:r>
    </w:p>
    <w:p w14:paraId="7769D5F2" w14:textId="397F1C73" w:rsidR="002B4FD6" w:rsidRPr="002B4FD6" w:rsidRDefault="002B4FD6" w:rsidP="002B4FD6">
      <w:r w:rsidRPr="002B4FD6">
        <w:t xml:space="preserve">Tesla has control over large areas of its value chain, such as battery design, automobile software, production, and direct online retailing. This vertical integration enhances quality assurance, lessens the reliance of the supplier, and accelerates innovation over the traditional automakers </w:t>
      </w:r>
      <w:r w:rsidR="00DA67CA" w:rsidRPr="00DA67CA">
        <w:t>(Burrow and Becraft, 2020)</w:t>
      </w:r>
      <w:r w:rsidRPr="002B4FD6">
        <w:t>. Gigafactories also reduce the costs of production at Tesla. Nevertheless, heavy investment in factories, AI technology, and research makes it risky in terms of finance when the demand in the world falls or when the competition based on prices is fierce.</w:t>
      </w:r>
    </w:p>
    <w:p w14:paraId="3241A33F" w14:textId="77777777" w:rsidR="002B4FD6" w:rsidRPr="002B4FD6" w:rsidRDefault="002B4FD6" w:rsidP="002B4FD6">
      <w:r w:rsidRPr="002B4FD6">
        <w:rPr>
          <w:b/>
          <w:bCs/>
        </w:rPr>
        <w:t>Overall Evaluation</w:t>
      </w:r>
    </w:p>
    <w:p w14:paraId="1B2064F5" w14:textId="32E2748A" w:rsidR="002B4FD6" w:rsidRPr="002B4FD6" w:rsidRDefault="002B4FD6" w:rsidP="002B4FD6">
      <w:r w:rsidRPr="002B4FD6">
        <w:lastRenderedPageBreak/>
        <w:t xml:space="preserve">The external environment of Tesla presents substantial opportunities due to the growth and sustainability policies of EV, but there </w:t>
      </w:r>
      <w:r w:rsidR="00CA75FE" w:rsidRPr="002B4FD6">
        <w:t>are</w:t>
      </w:r>
      <w:r w:rsidRPr="002B4FD6">
        <w:t xml:space="preserve"> stiff competition and pressure on the economy that decreases profit margins. Tesla has good technology, brand power, and scale advantage internally, yet needs to enhance its cost efficiency and product variety to compete with the lower-cost EV manufacturers. To be competitive in the long-term, the automotive industry, be it globally, needs to make strategic decisions that balance between innovation and affordability.</w:t>
      </w:r>
    </w:p>
    <w:p w14:paraId="44CDBFE7" w14:textId="1A5BA93E" w:rsidR="002B4FD6" w:rsidRPr="002B4FD6" w:rsidRDefault="002B4FD6" w:rsidP="00DF7FF6">
      <w:pPr>
        <w:pStyle w:val="Heading1"/>
      </w:pPr>
      <w:bookmarkStart w:id="8" w:name="_Toc223219145"/>
      <w:r w:rsidRPr="002B4FD6">
        <w:t>Strategy Formulation</w:t>
      </w:r>
      <w:bookmarkEnd w:id="8"/>
    </w:p>
    <w:p w14:paraId="2447E3E6" w14:textId="5C7329DD" w:rsidR="002B4FD6" w:rsidRPr="002B4FD6" w:rsidRDefault="002B4FD6" w:rsidP="002B4FD6">
      <w:r w:rsidRPr="002B4FD6">
        <w:t>Tesla has to make powerful strategic decisions in order to keep up with the dynamic automotive market. The company is now pursuing a differentiation approach by using sophisticated technology, excellent brand value, and vertical integration. Nevertheless, the increasing threat of entry by low-cost EV manufacturers (BYD) and commodity ones (Toyota) implies that Tesla should also strive to be affordable and spread into the market.</w:t>
      </w:r>
    </w:p>
    <w:p w14:paraId="74FEC65E" w14:textId="77777777" w:rsidR="002B4FD6" w:rsidRPr="002B4FD6" w:rsidRDefault="002B4FD6" w:rsidP="002B4FD6">
      <w:r w:rsidRPr="002B4FD6">
        <w:t>An Appropriate new Tesla strategy is an Affordable EV Expansion Strategy to new markets. Tesla is experiencing a restriction in growth as many countries are starting EV adoption in Asia, Africa, and Latin America, but the high prices deter it. The International Energy Agency (2024) indicates increasing power demand of EVs in the developing markets. Hence, Tesla ought to create a smaller, less-priced electric automobile upon its previously existing battery system and adaptable manufacturing framework. This will adhere to the market development strategy developed by Ansoff and the cost-leadership approach developed by Porter, allowing Tesla to access a variety of new customer groups without losing technological advantages (Johnson et al., 2023).</w:t>
      </w:r>
    </w:p>
    <w:p w14:paraId="6D0CFFDA" w14:textId="70343CF5" w:rsidR="002B4FD6" w:rsidRPr="002B4FD6" w:rsidRDefault="002B4FD6" w:rsidP="002B4FD6">
      <w:r w:rsidRPr="002B4FD6">
        <w:t xml:space="preserve">The measures Tesla should take to achieve this strategy include establishing Gigafactories in the region, making joint agreements with local battery suppliers, and enhancing software-based solutions, including subscription upgrades. Local manufacturing will also be able to diminish tariffs and supply-chain risks and enhance resilience </w:t>
      </w:r>
      <w:r w:rsidR="00DA67CA" w:rsidRPr="00DA67CA">
        <w:t>(Adams, Alldredge and Kohli, 2025)</w:t>
      </w:r>
      <w:r w:rsidRPr="002B4FD6">
        <w:t xml:space="preserve">. Tesla needs to spread charging infrastructure in new markets as well to gain trust among customers. </w:t>
      </w:r>
      <w:r w:rsidR="005E77E8" w:rsidRPr="005E77E8">
        <w:t>Such strategy is important because it balances the innovation and the cost. It will not only retain Tesla market share but will also increase its sales volume across the globe and it will assist Tesla in its quest to make a rapid switch to the utilisation of sustainable energy</w:t>
      </w:r>
      <w:r w:rsidRPr="002B4FD6">
        <w:t>. Through its technology leadership and low cost, Tesla can ensure long-term competitive advantage in the global EV industry.</w:t>
      </w:r>
    </w:p>
    <w:p w14:paraId="26C04A34" w14:textId="77777777" w:rsidR="002B4FD6" w:rsidRPr="002B4FD6" w:rsidRDefault="002B4FD6" w:rsidP="00DF7FF6">
      <w:pPr>
        <w:pStyle w:val="Heading1"/>
      </w:pPr>
      <w:bookmarkStart w:id="9" w:name="_Toc223219146"/>
      <w:r w:rsidRPr="002B4FD6">
        <w:lastRenderedPageBreak/>
        <w:t>Conclusion and Recommendation</w:t>
      </w:r>
      <w:bookmarkEnd w:id="9"/>
    </w:p>
    <w:p w14:paraId="39EB780B" w14:textId="77777777" w:rsidR="002B4FD6" w:rsidRPr="002B4FD6" w:rsidRDefault="002B4FD6" w:rsidP="002B4FD6">
      <w:r w:rsidRPr="002B4FD6">
        <w:t>This report examined the strategy of Tesla in the world automotive industry. The results indicate that Tesla possesses good competitive strengths that include innovative battery technology, good brand image, and international charging systems. This is part of its electric vehicle leadership. Nonetheless, the company is also confronted with significant threats, such as the increase in its competition with such companies as BYD, price competition, economic influence, and supply chain risks. The external analysis revealed that Tesla has good opportunities due to government climate measures and increased demand for green transport. Internal analysis revealed that Tesla needs to be more efficient in terms of costs and increase the variety of products to remain competitive. Based on these findings, the report suggested a low-cost electric vehicle approach in the emerging markets. This strategy can boost the volume of sales, enhance the share in the international market and advance the mission of Tesla, which is sustainable energy. To sum up, the key to the successful future of Tesla is balancing between innovation and affordability, building on the partnerships and going global in production. Through proper strategic planning, Tesla can enjoy a sustained competitive advantage and keep on the frontline in transitioning to clean transportation.</w:t>
      </w:r>
    </w:p>
    <w:p w14:paraId="44FEF77C" w14:textId="49CF64CD" w:rsidR="00CD3A91" w:rsidRDefault="00CD3A91" w:rsidP="0072451A">
      <w:r>
        <w:br w:type="page"/>
      </w:r>
    </w:p>
    <w:p w14:paraId="581D93D7" w14:textId="57596ED9" w:rsidR="00CD3A91" w:rsidRDefault="00CD3A91" w:rsidP="00CD3A91">
      <w:pPr>
        <w:pStyle w:val="Heading1"/>
      </w:pPr>
      <w:bookmarkStart w:id="10" w:name="_Toc223219147"/>
      <w:r>
        <w:lastRenderedPageBreak/>
        <w:t>References</w:t>
      </w:r>
      <w:bookmarkEnd w:id="10"/>
      <w:r>
        <w:t xml:space="preserve"> </w:t>
      </w:r>
    </w:p>
    <w:p w14:paraId="7124DD0C" w14:textId="1A4E0826" w:rsidR="003C538E" w:rsidRPr="003C538E" w:rsidRDefault="003C538E" w:rsidP="003C538E">
      <w:r w:rsidRPr="003C538E">
        <w:t xml:space="preserve">Adams, C., Alldredge, K. and Kohli, S. (2025) </w:t>
      </w:r>
      <w:r w:rsidRPr="003C538E">
        <w:rPr>
          <w:i/>
          <w:iCs/>
        </w:rPr>
        <w:t>State of the Consumer 2024: What’s now and what’s next</w:t>
      </w:r>
      <w:r w:rsidRPr="003C538E">
        <w:t xml:space="preserve">. McKinsey &amp; Company. Available at: </w:t>
      </w:r>
      <w:hyperlink r:id="rId14" w:tgtFrame="_new" w:history="1">
        <w:r w:rsidRPr="003C538E">
          <w:rPr>
            <w:rStyle w:val="Hyperlink"/>
          </w:rPr>
          <w:t>https://www.mckinsey.com/industries/consumer-packaged-goods/our-insights/state-of-consumer</w:t>
        </w:r>
      </w:hyperlink>
      <w:r w:rsidRPr="003C538E">
        <w:t xml:space="preserve"> (Accessed: 2</w:t>
      </w:r>
      <w:r>
        <w:t>6</w:t>
      </w:r>
      <w:r w:rsidRPr="003C538E">
        <w:t xml:space="preserve"> February 2026).</w:t>
      </w:r>
    </w:p>
    <w:p w14:paraId="2E410B13" w14:textId="2F2530BC" w:rsidR="003C538E" w:rsidRDefault="003C538E" w:rsidP="003C538E">
      <w:r w:rsidRPr="003C538E">
        <w:t xml:space="preserve">Barney, J. (1991) ‘Firm resources and sustained competitive advantage’, </w:t>
      </w:r>
      <w:r w:rsidRPr="003C538E">
        <w:rPr>
          <w:i/>
          <w:iCs/>
        </w:rPr>
        <w:t>Journal of Management</w:t>
      </w:r>
      <w:r w:rsidRPr="003C538E">
        <w:t xml:space="preserve">, 17(1), pp. 99–120. Available at: </w:t>
      </w:r>
      <w:hyperlink r:id="rId15" w:tgtFrame="_new" w:history="1">
        <w:r w:rsidRPr="003C538E">
          <w:rPr>
            <w:rStyle w:val="Hyperlink"/>
          </w:rPr>
          <w:t>https://doi.org/10.1177/014920639101700108</w:t>
        </w:r>
      </w:hyperlink>
      <w:r w:rsidRPr="003C538E">
        <w:t>.</w:t>
      </w:r>
    </w:p>
    <w:p w14:paraId="65848E20" w14:textId="65F13FB0" w:rsidR="003C538E" w:rsidRPr="003C538E" w:rsidRDefault="003C538E" w:rsidP="003C538E">
      <w:r w:rsidRPr="003C538E">
        <w:t xml:space="preserve">Burrow, J. and Becraft, M.B. (2020). </w:t>
      </w:r>
      <w:r w:rsidRPr="003C538E">
        <w:rPr>
          <w:i/>
          <w:iCs/>
        </w:rPr>
        <w:t>Business management</w:t>
      </w:r>
      <w:r w:rsidRPr="003C538E">
        <w:t>. Boston, Ma: South-Western Cengage Learning.</w:t>
      </w:r>
    </w:p>
    <w:p w14:paraId="1052992B" w14:textId="6B548242" w:rsidR="003C538E" w:rsidRPr="003C538E" w:rsidRDefault="003C538E" w:rsidP="003C538E">
      <w:r w:rsidRPr="003C538E">
        <w:t xml:space="preserve">Deloitte (2024) </w:t>
      </w:r>
      <w:r w:rsidRPr="003C538E">
        <w:rPr>
          <w:i/>
          <w:iCs/>
        </w:rPr>
        <w:t>2024 Global Automotive Consumer Study</w:t>
      </w:r>
      <w:r w:rsidRPr="003C538E">
        <w:t xml:space="preserve">. Deloitte Insights. Available at: </w:t>
      </w:r>
      <w:hyperlink r:id="rId16" w:tgtFrame="_new" w:history="1">
        <w:r w:rsidRPr="003C538E">
          <w:rPr>
            <w:rStyle w:val="Hyperlink"/>
          </w:rPr>
          <w:t>https://www.deloitte.com/uk/en/Industries/automotive/perspectives/global-automotive-consumer-study.html</w:t>
        </w:r>
      </w:hyperlink>
      <w:r w:rsidRPr="003C538E">
        <w:t xml:space="preserve"> (Accessed: 2</w:t>
      </w:r>
      <w:r>
        <w:t>5</w:t>
      </w:r>
      <w:r w:rsidRPr="003C538E">
        <w:t xml:space="preserve"> February 2026).</w:t>
      </w:r>
    </w:p>
    <w:p w14:paraId="4BCAC21D" w14:textId="7F7C7D49" w:rsidR="003C538E" w:rsidRPr="003C538E" w:rsidRDefault="003C538E" w:rsidP="003C538E">
      <w:r w:rsidRPr="003C538E">
        <w:t xml:space="preserve">European Commission (2025) </w:t>
      </w:r>
      <w:r w:rsidRPr="003C538E">
        <w:rPr>
          <w:i/>
          <w:iCs/>
        </w:rPr>
        <w:t>Commission launches public consultation on CO₂ emission standards for cars and vans and on car labelling</w:t>
      </w:r>
      <w:r w:rsidRPr="003C538E">
        <w:t xml:space="preserve">. Available at: </w:t>
      </w:r>
      <w:hyperlink r:id="rId17" w:tgtFrame="_new" w:history="1">
        <w:r w:rsidRPr="003C538E">
          <w:rPr>
            <w:rStyle w:val="Hyperlink"/>
          </w:rPr>
          <w:t>https://climate.ec.europa.eu/news-other-reads/news/commission-launches-public-consultation-co2-emission-standards-cars-and-vans-and-car-labelling-2025-07-07_en</w:t>
        </w:r>
      </w:hyperlink>
      <w:r w:rsidRPr="003C538E">
        <w:t xml:space="preserve"> (Accessed: 2</w:t>
      </w:r>
      <w:r>
        <w:t>5</w:t>
      </w:r>
      <w:r w:rsidRPr="003C538E">
        <w:t xml:space="preserve"> February 2026).</w:t>
      </w:r>
    </w:p>
    <w:p w14:paraId="3C85B4EB" w14:textId="2F25FC9F" w:rsidR="003C538E" w:rsidRPr="003C538E" w:rsidRDefault="003C538E" w:rsidP="003C538E">
      <w:r w:rsidRPr="003C538E">
        <w:t xml:space="preserve">Grant, R.M. (2021) </w:t>
      </w:r>
      <w:r w:rsidRPr="003C538E">
        <w:rPr>
          <w:i/>
          <w:iCs/>
        </w:rPr>
        <w:t>Contemporary Strategy Analysis</w:t>
      </w:r>
      <w:r w:rsidRPr="003C538E">
        <w:t>. Hoboken: John Wiley &amp; Sons.</w:t>
      </w:r>
    </w:p>
    <w:p w14:paraId="707A61CD" w14:textId="3FB7FA0F" w:rsidR="003C538E" w:rsidRPr="003C538E" w:rsidRDefault="003C538E" w:rsidP="003C538E">
      <w:r w:rsidRPr="003C538E">
        <w:t xml:space="preserve">International Energy Agency (2024) </w:t>
      </w:r>
      <w:r w:rsidRPr="003C538E">
        <w:rPr>
          <w:i/>
          <w:iCs/>
        </w:rPr>
        <w:t>Global EV Outlook 2024</w:t>
      </w:r>
      <w:r w:rsidRPr="003C538E">
        <w:t xml:space="preserve">. Paris: IEA. Available at: </w:t>
      </w:r>
      <w:hyperlink r:id="rId18" w:tgtFrame="_new" w:history="1">
        <w:r w:rsidRPr="003C538E">
          <w:rPr>
            <w:rStyle w:val="Hyperlink"/>
          </w:rPr>
          <w:t>https://www.iea.org/reports/global-ev-outlook-2024</w:t>
        </w:r>
      </w:hyperlink>
      <w:r w:rsidRPr="003C538E">
        <w:t xml:space="preserve"> (Accessed: 28 February 2026).</w:t>
      </w:r>
    </w:p>
    <w:p w14:paraId="2206EBC9" w14:textId="4303913B" w:rsidR="003C538E" w:rsidRDefault="003C538E" w:rsidP="003C538E">
      <w:r w:rsidRPr="003C538E">
        <w:t xml:space="preserve">Johnson, G., Whittington, R., Scholes, K., Angwin, D. and </w:t>
      </w:r>
      <w:proofErr w:type="spellStart"/>
      <w:r w:rsidRPr="003C538E">
        <w:t>Regnér</w:t>
      </w:r>
      <w:proofErr w:type="spellEnd"/>
      <w:r w:rsidRPr="003C538E">
        <w:t xml:space="preserve">, P. (2023) </w:t>
      </w:r>
      <w:r w:rsidRPr="003C538E">
        <w:rPr>
          <w:i/>
          <w:iCs/>
        </w:rPr>
        <w:t>Exploring Strategy</w:t>
      </w:r>
      <w:r w:rsidRPr="003C538E">
        <w:t xml:space="preserve">. Harlow: Pearson. Available at: </w:t>
      </w:r>
      <w:hyperlink r:id="rId19" w:tgtFrame="_new" w:history="1">
        <w:r w:rsidRPr="003C538E">
          <w:rPr>
            <w:rStyle w:val="Hyperlink"/>
          </w:rPr>
          <w:t>https://www.pearson.com/en-au/media/g10dyvte/9781292428741_sample.pdf</w:t>
        </w:r>
      </w:hyperlink>
      <w:r w:rsidRPr="003C538E">
        <w:t xml:space="preserve"> (Accessed: 2</w:t>
      </w:r>
      <w:r>
        <w:t>7</w:t>
      </w:r>
      <w:r w:rsidRPr="003C538E">
        <w:t xml:space="preserve"> February 2026).</w:t>
      </w:r>
    </w:p>
    <w:p w14:paraId="725D897F" w14:textId="44647DF4" w:rsidR="003C538E" w:rsidRPr="003C538E" w:rsidRDefault="003C538E" w:rsidP="003C538E">
      <w:r w:rsidRPr="003C538E">
        <w:t xml:space="preserve">Lynch, R. (2021). </w:t>
      </w:r>
      <w:r w:rsidRPr="003C538E">
        <w:rPr>
          <w:i/>
          <w:iCs/>
        </w:rPr>
        <w:t>Strategic Management.</w:t>
      </w:r>
      <w:r w:rsidRPr="003C538E">
        <w:t xml:space="preserve"> S.L.: Sage Publications.</w:t>
      </w:r>
    </w:p>
    <w:p w14:paraId="7E9050A9" w14:textId="770DFF96" w:rsidR="003C538E" w:rsidRPr="003C538E" w:rsidRDefault="003C538E" w:rsidP="003C538E">
      <w:r w:rsidRPr="003C538E">
        <w:t xml:space="preserve">Porter, M.E. (2008) ‘The five competitive forces that shape strategy’, </w:t>
      </w:r>
      <w:r w:rsidRPr="003C538E">
        <w:rPr>
          <w:i/>
          <w:iCs/>
        </w:rPr>
        <w:t>Harvard Business Review</w:t>
      </w:r>
      <w:r w:rsidRPr="003C538E">
        <w:t>, 86(1), pp. 78–93.</w:t>
      </w:r>
    </w:p>
    <w:p w14:paraId="01737103" w14:textId="0C0DDF27" w:rsidR="003C538E" w:rsidRPr="003C538E" w:rsidRDefault="003C538E" w:rsidP="003C538E">
      <w:r w:rsidRPr="003C538E">
        <w:lastRenderedPageBreak/>
        <w:t xml:space="preserve">Tesla, Inc. (2024) </w:t>
      </w:r>
      <w:r w:rsidRPr="003C538E">
        <w:rPr>
          <w:i/>
          <w:iCs/>
        </w:rPr>
        <w:t>Form 10-K Annual Report 2024</w:t>
      </w:r>
      <w:r w:rsidRPr="003C538E">
        <w:t xml:space="preserve">. Austin, Texas: Tesla Investor Relations. Available at: </w:t>
      </w:r>
      <w:hyperlink r:id="rId20" w:tgtFrame="_new" w:history="1">
        <w:r w:rsidRPr="003C538E">
          <w:rPr>
            <w:rStyle w:val="Hyperlink"/>
          </w:rPr>
          <w:t>https://ir.tesla.com/_flysystem/s3/sec/000162828025003063/tsla-20241231-gen.pdf</w:t>
        </w:r>
      </w:hyperlink>
      <w:r w:rsidRPr="003C538E">
        <w:t xml:space="preserve"> (Accessed: 28 February 2026).</w:t>
      </w:r>
    </w:p>
    <w:p w14:paraId="45CDCA09" w14:textId="7AE75068" w:rsidR="003C538E" w:rsidRDefault="003C538E" w:rsidP="003C538E">
      <w:r w:rsidRPr="003C538E">
        <w:t xml:space="preserve">Tesla, Inc. (2025) </w:t>
      </w:r>
      <w:r w:rsidRPr="003C538E">
        <w:rPr>
          <w:i/>
          <w:iCs/>
        </w:rPr>
        <w:t>Investors Overview</w:t>
      </w:r>
      <w:r w:rsidRPr="003C538E">
        <w:t xml:space="preserve">. Available at: </w:t>
      </w:r>
      <w:hyperlink r:id="rId21" w:tgtFrame="_new" w:history="1">
        <w:r w:rsidRPr="003C538E">
          <w:rPr>
            <w:rStyle w:val="Hyperlink"/>
          </w:rPr>
          <w:t>https://ir.tesla.com/</w:t>
        </w:r>
      </w:hyperlink>
      <w:r w:rsidRPr="003C538E">
        <w:t xml:space="preserve"> (Accessed: 28 February 2026).</w:t>
      </w:r>
    </w:p>
    <w:p w14:paraId="2C80489E" w14:textId="77777777" w:rsidR="008051B3" w:rsidRPr="00CD3A91" w:rsidRDefault="008051B3" w:rsidP="003C538E"/>
    <w:sectPr w:rsidR="008051B3" w:rsidRPr="00CD3A91" w:rsidSect="00DF7FF6">
      <w:footerReference w:type="default" r:id="rId22"/>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1DDF3" w14:textId="77777777" w:rsidR="00343CB2" w:rsidRDefault="00343CB2" w:rsidP="00DF7FF6">
      <w:pPr>
        <w:spacing w:after="0" w:line="240" w:lineRule="auto"/>
      </w:pPr>
      <w:r>
        <w:separator/>
      </w:r>
    </w:p>
  </w:endnote>
  <w:endnote w:type="continuationSeparator" w:id="0">
    <w:p w14:paraId="625FBC91" w14:textId="77777777" w:rsidR="00343CB2" w:rsidRDefault="00343CB2" w:rsidP="00DF7F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1882251"/>
      <w:docPartObj>
        <w:docPartGallery w:val="Page Numbers (Bottom of Page)"/>
        <w:docPartUnique/>
      </w:docPartObj>
    </w:sdtPr>
    <w:sdtEndPr>
      <w:rPr>
        <w:noProof/>
      </w:rPr>
    </w:sdtEndPr>
    <w:sdtContent>
      <w:p w14:paraId="1B637C3E" w14:textId="67B215C4" w:rsidR="00DF7FF6" w:rsidRDefault="00DF7F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17D7C4" w14:textId="77777777" w:rsidR="00DF7FF6" w:rsidRDefault="00DF7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73A99" w14:textId="77777777" w:rsidR="00343CB2" w:rsidRDefault="00343CB2" w:rsidP="00DF7FF6">
      <w:pPr>
        <w:spacing w:after="0" w:line="240" w:lineRule="auto"/>
      </w:pPr>
      <w:r>
        <w:separator/>
      </w:r>
    </w:p>
  </w:footnote>
  <w:footnote w:type="continuationSeparator" w:id="0">
    <w:p w14:paraId="1E22D3D7" w14:textId="77777777" w:rsidR="00343CB2" w:rsidRDefault="00343CB2" w:rsidP="00DF7F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83522"/>
    <w:multiLevelType w:val="hybridMultilevel"/>
    <w:tmpl w:val="1C0C6E76"/>
    <w:lvl w:ilvl="0" w:tplc="D4BE04A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DD24D3"/>
    <w:multiLevelType w:val="hybridMultilevel"/>
    <w:tmpl w:val="B45E1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3238D3"/>
    <w:multiLevelType w:val="hybridMultilevel"/>
    <w:tmpl w:val="850C8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1D7052"/>
    <w:multiLevelType w:val="multilevel"/>
    <w:tmpl w:val="9FF02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A3124C"/>
    <w:multiLevelType w:val="multilevel"/>
    <w:tmpl w:val="5E06A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8061792">
    <w:abstractNumId w:val="4"/>
  </w:num>
  <w:num w:numId="2" w16cid:durableId="1746343158">
    <w:abstractNumId w:val="3"/>
  </w:num>
  <w:num w:numId="3" w16cid:durableId="923413074">
    <w:abstractNumId w:val="1"/>
  </w:num>
  <w:num w:numId="4" w16cid:durableId="2008359316">
    <w:abstractNumId w:val="2"/>
  </w:num>
  <w:num w:numId="5" w16cid:durableId="815536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132"/>
    <w:rsid w:val="0005581B"/>
    <w:rsid w:val="0006403C"/>
    <w:rsid w:val="00185917"/>
    <w:rsid w:val="00221277"/>
    <w:rsid w:val="00290AE9"/>
    <w:rsid w:val="002B4FD6"/>
    <w:rsid w:val="002E4727"/>
    <w:rsid w:val="003049A5"/>
    <w:rsid w:val="00343CB2"/>
    <w:rsid w:val="00346113"/>
    <w:rsid w:val="003C538E"/>
    <w:rsid w:val="00484073"/>
    <w:rsid w:val="004A2E02"/>
    <w:rsid w:val="004E1255"/>
    <w:rsid w:val="00500420"/>
    <w:rsid w:val="0052682C"/>
    <w:rsid w:val="005E77E8"/>
    <w:rsid w:val="00673033"/>
    <w:rsid w:val="007013B9"/>
    <w:rsid w:val="0072451A"/>
    <w:rsid w:val="008051B3"/>
    <w:rsid w:val="008D44A6"/>
    <w:rsid w:val="00910B5D"/>
    <w:rsid w:val="00940E99"/>
    <w:rsid w:val="009416DE"/>
    <w:rsid w:val="009E2B5C"/>
    <w:rsid w:val="009E4DC3"/>
    <w:rsid w:val="00AA333C"/>
    <w:rsid w:val="00AA68EB"/>
    <w:rsid w:val="00B85AE8"/>
    <w:rsid w:val="00C11791"/>
    <w:rsid w:val="00C2562E"/>
    <w:rsid w:val="00C63109"/>
    <w:rsid w:val="00CA75FE"/>
    <w:rsid w:val="00CD3A91"/>
    <w:rsid w:val="00CE0BE1"/>
    <w:rsid w:val="00CE64A8"/>
    <w:rsid w:val="00D27094"/>
    <w:rsid w:val="00D63A29"/>
    <w:rsid w:val="00DA67CA"/>
    <w:rsid w:val="00DF7FF6"/>
    <w:rsid w:val="00E3675D"/>
    <w:rsid w:val="00E75DD2"/>
    <w:rsid w:val="00E90811"/>
    <w:rsid w:val="00EE0516"/>
    <w:rsid w:val="00F6160A"/>
    <w:rsid w:val="00F651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521E8"/>
  <w15:chartTrackingRefBased/>
  <w15:docId w15:val="{832AEE8D-09DD-4BD0-931D-713BC5157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13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D3A91"/>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CD3A91"/>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F65132"/>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F65132"/>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F65132"/>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F651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51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51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51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A91"/>
    <w:rPr>
      <w:rFonts w:ascii="Times New Roman" w:eastAsiaTheme="majorEastAsia" w:hAnsi="Times New Roman" w:cstheme="majorBidi"/>
      <w:b/>
      <w:sz w:val="32"/>
      <w:szCs w:val="40"/>
      <w:lang w:val="en-GB"/>
    </w:rPr>
  </w:style>
  <w:style w:type="character" w:customStyle="1" w:styleId="Heading2Char">
    <w:name w:val="Heading 2 Char"/>
    <w:basedOn w:val="DefaultParagraphFont"/>
    <w:link w:val="Heading2"/>
    <w:uiPriority w:val="9"/>
    <w:rsid w:val="00CD3A91"/>
    <w:rPr>
      <w:rFonts w:ascii="Times New Roman" w:eastAsiaTheme="majorEastAsia" w:hAnsi="Times New Roman" w:cstheme="majorBidi"/>
      <w:b/>
      <w:sz w:val="28"/>
      <w:szCs w:val="32"/>
      <w:lang w:val="en-GB"/>
    </w:rPr>
  </w:style>
  <w:style w:type="character" w:customStyle="1" w:styleId="Heading3Char">
    <w:name w:val="Heading 3 Char"/>
    <w:basedOn w:val="DefaultParagraphFont"/>
    <w:link w:val="Heading3"/>
    <w:uiPriority w:val="9"/>
    <w:semiHidden/>
    <w:rsid w:val="00F65132"/>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F65132"/>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F65132"/>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F6513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6513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6513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6513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65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513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6513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513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6513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65132"/>
    <w:rPr>
      <w:i/>
      <w:iCs/>
      <w:color w:val="404040" w:themeColor="text1" w:themeTint="BF"/>
      <w:lang w:val="en-GB"/>
    </w:rPr>
  </w:style>
  <w:style w:type="paragraph" w:styleId="ListParagraph">
    <w:name w:val="List Paragraph"/>
    <w:basedOn w:val="Normal"/>
    <w:uiPriority w:val="34"/>
    <w:qFormat/>
    <w:rsid w:val="00F65132"/>
    <w:pPr>
      <w:ind w:left="720"/>
      <w:contextualSpacing/>
    </w:pPr>
  </w:style>
  <w:style w:type="character" w:styleId="IntenseEmphasis">
    <w:name w:val="Intense Emphasis"/>
    <w:basedOn w:val="DefaultParagraphFont"/>
    <w:uiPriority w:val="21"/>
    <w:qFormat/>
    <w:rsid w:val="00F65132"/>
    <w:rPr>
      <w:i/>
      <w:iCs/>
      <w:color w:val="365F91" w:themeColor="accent1" w:themeShade="BF"/>
    </w:rPr>
  </w:style>
  <w:style w:type="paragraph" w:styleId="IntenseQuote">
    <w:name w:val="Intense Quote"/>
    <w:basedOn w:val="Normal"/>
    <w:next w:val="Normal"/>
    <w:link w:val="IntenseQuoteChar"/>
    <w:uiPriority w:val="30"/>
    <w:qFormat/>
    <w:rsid w:val="00F65132"/>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65132"/>
    <w:rPr>
      <w:i/>
      <w:iCs/>
      <w:color w:val="365F91" w:themeColor="accent1" w:themeShade="BF"/>
      <w:lang w:val="en-GB"/>
    </w:rPr>
  </w:style>
  <w:style w:type="character" w:styleId="IntenseReference">
    <w:name w:val="Intense Reference"/>
    <w:basedOn w:val="DefaultParagraphFont"/>
    <w:uiPriority w:val="32"/>
    <w:qFormat/>
    <w:rsid w:val="00F65132"/>
    <w:rPr>
      <w:b/>
      <w:bCs/>
      <w:smallCaps/>
      <w:color w:val="365F91" w:themeColor="accent1" w:themeShade="BF"/>
      <w:spacing w:val="5"/>
    </w:rPr>
  </w:style>
  <w:style w:type="table" w:styleId="TableGrid">
    <w:name w:val="Table Grid"/>
    <w:basedOn w:val="TableNormal"/>
    <w:uiPriority w:val="59"/>
    <w:rsid w:val="00304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403C"/>
    <w:rPr>
      <w:color w:val="0000FF" w:themeColor="hyperlink"/>
      <w:u w:val="single"/>
    </w:rPr>
  </w:style>
  <w:style w:type="character" w:styleId="UnresolvedMention">
    <w:name w:val="Unresolved Mention"/>
    <w:basedOn w:val="DefaultParagraphFont"/>
    <w:uiPriority w:val="99"/>
    <w:semiHidden/>
    <w:unhideWhenUsed/>
    <w:rsid w:val="0006403C"/>
    <w:rPr>
      <w:color w:val="605E5C"/>
      <w:shd w:val="clear" w:color="auto" w:fill="E1DFDD"/>
    </w:rPr>
  </w:style>
  <w:style w:type="paragraph" w:styleId="Header">
    <w:name w:val="header"/>
    <w:basedOn w:val="Normal"/>
    <w:link w:val="HeaderChar"/>
    <w:uiPriority w:val="99"/>
    <w:unhideWhenUsed/>
    <w:rsid w:val="00DF7F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FF6"/>
    <w:rPr>
      <w:rFonts w:ascii="Times New Roman" w:hAnsi="Times New Roman"/>
      <w:sz w:val="24"/>
      <w:lang w:val="en-GB"/>
    </w:rPr>
  </w:style>
  <w:style w:type="paragraph" w:styleId="Footer">
    <w:name w:val="footer"/>
    <w:basedOn w:val="Normal"/>
    <w:link w:val="FooterChar"/>
    <w:uiPriority w:val="99"/>
    <w:unhideWhenUsed/>
    <w:rsid w:val="00DF7F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FF6"/>
    <w:rPr>
      <w:rFonts w:ascii="Times New Roman" w:hAnsi="Times New Roman"/>
      <w:sz w:val="24"/>
      <w:lang w:val="en-GB"/>
    </w:rPr>
  </w:style>
  <w:style w:type="paragraph" w:styleId="TOCHeading">
    <w:name w:val="TOC Heading"/>
    <w:basedOn w:val="Heading1"/>
    <w:next w:val="Normal"/>
    <w:uiPriority w:val="39"/>
    <w:unhideWhenUsed/>
    <w:qFormat/>
    <w:rsid w:val="00D63A29"/>
    <w:pPr>
      <w:spacing w:before="240" w:after="0" w:line="259" w:lineRule="auto"/>
      <w:jc w:val="left"/>
      <w:outlineLvl w:val="9"/>
    </w:pPr>
    <w:rPr>
      <w:rFonts w:asciiTheme="majorHAnsi" w:hAnsiTheme="majorHAnsi"/>
      <w:b w:val="0"/>
      <w:color w:val="365F91" w:themeColor="accent1" w:themeShade="BF"/>
      <w:kern w:val="0"/>
      <w:szCs w:val="32"/>
      <w:lang w:val="en-US"/>
      <w14:ligatures w14:val="none"/>
    </w:rPr>
  </w:style>
  <w:style w:type="paragraph" w:styleId="TOC1">
    <w:name w:val="toc 1"/>
    <w:basedOn w:val="Normal"/>
    <w:next w:val="Normal"/>
    <w:autoRedefine/>
    <w:uiPriority w:val="39"/>
    <w:unhideWhenUsed/>
    <w:rsid w:val="00D63A29"/>
    <w:pPr>
      <w:spacing w:after="100"/>
    </w:pPr>
  </w:style>
  <w:style w:type="paragraph" w:styleId="TOC2">
    <w:name w:val="toc 2"/>
    <w:basedOn w:val="Normal"/>
    <w:next w:val="Normal"/>
    <w:autoRedefine/>
    <w:uiPriority w:val="39"/>
    <w:unhideWhenUsed/>
    <w:rsid w:val="00D63A29"/>
    <w:pPr>
      <w:spacing w:after="100"/>
      <w:ind w:left="240"/>
    </w:pPr>
  </w:style>
  <w:style w:type="paragraph" w:styleId="Caption">
    <w:name w:val="caption"/>
    <w:basedOn w:val="Normal"/>
    <w:next w:val="Normal"/>
    <w:uiPriority w:val="35"/>
    <w:unhideWhenUsed/>
    <w:qFormat/>
    <w:rsid w:val="008051B3"/>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s://www.iea.org/reports/global-ev-outlook-2024" TargetMode="External"/><Relationship Id="rId3" Type="http://schemas.openxmlformats.org/officeDocument/2006/relationships/styles" Target="styles.xml"/><Relationship Id="rId21" Type="http://schemas.openxmlformats.org/officeDocument/2006/relationships/hyperlink" Target="https://ir.tesla.com/"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climate.ec.europa.eu/news-other-reads/news/commission-launches-public-consultation-co2-emission-standards-cars-and-vans-and-car-labelling-2025-07-07_en" TargetMode="External"/><Relationship Id="rId2" Type="http://schemas.openxmlformats.org/officeDocument/2006/relationships/numbering" Target="numbering.xml"/><Relationship Id="rId16" Type="http://schemas.openxmlformats.org/officeDocument/2006/relationships/hyperlink" Target="https://www.deloitte.com/uk/en/Industries/automotive/perspectives/global-automotive-consumer-study.html" TargetMode="External"/><Relationship Id="rId20" Type="http://schemas.openxmlformats.org/officeDocument/2006/relationships/hyperlink" Target="https://ir.tesla.com/_flysystem/s3/sec/000162828025003063/tsla-20241231-g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014920639101700108"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pearson.com/en-au/media/g10dyvte/9781292428741_sample.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ckinsey.com/industries/consumer-packaged-goods/our-insights/state-of-consumer"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625E8D-16C8-4189-9815-F1F36B98F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2812</Words>
  <Characters>16035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Alex Andrei</cp:lastModifiedBy>
  <cp:revision>2</cp:revision>
  <dcterms:created xsi:type="dcterms:W3CDTF">2026-04-01T17:14:00Z</dcterms:created>
  <dcterms:modified xsi:type="dcterms:W3CDTF">2026-04-01T17:14:00Z</dcterms:modified>
</cp:coreProperties>
</file>