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C06B38" wp14:paraId="5E5787A5" wp14:textId="5C108326">
      <w:pPr>
        <w:jc w:val="center"/>
        <w:rPr>
          <w:rFonts w:ascii="Arial" w:hAnsi="Arial" w:eastAsia="Arial" w:cs="Arial" w:asciiTheme="minorAscii" w:hAnsiTheme="minorAscii" w:eastAsiaTheme="minorAscii" w:cstheme="minorAscii"/>
          <w:sz w:val="22"/>
          <w:szCs w:val="22"/>
        </w:rPr>
      </w:pPr>
      <w:r w:rsidRPr="25C06B38" w:rsidR="409992C7">
        <w:rPr>
          <w:rFonts w:ascii="Arial" w:hAnsi="Arial" w:eastAsia="Arial" w:cs="Arial" w:asciiTheme="minorAscii" w:hAnsiTheme="minorAscii" w:eastAsiaTheme="minorAscii" w:cstheme="minorAscii"/>
          <w:sz w:val="22"/>
          <w:szCs w:val="22"/>
        </w:rPr>
        <w:t xml:space="preserve">Student Name: Gurdith Barkar </w:t>
      </w:r>
    </w:p>
    <w:p w:rsidR="409992C7" w:rsidP="25C06B38" w:rsidRDefault="409992C7" w14:paraId="2835D9F2" w14:textId="4479A4D2">
      <w:pPr>
        <w:jc w:val="center"/>
        <w:rPr>
          <w:rFonts w:ascii="Arial" w:hAnsi="Arial" w:eastAsia="Arial" w:cs="Arial" w:asciiTheme="minorAscii" w:hAnsiTheme="minorAscii" w:eastAsiaTheme="minorAscii" w:cstheme="minorAscii"/>
          <w:sz w:val="22"/>
          <w:szCs w:val="22"/>
        </w:rPr>
      </w:pPr>
      <w:r w:rsidRPr="25C06B38" w:rsidR="409992C7">
        <w:rPr>
          <w:rFonts w:ascii="Arial" w:hAnsi="Arial" w:eastAsia="Arial" w:cs="Arial" w:asciiTheme="minorAscii" w:hAnsiTheme="minorAscii" w:eastAsiaTheme="minorAscii" w:cstheme="minorAscii"/>
          <w:sz w:val="22"/>
          <w:szCs w:val="22"/>
        </w:rPr>
        <w:t>Student number: 2506015</w:t>
      </w:r>
    </w:p>
    <w:p w:rsidR="409992C7" w:rsidP="25C06B38" w:rsidRDefault="409992C7" w14:paraId="0090F2EC" w14:textId="24A73C49">
      <w:pPr>
        <w:jc w:val="center"/>
        <w:rPr>
          <w:rFonts w:ascii="Arial" w:hAnsi="Arial" w:eastAsia="Arial" w:cs="Arial" w:asciiTheme="minorAscii" w:hAnsiTheme="minorAscii" w:eastAsiaTheme="minorAscii" w:cstheme="minorAscii"/>
          <w:sz w:val="22"/>
          <w:szCs w:val="22"/>
        </w:rPr>
      </w:pPr>
      <w:r w:rsidRPr="25C06B38" w:rsidR="409992C7">
        <w:rPr>
          <w:rFonts w:ascii="Arial" w:hAnsi="Arial" w:eastAsia="Arial" w:cs="Arial" w:asciiTheme="minorAscii" w:hAnsiTheme="minorAscii" w:eastAsiaTheme="minorAscii" w:cstheme="minorAscii"/>
          <w:sz w:val="22"/>
          <w:szCs w:val="22"/>
        </w:rPr>
        <w:t>Module Code: LCHS4008</w:t>
      </w:r>
    </w:p>
    <w:p w:rsidR="409992C7" w:rsidP="25C06B38" w:rsidRDefault="409992C7" w14:paraId="0714AAE9" w14:textId="6232E7D6">
      <w:pPr>
        <w:jc w:val="center"/>
        <w:rPr>
          <w:rFonts w:ascii="Arial" w:hAnsi="Arial" w:eastAsia="Arial" w:cs="Arial" w:asciiTheme="minorAscii" w:hAnsiTheme="minorAscii" w:eastAsiaTheme="minorAscii" w:cstheme="minorAscii"/>
          <w:sz w:val="22"/>
          <w:szCs w:val="22"/>
        </w:rPr>
      </w:pPr>
      <w:r w:rsidRPr="25C06B38" w:rsidR="409992C7">
        <w:rPr>
          <w:rFonts w:ascii="Arial" w:hAnsi="Arial" w:eastAsia="Arial" w:cs="Arial" w:asciiTheme="minorAscii" w:hAnsiTheme="minorAscii" w:eastAsiaTheme="minorAscii" w:cstheme="minorAscii"/>
          <w:sz w:val="22"/>
          <w:szCs w:val="22"/>
        </w:rPr>
        <w:t>Title</w:t>
      </w:r>
      <w:r w:rsidRPr="25C06B38" w:rsidR="409992C7">
        <w:rPr>
          <w:rFonts w:ascii="Arial" w:hAnsi="Arial" w:eastAsia="Arial" w:cs="Arial" w:asciiTheme="minorAscii" w:hAnsiTheme="minorAscii" w:eastAsiaTheme="minorAscii" w:cstheme="minorAscii"/>
          <w:sz w:val="22"/>
          <w:szCs w:val="22"/>
        </w:rPr>
        <w:t>: Introduction to public health</w:t>
      </w:r>
    </w:p>
    <w:p w:rsidR="409992C7" w:rsidP="25C06B38" w:rsidRDefault="409992C7" w14:paraId="1BE1695D" w14:textId="626F7442">
      <w:pPr>
        <w:jc w:val="center"/>
        <w:rPr>
          <w:rFonts w:ascii="Arial" w:hAnsi="Arial" w:eastAsia="Arial" w:cs="Arial" w:asciiTheme="minorAscii" w:hAnsiTheme="minorAscii" w:eastAsiaTheme="minorAscii" w:cstheme="minorAscii"/>
          <w:sz w:val="22"/>
          <w:szCs w:val="22"/>
        </w:rPr>
      </w:pPr>
      <w:r w:rsidRPr="25C06B38" w:rsidR="409992C7">
        <w:rPr>
          <w:rFonts w:ascii="Arial" w:hAnsi="Arial" w:eastAsia="Arial" w:cs="Arial" w:asciiTheme="minorAscii" w:hAnsiTheme="minorAscii" w:eastAsiaTheme="minorAscii" w:cstheme="minorAscii"/>
          <w:sz w:val="22"/>
          <w:szCs w:val="22"/>
        </w:rPr>
        <w:t xml:space="preserve">Lecturers Name: Gillian Weaver </w:t>
      </w:r>
    </w:p>
    <w:p w:rsidR="409992C7" w:rsidP="25C06B38" w:rsidRDefault="409992C7" w14:paraId="71D8C375" w14:textId="318F895F">
      <w:pPr>
        <w:jc w:val="center"/>
      </w:pPr>
      <w:r w:rsidRPr="25C06B38" w:rsidR="409992C7">
        <w:rPr>
          <w:rFonts w:ascii="Arial" w:hAnsi="Arial" w:eastAsia="Arial" w:cs="Arial" w:asciiTheme="minorAscii" w:hAnsiTheme="minorAscii" w:eastAsiaTheme="minorAscii" w:cstheme="minorAscii"/>
          <w:sz w:val="22"/>
          <w:szCs w:val="22"/>
        </w:rPr>
        <w:t>Assignment Title: Report on a Health issue</w:t>
      </w:r>
    </w:p>
    <w:p w:rsidR="25C06B38" w:rsidP="25C06B38" w:rsidRDefault="25C06B38" w14:paraId="3EAEBD0B" w14:textId="6D5E9AF4">
      <w:pPr>
        <w:jc w:val="center"/>
        <w:rPr>
          <w:rFonts w:ascii="Arial" w:hAnsi="Arial" w:eastAsia="Arial" w:cs="Arial" w:asciiTheme="minorAscii" w:hAnsiTheme="minorAscii" w:eastAsiaTheme="minorAscii" w:cstheme="minorAscii"/>
          <w:sz w:val="22"/>
          <w:szCs w:val="22"/>
        </w:rPr>
      </w:pPr>
    </w:p>
    <w:p w:rsidR="25C06B38" w:rsidP="25C06B38" w:rsidRDefault="25C06B38" w14:paraId="134EAAD8" w14:textId="75785D86">
      <w:pPr>
        <w:jc w:val="center"/>
        <w:rPr>
          <w:rFonts w:ascii="Arial" w:hAnsi="Arial" w:eastAsia="Arial" w:cs="Arial" w:asciiTheme="minorAscii" w:hAnsiTheme="minorAscii" w:eastAsiaTheme="minorAscii" w:cstheme="minorAscii"/>
          <w:sz w:val="22"/>
          <w:szCs w:val="22"/>
        </w:rPr>
      </w:pPr>
    </w:p>
    <w:p w:rsidR="25C06B38" w:rsidP="25C06B38" w:rsidRDefault="25C06B38" w14:paraId="774D3D80" w14:textId="31B17CB9">
      <w:pPr>
        <w:jc w:val="center"/>
        <w:rPr>
          <w:rFonts w:ascii="Arial" w:hAnsi="Arial" w:eastAsia="Arial" w:cs="Arial" w:asciiTheme="minorAscii" w:hAnsiTheme="minorAscii" w:eastAsiaTheme="minorAscii" w:cstheme="minorAscii"/>
          <w:sz w:val="22"/>
          <w:szCs w:val="22"/>
        </w:rPr>
      </w:pPr>
    </w:p>
    <w:p w:rsidR="25C06B38" w:rsidP="25C06B38" w:rsidRDefault="25C06B38" w14:paraId="30131D82" w14:textId="78A83F77">
      <w:pPr>
        <w:jc w:val="center"/>
        <w:rPr>
          <w:rFonts w:ascii="Arial" w:hAnsi="Arial" w:eastAsia="Arial" w:cs="Arial" w:asciiTheme="minorAscii" w:hAnsiTheme="minorAscii" w:eastAsiaTheme="minorAscii" w:cstheme="minorAscii"/>
          <w:sz w:val="22"/>
          <w:szCs w:val="22"/>
        </w:rPr>
      </w:pPr>
    </w:p>
    <w:p w:rsidR="25C06B38" w:rsidP="25C06B38" w:rsidRDefault="25C06B38" w14:paraId="5C30E2C8" w14:textId="4CE28F43">
      <w:pPr>
        <w:jc w:val="center"/>
        <w:rPr>
          <w:rFonts w:ascii="Arial" w:hAnsi="Arial" w:eastAsia="Arial" w:cs="Arial" w:asciiTheme="minorAscii" w:hAnsiTheme="minorAscii" w:eastAsiaTheme="minorAscii" w:cstheme="minorAscii"/>
          <w:sz w:val="22"/>
          <w:szCs w:val="22"/>
        </w:rPr>
      </w:pPr>
    </w:p>
    <w:p w:rsidR="25C06B38" w:rsidP="25C06B38" w:rsidRDefault="25C06B38" w14:paraId="172BE7B3" w14:textId="24E12A36">
      <w:pPr>
        <w:jc w:val="center"/>
        <w:rPr>
          <w:rFonts w:ascii="Arial" w:hAnsi="Arial" w:eastAsia="Arial" w:cs="Arial" w:asciiTheme="minorAscii" w:hAnsiTheme="minorAscii" w:eastAsiaTheme="minorAscii" w:cstheme="minorAscii"/>
          <w:sz w:val="22"/>
          <w:szCs w:val="22"/>
        </w:rPr>
      </w:pPr>
    </w:p>
    <w:p w:rsidR="25C06B38" w:rsidP="25C06B38" w:rsidRDefault="25C06B38" w14:paraId="6809103B" w14:textId="5BE1E0CE">
      <w:pPr>
        <w:jc w:val="center"/>
        <w:rPr>
          <w:rFonts w:ascii="Arial" w:hAnsi="Arial" w:eastAsia="Arial" w:cs="Arial" w:asciiTheme="minorAscii" w:hAnsiTheme="minorAscii" w:eastAsiaTheme="minorAscii" w:cstheme="minorAscii"/>
          <w:sz w:val="22"/>
          <w:szCs w:val="22"/>
        </w:rPr>
      </w:pPr>
    </w:p>
    <w:p w:rsidR="25C06B38" w:rsidP="25C06B38" w:rsidRDefault="25C06B38" w14:paraId="184B62A9" w14:textId="1DDAC595">
      <w:pPr>
        <w:jc w:val="center"/>
        <w:rPr>
          <w:rFonts w:ascii="Arial" w:hAnsi="Arial" w:eastAsia="Arial" w:cs="Arial" w:asciiTheme="minorAscii" w:hAnsiTheme="minorAscii" w:eastAsiaTheme="minorAscii" w:cstheme="minorAscii"/>
          <w:sz w:val="22"/>
          <w:szCs w:val="22"/>
        </w:rPr>
      </w:pPr>
    </w:p>
    <w:p w:rsidR="25C06B38" w:rsidP="25C06B38" w:rsidRDefault="25C06B38" w14:paraId="1FFDB41D" w14:textId="0B1B247E">
      <w:pPr>
        <w:jc w:val="center"/>
        <w:rPr>
          <w:rFonts w:ascii="Arial" w:hAnsi="Arial" w:eastAsia="Arial" w:cs="Arial" w:asciiTheme="minorAscii" w:hAnsiTheme="minorAscii" w:eastAsiaTheme="minorAscii" w:cstheme="minorAscii"/>
          <w:sz w:val="22"/>
          <w:szCs w:val="22"/>
        </w:rPr>
      </w:pPr>
    </w:p>
    <w:p w:rsidR="25C06B38" w:rsidP="25C06B38" w:rsidRDefault="25C06B38" w14:paraId="635C7627" w14:textId="0D8321B2">
      <w:pPr>
        <w:jc w:val="center"/>
        <w:rPr>
          <w:rFonts w:ascii="Arial" w:hAnsi="Arial" w:eastAsia="Arial" w:cs="Arial" w:asciiTheme="minorAscii" w:hAnsiTheme="minorAscii" w:eastAsiaTheme="minorAscii" w:cstheme="minorAscii"/>
          <w:sz w:val="22"/>
          <w:szCs w:val="22"/>
        </w:rPr>
      </w:pPr>
    </w:p>
    <w:p w:rsidR="25C06B38" w:rsidP="25C06B38" w:rsidRDefault="25C06B38" w14:paraId="2072E23B" w14:textId="7B1C8597">
      <w:pPr>
        <w:jc w:val="center"/>
        <w:rPr>
          <w:rFonts w:ascii="Arial" w:hAnsi="Arial" w:eastAsia="Arial" w:cs="Arial" w:asciiTheme="minorAscii" w:hAnsiTheme="minorAscii" w:eastAsiaTheme="minorAscii" w:cstheme="minorAscii"/>
          <w:sz w:val="22"/>
          <w:szCs w:val="22"/>
        </w:rPr>
      </w:pPr>
    </w:p>
    <w:p w:rsidR="25C06B38" w:rsidP="25C06B38" w:rsidRDefault="25C06B38" w14:paraId="19A5E8E7" w14:textId="62919CB4">
      <w:pPr>
        <w:jc w:val="center"/>
        <w:rPr>
          <w:rFonts w:ascii="Arial" w:hAnsi="Arial" w:eastAsia="Arial" w:cs="Arial" w:asciiTheme="minorAscii" w:hAnsiTheme="minorAscii" w:eastAsiaTheme="minorAscii" w:cstheme="minorAscii"/>
          <w:sz w:val="22"/>
          <w:szCs w:val="22"/>
        </w:rPr>
      </w:pPr>
    </w:p>
    <w:p w:rsidR="25C06B38" w:rsidP="25C06B38" w:rsidRDefault="25C06B38" w14:paraId="69FAC35A" w14:textId="0887BB2C">
      <w:pPr>
        <w:jc w:val="center"/>
        <w:rPr>
          <w:rFonts w:ascii="Arial" w:hAnsi="Arial" w:eastAsia="Arial" w:cs="Arial" w:asciiTheme="minorAscii" w:hAnsiTheme="minorAscii" w:eastAsiaTheme="minorAscii" w:cstheme="minorAscii"/>
          <w:sz w:val="22"/>
          <w:szCs w:val="22"/>
        </w:rPr>
      </w:pPr>
    </w:p>
    <w:p w:rsidR="25C06B38" w:rsidP="25C06B38" w:rsidRDefault="25C06B38" w14:paraId="5C20E7BF" w14:textId="7DCF69E2">
      <w:pPr>
        <w:jc w:val="center"/>
        <w:rPr>
          <w:rFonts w:ascii="Arial" w:hAnsi="Arial" w:eastAsia="Arial" w:cs="Arial" w:asciiTheme="minorAscii" w:hAnsiTheme="minorAscii" w:eastAsiaTheme="minorAscii" w:cstheme="minorAscii"/>
          <w:sz w:val="22"/>
          <w:szCs w:val="22"/>
        </w:rPr>
      </w:pPr>
    </w:p>
    <w:p w:rsidR="25C06B38" w:rsidP="25C06B38" w:rsidRDefault="25C06B38" w14:paraId="6B082C50" w14:textId="1B980A4A">
      <w:pPr>
        <w:jc w:val="center"/>
        <w:rPr>
          <w:rFonts w:ascii="Arial" w:hAnsi="Arial" w:eastAsia="Arial" w:cs="Arial" w:asciiTheme="minorAscii" w:hAnsiTheme="minorAscii" w:eastAsiaTheme="minorAscii" w:cstheme="minorAscii"/>
          <w:sz w:val="22"/>
          <w:szCs w:val="22"/>
        </w:rPr>
      </w:pPr>
    </w:p>
    <w:p w:rsidR="25C06B38" w:rsidP="25C06B38" w:rsidRDefault="25C06B38" w14:paraId="5821BE91" w14:textId="1A0DCCA6">
      <w:pPr>
        <w:jc w:val="center"/>
        <w:rPr>
          <w:rFonts w:ascii="Arial" w:hAnsi="Arial" w:eastAsia="Arial" w:cs="Arial" w:asciiTheme="minorAscii" w:hAnsiTheme="minorAscii" w:eastAsiaTheme="minorAscii" w:cstheme="minorAscii"/>
          <w:sz w:val="22"/>
          <w:szCs w:val="22"/>
        </w:rPr>
      </w:pPr>
    </w:p>
    <w:p w:rsidR="25C06B38" w:rsidP="25C06B38" w:rsidRDefault="25C06B38" w14:paraId="46E06C14" w14:textId="60E3C447">
      <w:pPr>
        <w:jc w:val="center"/>
        <w:rPr>
          <w:rFonts w:ascii="Arial" w:hAnsi="Arial" w:eastAsia="Arial" w:cs="Arial" w:asciiTheme="minorAscii" w:hAnsiTheme="minorAscii" w:eastAsiaTheme="minorAscii" w:cstheme="minorAscii"/>
          <w:sz w:val="22"/>
          <w:szCs w:val="22"/>
        </w:rPr>
      </w:pPr>
    </w:p>
    <w:p w:rsidR="25C06B38" w:rsidP="25C06B38" w:rsidRDefault="25C06B38" w14:paraId="5F1EE7E9" w14:textId="3FE59010">
      <w:pPr>
        <w:jc w:val="center"/>
        <w:rPr>
          <w:rFonts w:ascii="Arial" w:hAnsi="Arial" w:eastAsia="Arial" w:cs="Arial" w:asciiTheme="minorAscii" w:hAnsiTheme="minorAscii" w:eastAsiaTheme="minorAscii" w:cstheme="minorAscii"/>
          <w:sz w:val="22"/>
          <w:szCs w:val="22"/>
        </w:rPr>
      </w:pPr>
    </w:p>
    <w:p w:rsidR="25C06B38" w:rsidP="25C06B38" w:rsidRDefault="25C06B38" w14:paraId="5A65D351" w14:textId="0E9FC59C">
      <w:pPr>
        <w:jc w:val="center"/>
        <w:rPr>
          <w:rFonts w:ascii="Arial" w:hAnsi="Arial" w:eastAsia="Arial" w:cs="Arial" w:asciiTheme="minorAscii" w:hAnsiTheme="minorAscii" w:eastAsiaTheme="minorAscii" w:cstheme="minorAscii"/>
          <w:sz w:val="22"/>
          <w:szCs w:val="22"/>
        </w:rPr>
      </w:pPr>
    </w:p>
    <w:p w:rsidR="25C06B38" w:rsidP="25C06B38" w:rsidRDefault="25C06B38" w14:paraId="6E7C0253" w14:textId="0DDFCD9A">
      <w:pPr>
        <w:jc w:val="center"/>
        <w:rPr>
          <w:rFonts w:ascii="Arial" w:hAnsi="Arial" w:eastAsia="Arial" w:cs="Arial" w:asciiTheme="minorAscii" w:hAnsiTheme="minorAscii" w:eastAsiaTheme="minorAscii" w:cstheme="minorAscii"/>
          <w:sz w:val="22"/>
          <w:szCs w:val="22"/>
        </w:rPr>
      </w:pPr>
    </w:p>
    <w:p w:rsidR="25C06B38" w:rsidP="25C06B38" w:rsidRDefault="25C06B38" w14:paraId="241FA381" w14:textId="445FE448">
      <w:pPr>
        <w:jc w:val="center"/>
        <w:rPr>
          <w:rFonts w:ascii="Arial" w:hAnsi="Arial" w:eastAsia="Arial" w:cs="Arial" w:asciiTheme="minorAscii" w:hAnsiTheme="minorAscii" w:eastAsiaTheme="minorAscii" w:cstheme="minorAscii"/>
          <w:sz w:val="22"/>
          <w:szCs w:val="22"/>
        </w:rPr>
      </w:pPr>
    </w:p>
    <w:p w:rsidR="25C06B38" w:rsidP="25C06B38" w:rsidRDefault="25C06B38" w14:paraId="27B7D0E5" w14:textId="5AF51B01">
      <w:pPr>
        <w:jc w:val="center"/>
        <w:rPr>
          <w:rFonts w:ascii="Arial" w:hAnsi="Arial" w:eastAsia="Arial" w:cs="Arial" w:asciiTheme="minorAscii" w:hAnsiTheme="minorAscii" w:eastAsiaTheme="minorAscii" w:cstheme="minorAscii"/>
          <w:sz w:val="22"/>
          <w:szCs w:val="22"/>
        </w:rPr>
      </w:pPr>
    </w:p>
    <w:p w:rsidR="25C06B38" w:rsidP="25C06B38" w:rsidRDefault="25C06B38" w14:paraId="0DA93020" w14:textId="6BFEF11A">
      <w:pPr>
        <w:jc w:val="center"/>
        <w:rPr>
          <w:rFonts w:ascii="Arial" w:hAnsi="Arial" w:eastAsia="Arial" w:cs="Arial" w:asciiTheme="minorAscii" w:hAnsiTheme="minorAscii" w:eastAsiaTheme="minorAscii" w:cstheme="minorAscii"/>
          <w:sz w:val="22"/>
          <w:szCs w:val="22"/>
        </w:rPr>
      </w:pPr>
    </w:p>
    <w:p w:rsidR="25C06B38" w:rsidP="25C06B38" w:rsidRDefault="25C06B38" w14:paraId="23AC9D7D" w14:textId="59D6720F">
      <w:pPr>
        <w:jc w:val="center"/>
        <w:rPr>
          <w:rFonts w:ascii="Arial" w:hAnsi="Arial" w:eastAsia="Arial" w:cs="Arial" w:asciiTheme="minorAscii" w:hAnsiTheme="minorAscii" w:eastAsiaTheme="minorAscii" w:cstheme="minorAscii"/>
          <w:sz w:val="22"/>
          <w:szCs w:val="22"/>
        </w:rPr>
      </w:pPr>
    </w:p>
    <w:p w:rsidR="25C06B38" w:rsidP="25C06B38" w:rsidRDefault="25C06B38" w14:paraId="0FE8DE74" w14:textId="4D0DCA5B">
      <w:pPr>
        <w:pStyle w:val="Normal"/>
        <w:jc w:val="center"/>
        <w:rPr>
          <w:rFonts w:ascii="Arial" w:hAnsi="Arial" w:eastAsia="Arial" w:cs="Arial" w:asciiTheme="minorAscii" w:hAnsiTheme="minorAscii" w:eastAsiaTheme="minorAscii" w:cstheme="minorAscii"/>
          <w:sz w:val="22"/>
          <w:szCs w:val="22"/>
        </w:rPr>
      </w:pPr>
    </w:p>
    <w:p w:rsidR="2B6ABEC8" w:rsidP="25C06B38" w:rsidRDefault="2B6ABEC8" w14:paraId="6B3A0394" w14:textId="581EC3AA">
      <w:pPr>
        <w:pStyle w:val="Normal"/>
        <w:jc w:val="center"/>
      </w:pPr>
      <w:r w:rsidRPr="25C06B38" w:rsidR="2B6ABEC8">
        <w:rPr>
          <w:rFonts w:ascii="Arial" w:hAnsi="Arial" w:eastAsia="Arial" w:cs="Arial" w:asciiTheme="minorAscii" w:hAnsiTheme="minorAscii" w:eastAsiaTheme="minorAscii" w:cstheme="minorAscii"/>
          <w:sz w:val="22"/>
          <w:szCs w:val="22"/>
          <w:u w:val="single"/>
        </w:rPr>
        <w:t>Introduction</w:t>
      </w:r>
    </w:p>
    <w:p w:rsidR="72E3819F" w:rsidP="25C06B38" w:rsidRDefault="72E3819F" w14:paraId="150E05B5" w14:textId="27784D16">
      <w:pPr>
        <w:pStyle w:val="Normal"/>
        <w:spacing w:before="240" w:beforeAutospacing="off" w:after="240" w:afterAutospacing="off"/>
        <w:jc w:val="left"/>
        <w:rPr>
          <w:rFonts w:ascii="Source Sans Pro" w:hAnsi="Source Sans Pro" w:eastAsia="Source Sans Pro" w:cs="Source Sans Pro"/>
          <w:b w:val="0"/>
          <w:bCs w:val="0"/>
          <w:i w:val="0"/>
          <w:iCs w:val="0"/>
          <w:caps w:val="0"/>
          <w:smallCaps w:val="0"/>
          <w:noProof w:val="0"/>
          <w:lang w:val="en-GB"/>
        </w:rPr>
      </w:pPr>
      <w:r w:rsidRPr="25C06B38" w:rsidR="72E3819F">
        <w:rPr>
          <w:rFonts w:ascii="Arial" w:hAnsi="Arial" w:eastAsia="Arial" w:cs="Arial" w:asciiTheme="minorAscii" w:hAnsiTheme="minorAscii" w:eastAsiaTheme="minorAscii" w:cstheme="minorAscii"/>
          <w:b w:val="0"/>
          <w:bCs w:val="0"/>
          <w:noProof w:val="0"/>
          <w:sz w:val="22"/>
          <w:szCs w:val="22"/>
          <w:lang w:val="en-GB"/>
        </w:rPr>
        <w:t>Diabetes is a long</w:t>
      </w:r>
      <w:r>
        <w:noBreakHyphen/>
      </w:r>
      <w:r w:rsidRPr="25C06B38" w:rsidR="72E3819F">
        <w:rPr>
          <w:rFonts w:ascii="Arial" w:hAnsi="Arial" w:eastAsia="Arial" w:cs="Arial" w:asciiTheme="minorAscii" w:hAnsiTheme="minorAscii" w:eastAsiaTheme="minorAscii" w:cstheme="minorAscii"/>
          <w:b w:val="0"/>
          <w:bCs w:val="0"/>
          <w:noProof w:val="0"/>
          <w:sz w:val="22"/>
          <w:szCs w:val="22"/>
          <w:lang w:val="en-GB"/>
        </w:rPr>
        <w:t>lasting condition that affects the way the body manages blood sugar. Under normal circumstances, insulin moves glucose from the bloodstream into the cells so it can be used for energy. When someone has diabetes, the body may produce too little insulin or struggle to use it effectively. As a result, sugar builds up in the blood, and over time this can lead to various health issues</w:t>
      </w:r>
      <w:r w:rsidRPr="25C06B38" w:rsidR="3BA26265">
        <w:rPr>
          <w:rFonts w:ascii="Arial" w:hAnsi="Arial" w:eastAsia="Arial" w:cs="Arial" w:asciiTheme="minorAscii" w:hAnsiTheme="minorAscii" w:eastAsiaTheme="minorAscii" w:cstheme="minorAscii"/>
          <w:b w:val="0"/>
          <w:bCs w:val="0"/>
          <w:noProof w:val="0"/>
          <w:sz w:val="22"/>
          <w:szCs w:val="22"/>
          <w:lang w:val="en-GB"/>
        </w:rPr>
        <w:t xml:space="preserve"> </w:t>
      </w:r>
      <w:r w:rsidRPr="25C06B38" w:rsidR="3BA26265">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25C06B38" w:rsidR="3BA2626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Egan, A. M., &amp; Dinneen, S. F. 2022).</w:t>
      </w:r>
    </w:p>
    <w:p w:rsidR="72E3819F" w:rsidP="25C06B38" w:rsidRDefault="72E3819F" w14:paraId="271C76A6" w14:textId="753CD12D">
      <w:pPr>
        <w:spacing w:before="240" w:beforeAutospacing="off" w:after="24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25C06B38" w:rsidR="72E3819F">
        <w:rPr>
          <w:rFonts w:ascii="Arial" w:hAnsi="Arial" w:eastAsia="Arial" w:cs="Arial" w:asciiTheme="minorAscii" w:hAnsiTheme="minorAscii" w:eastAsiaTheme="minorAscii" w:cstheme="minorAscii"/>
          <w:b w:val="0"/>
          <w:bCs w:val="0"/>
          <w:noProof w:val="0"/>
          <w:sz w:val="22"/>
          <w:szCs w:val="22"/>
          <w:lang w:val="en-GB"/>
        </w:rPr>
        <w:t xml:space="preserve">There are two main forms of the condition. Type 1 </w:t>
      </w:r>
      <w:r w:rsidRPr="25C06B38" w:rsidR="2CEFE740">
        <w:rPr>
          <w:rFonts w:ascii="Arial" w:hAnsi="Arial" w:eastAsia="Arial" w:cs="Arial" w:asciiTheme="minorAscii" w:hAnsiTheme="minorAscii" w:eastAsiaTheme="minorAscii" w:cstheme="minorAscii"/>
          <w:b w:val="0"/>
          <w:bCs w:val="0"/>
          <w:noProof w:val="0"/>
          <w:sz w:val="22"/>
          <w:szCs w:val="22"/>
          <w:lang w:val="en-GB"/>
        </w:rPr>
        <w:t>diabetes</w:t>
      </w:r>
      <w:r w:rsidRPr="25C06B38" w:rsidR="72E3819F">
        <w:rPr>
          <w:rFonts w:ascii="Arial" w:hAnsi="Arial" w:eastAsia="Arial" w:cs="Arial" w:asciiTheme="minorAscii" w:hAnsiTheme="minorAscii" w:eastAsiaTheme="minorAscii" w:cstheme="minorAscii"/>
          <w:b w:val="0"/>
          <w:bCs w:val="0"/>
          <w:noProof w:val="0"/>
          <w:sz w:val="22"/>
          <w:szCs w:val="22"/>
          <w:lang w:val="en-GB"/>
        </w:rPr>
        <w:t xml:space="preserve"> </w:t>
      </w:r>
      <w:r w:rsidRPr="25C06B38" w:rsidR="72E3819F">
        <w:rPr>
          <w:rFonts w:ascii="Arial" w:hAnsi="Arial" w:eastAsia="Arial" w:cs="Arial" w:asciiTheme="minorAscii" w:hAnsiTheme="minorAscii" w:eastAsiaTheme="minorAscii" w:cstheme="minorAscii"/>
          <w:b w:val="0"/>
          <w:bCs w:val="0"/>
          <w:noProof w:val="0"/>
          <w:sz w:val="22"/>
          <w:szCs w:val="22"/>
          <w:lang w:val="en-GB"/>
        </w:rPr>
        <w:t>develops when the body stops making insulin altogether. T</w:t>
      </w:r>
      <w:r w:rsidRPr="25C06B38" w:rsidR="08D79619">
        <w:rPr>
          <w:rFonts w:ascii="Arial" w:hAnsi="Arial" w:eastAsia="Arial" w:cs="Arial" w:asciiTheme="minorAscii" w:hAnsiTheme="minorAscii" w:eastAsiaTheme="minorAscii" w:cstheme="minorAscii"/>
          <w:b w:val="0"/>
          <w:bCs w:val="0"/>
          <w:noProof w:val="0"/>
          <w:sz w:val="22"/>
          <w:szCs w:val="22"/>
          <w:lang w:val="en-GB"/>
        </w:rPr>
        <w:t>ype 2 diabetes</w:t>
      </w:r>
      <w:r w:rsidRPr="25C06B38" w:rsidR="72E3819F">
        <w:rPr>
          <w:rFonts w:ascii="Arial" w:hAnsi="Arial" w:eastAsia="Arial" w:cs="Arial" w:asciiTheme="minorAscii" w:hAnsiTheme="minorAscii" w:eastAsiaTheme="minorAscii" w:cstheme="minorAscii"/>
          <w:b w:val="0"/>
          <w:bCs w:val="0"/>
          <w:noProof w:val="0"/>
          <w:sz w:val="22"/>
          <w:szCs w:val="22"/>
          <w:lang w:val="en-GB"/>
        </w:rPr>
        <w:t xml:space="preserve"> </w:t>
      </w:r>
      <w:r w:rsidRPr="25C06B38" w:rsidR="72E3819F">
        <w:rPr>
          <w:rFonts w:ascii="Arial" w:hAnsi="Arial" w:eastAsia="Arial" w:cs="Arial" w:asciiTheme="minorAscii" w:hAnsiTheme="minorAscii" w:eastAsiaTheme="minorAscii" w:cstheme="minorAscii"/>
          <w:b w:val="0"/>
          <w:bCs w:val="0"/>
          <w:noProof w:val="0"/>
          <w:sz w:val="22"/>
          <w:szCs w:val="22"/>
          <w:lang w:val="en-GB"/>
        </w:rPr>
        <w:t>occurs when the body becomes less responsive to insulin or</w:t>
      </w:r>
      <w:r w:rsidRPr="25C06B38" w:rsidR="72E3819F">
        <w:rPr>
          <w:rFonts w:ascii="Arial" w:hAnsi="Arial" w:eastAsia="Arial" w:cs="Arial" w:asciiTheme="minorAscii" w:hAnsiTheme="minorAscii" w:eastAsiaTheme="minorAscii" w:cstheme="minorAscii"/>
          <w:b w:val="0"/>
          <w:bCs w:val="0"/>
          <w:noProof w:val="0"/>
          <w:sz w:val="22"/>
          <w:szCs w:val="22"/>
          <w:lang w:val="en-GB"/>
        </w:rPr>
        <w:t xml:space="preserve"> doesn’</w:t>
      </w:r>
      <w:r w:rsidRPr="25C06B38" w:rsidR="72E3819F">
        <w:rPr>
          <w:rFonts w:ascii="Arial" w:hAnsi="Arial" w:eastAsia="Arial" w:cs="Arial" w:asciiTheme="minorAscii" w:hAnsiTheme="minorAscii" w:eastAsiaTheme="minorAscii" w:cstheme="minorAscii"/>
          <w:b w:val="0"/>
          <w:bCs w:val="0"/>
          <w:noProof w:val="0"/>
          <w:sz w:val="22"/>
          <w:szCs w:val="22"/>
          <w:lang w:val="en-GB"/>
        </w:rPr>
        <w:t>t produce enough to keep blood sugar at a healthy level.</w:t>
      </w:r>
    </w:p>
    <w:p w:rsidR="72E3819F" w:rsidP="25C06B38" w:rsidRDefault="72E3819F" w14:paraId="1ACD2C16" w14:textId="5D6B23E8">
      <w:pPr>
        <w:spacing w:before="240" w:beforeAutospacing="off" w:after="240" w:afterAutospacing="off"/>
        <w:jc w:val="left"/>
        <w:rPr>
          <w:rFonts w:ascii="Arial" w:hAnsi="Arial" w:eastAsia="Arial" w:cs="Arial" w:asciiTheme="minorAscii" w:hAnsiTheme="minorAscii" w:eastAsiaTheme="minorAscii" w:cstheme="minorAscii"/>
          <w:b w:val="0"/>
          <w:bCs w:val="0"/>
          <w:noProof w:val="0"/>
          <w:sz w:val="22"/>
          <w:szCs w:val="22"/>
          <w:lang w:val="en-GB"/>
        </w:rPr>
      </w:pPr>
      <w:r w:rsidRPr="25C06B38" w:rsidR="72E3819F">
        <w:rPr>
          <w:rFonts w:ascii="Arial" w:hAnsi="Arial" w:eastAsia="Arial" w:cs="Arial" w:asciiTheme="minorAscii" w:hAnsiTheme="minorAscii" w:eastAsiaTheme="minorAscii" w:cstheme="minorAscii"/>
          <w:b w:val="0"/>
          <w:bCs w:val="0"/>
          <w:noProof w:val="0"/>
          <w:sz w:val="22"/>
          <w:szCs w:val="22"/>
          <w:lang w:val="en-GB"/>
        </w:rPr>
        <w:t>Typical symptoms include increased thirst, frequent urination, tiredness, slow</w:t>
      </w:r>
      <w:r>
        <w:noBreakHyphen/>
      </w:r>
      <w:r w:rsidRPr="25C06B38" w:rsidR="72E3819F">
        <w:rPr>
          <w:rFonts w:ascii="Arial" w:hAnsi="Arial" w:eastAsia="Arial" w:cs="Arial" w:asciiTheme="minorAscii" w:hAnsiTheme="minorAscii" w:eastAsiaTheme="minorAscii" w:cstheme="minorAscii"/>
          <w:b w:val="0"/>
          <w:bCs w:val="0"/>
          <w:noProof w:val="0"/>
          <w:sz w:val="22"/>
          <w:szCs w:val="22"/>
          <w:lang w:val="en-GB"/>
        </w:rPr>
        <w:t>healing cuts, blurred vision, and unexpected weight loss. In many cases—especially with Type 2—people may not notice any symptoms at first. Spotting diabetes early and getting the right treatment is important to reduce the risk of long</w:t>
      </w:r>
      <w:r>
        <w:noBreakHyphen/>
      </w:r>
      <w:r w:rsidRPr="25C06B38" w:rsidR="72E3819F">
        <w:rPr>
          <w:rFonts w:ascii="Arial" w:hAnsi="Arial" w:eastAsia="Arial" w:cs="Arial" w:asciiTheme="minorAscii" w:hAnsiTheme="minorAscii" w:eastAsiaTheme="minorAscii" w:cstheme="minorAscii"/>
          <w:b w:val="0"/>
          <w:bCs w:val="0"/>
          <w:noProof w:val="0"/>
          <w:sz w:val="22"/>
          <w:szCs w:val="22"/>
          <w:lang w:val="en-GB"/>
        </w:rPr>
        <w:t>term complications.</w:t>
      </w:r>
    </w:p>
    <w:p w:rsidR="25C06B38" w:rsidP="25C06B38" w:rsidRDefault="25C06B38" w14:paraId="2F4E2EAE" w14:textId="68DB58BD">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5C06B38" w:rsidP="25C06B38" w:rsidRDefault="25C06B38" w14:paraId="1C8F96C5" w14:textId="3A9F0E0B">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6006632B" w14:textId="7B23E73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1FA0E41D" w14:textId="4E140FC8">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5B8AABC4" w14:textId="590FDFF1">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1827EC20" w14:textId="19BC2755">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4D5A68F9" w14:textId="20873832">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105613B3" w14:textId="190941E9">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5A3F397E" w14:textId="48122604">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431C78D3" w14:textId="14A1656E">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0E136ADD" w14:textId="4A3D1CC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7E67AA34" w14:textId="18B60A52">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42460078" w14:textId="35F81289">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1E53842D" w14:textId="2653D780">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00A6F2A1" w14:textId="4A4FFC2D">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50711F42" w14:textId="3018876E">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436513A7" w14:textId="0CF8C06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1AB1005D" w14:textId="500FF96B">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0674E7B6" w14:textId="232FF09A">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0389CE8A" w14:textId="69E343D6">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2E320693" w14:textId="607D1CD6">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2C1ADEE2" w14:textId="610FB943">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25C06B38" w:rsidP="25C06B38" w:rsidRDefault="25C06B38" w14:paraId="66541DA9" w14:textId="2593BB4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43511FB0" w:rsidP="25C06B38" w:rsidRDefault="43511FB0" w14:paraId="456A9766" w14:textId="0423FB57">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r w:rsidRPr="25C06B38" w:rsidR="43511FB0">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43511FB0">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Main Body</w:t>
      </w:r>
    </w:p>
    <w:p w:rsidR="25C06B38" w:rsidP="25C06B38" w:rsidRDefault="25C06B38" w14:paraId="3A55D9C4" w14:textId="62AC2EA1">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p>
    <w:p w:rsidR="476B8B0E" w:rsidP="25C06B38" w:rsidRDefault="476B8B0E" w14:paraId="498FD5A3" w14:textId="53B62308">
      <w:pPr>
        <w:pStyle w:val="Normal"/>
        <w:spacing w:before="240" w:beforeAutospacing="off" w:after="240" w:afterAutospacing="off"/>
        <w:jc w:val="left"/>
      </w:pP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Diabetes is one of the most common long</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term health conditions worldwide</w:t>
      </w:r>
      <w:r w:rsidRPr="25C06B38" w:rsidR="6505C813">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6C064B7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(Hickman, E., Gillies, C., </w:t>
      </w:r>
      <w:r w:rsidRPr="25C06B38" w:rsidR="6C064B7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Khunti</w:t>
      </w:r>
      <w:r w:rsidRPr="25C06B38" w:rsidR="6C064B7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K., &amp; Seidu, S.  2026).</w:t>
      </w:r>
      <w:r w:rsidRPr="25C06B38" w:rsidR="22BD8C26">
        <w:rPr>
          <w:rFonts w:ascii="Source Sans Pro" w:hAnsi="Source Sans Pro" w:eastAsia="Source Sans Pro" w:cs="Source Sans Pro"/>
          <w:noProof w:val="0"/>
          <w:sz w:val="22"/>
          <w:szCs w:val="22"/>
          <w:lang w:val="en-GB"/>
        </w:rPr>
        <w:t xml:space="preserve"> The increase in Type 2 diabetes has been closely tied to modern lifestyle habits, including greater reliance on processed foods and reduced physical activity. Global health bodies report that hundreds of millions of people are living with diabetes worldwide, and the figures continue to climb each year. Type 2 diabetes is far more widespread than Type 1 and is strongly associated with everyday factors such as diet, exercise levels, and body weight.</w:t>
      </w:r>
    </w:p>
    <w:p w:rsidR="22BD8C26" w:rsidP="25C06B38" w:rsidRDefault="22BD8C26" w14:paraId="5F8E67A1" w14:textId="67FA74DE">
      <w:pPr>
        <w:spacing w:before="240" w:beforeAutospacing="off" w:after="24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5C06B38" w:rsidR="22BD8C26">
        <w:rPr>
          <w:rFonts w:ascii="Source Sans Pro" w:hAnsi="Source Sans Pro" w:eastAsia="Source Sans Pro" w:cs="Source Sans Pro"/>
          <w:noProof w:val="0"/>
          <w:sz w:val="22"/>
          <w:szCs w:val="22"/>
          <w:lang w:val="en-GB"/>
        </w:rPr>
        <w:t>In the UK, diabetes has become a significant public health concern. Millions have already been diagnosed, and many more are believed to have the condition without realising it. The growing number of undetected cases highlights how important awareness and early intervention have become.</w:t>
      </w:r>
      <w:r w:rsidRPr="25C06B38" w:rsidR="7BE5B50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rise in Type 2 diabetes is linked to change</w:t>
      </w:r>
      <w:r w:rsidRPr="25C06B38" w:rsidR="7BE5B50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049532B0">
        <w:rPr>
          <w:rFonts w:ascii="Arial" w:hAnsi="Arial" w:eastAsia="Arial" w:cs="Arial" w:asciiTheme="minorAscii" w:hAnsiTheme="minorAscii" w:eastAsiaTheme="minorAscii" w:cstheme="minorAscii"/>
          <w:noProof w:val="0"/>
          <w:color w:val="000000" w:themeColor="text1" w:themeTint="FF" w:themeShade="FF"/>
          <w:sz w:val="22"/>
          <w:szCs w:val="22"/>
          <w:lang w:val="en-GB"/>
        </w:rPr>
        <w:t>due to</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physical activity, and higher rates of obesity</w:t>
      </w:r>
      <w:r w:rsidRPr="25C06B38" w:rsidR="1AA4B7F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1AA4B7FA">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Simpson, R. W., Shaw, J. E., &amp; Zimmet, P. Z. 2003)</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The severity of diabetes is seen in the complications it can cause, such as heart disease, kidney problems, nerve damage, and sight loss. These complications place pressure on health and social care services and affect individuals, families, and communities.</w:t>
      </w:r>
    </w:p>
    <w:p w:rsidR="3841BA78" w:rsidP="25C06B38" w:rsidRDefault="3841BA78" w14:paraId="69D7AC2B" w14:textId="6CE052C3">
      <w:pPr>
        <w:spacing w:before="240" w:beforeAutospacing="off" w:after="240" w:afterAutospacing="off"/>
        <w:jc w:val="left"/>
      </w:pPr>
      <w:r w:rsidRPr="25C06B38" w:rsidR="3841BA78">
        <w:rPr>
          <w:rFonts w:ascii="Arial" w:hAnsi="Arial" w:eastAsia="Arial" w:cs="Arial"/>
          <w:noProof w:val="0"/>
          <w:sz w:val="22"/>
          <w:szCs w:val="22"/>
          <w:lang w:val="en-GB"/>
        </w:rPr>
        <w:t>Health professionals use a range of checks to diagnose and monitor diabetes. A basic blood glucose test measures the amount of sugar in the blood, either through a quick finger</w:t>
      </w:r>
      <w:r>
        <w:noBreakHyphen/>
      </w:r>
      <w:r w:rsidRPr="25C06B38" w:rsidR="3841BA78">
        <w:rPr>
          <w:rFonts w:ascii="Arial" w:hAnsi="Arial" w:eastAsia="Arial" w:cs="Arial"/>
          <w:noProof w:val="0"/>
          <w:sz w:val="22"/>
          <w:szCs w:val="22"/>
          <w:lang w:val="en-GB"/>
        </w:rPr>
        <w:t>prick or a lab sample. Another key test is the HbA1c, which shows a person’s average blood sugar over the previous few months and gives a clearer picture of long</w:t>
      </w:r>
      <w:r>
        <w:noBreakHyphen/>
      </w:r>
      <w:r w:rsidRPr="25C06B38" w:rsidR="3841BA78">
        <w:rPr>
          <w:rFonts w:ascii="Arial" w:hAnsi="Arial" w:eastAsia="Arial" w:cs="Arial"/>
          <w:noProof w:val="0"/>
          <w:sz w:val="22"/>
          <w:szCs w:val="22"/>
          <w:lang w:val="en-GB"/>
        </w:rPr>
        <w:t>term control.</w:t>
      </w:r>
    </w:p>
    <w:p w:rsidR="3841BA78" w:rsidP="25C06B38" w:rsidRDefault="3841BA78" w14:paraId="34FDA570" w14:textId="29771A4A">
      <w:pPr>
        <w:spacing w:before="240" w:beforeAutospacing="off" w:after="240" w:afterAutospacing="off"/>
        <w:jc w:val="left"/>
      </w:pPr>
      <w:r w:rsidRPr="25C06B38" w:rsidR="3841BA78">
        <w:rPr>
          <w:rFonts w:ascii="Arial" w:hAnsi="Arial" w:eastAsia="Arial" w:cs="Arial"/>
          <w:noProof w:val="0"/>
          <w:sz w:val="22"/>
          <w:szCs w:val="22"/>
          <w:lang w:val="en-GB"/>
        </w:rPr>
        <w:t xml:space="preserve">Because diabetes can affect </w:t>
      </w:r>
      <w:r w:rsidRPr="25C06B38" w:rsidR="3841BA78">
        <w:rPr>
          <w:rFonts w:ascii="Arial" w:hAnsi="Arial" w:eastAsia="Arial" w:cs="Arial"/>
          <w:noProof w:val="0"/>
          <w:sz w:val="22"/>
          <w:szCs w:val="22"/>
          <w:lang w:val="en-GB"/>
        </w:rPr>
        <w:t>different parts</w:t>
      </w:r>
      <w:r w:rsidRPr="25C06B38" w:rsidR="3841BA78">
        <w:rPr>
          <w:rFonts w:ascii="Arial" w:hAnsi="Arial" w:eastAsia="Arial" w:cs="Arial"/>
          <w:noProof w:val="0"/>
          <w:sz w:val="22"/>
          <w:szCs w:val="22"/>
          <w:lang w:val="en-GB"/>
        </w:rPr>
        <w:t xml:space="preserve"> of the body, </w:t>
      </w:r>
      <w:r w:rsidRPr="25C06B38" w:rsidR="3841BA78">
        <w:rPr>
          <w:rFonts w:ascii="Arial" w:hAnsi="Arial" w:eastAsia="Arial" w:cs="Arial"/>
          <w:noProof w:val="0"/>
          <w:sz w:val="22"/>
          <w:szCs w:val="22"/>
          <w:lang w:val="en-GB"/>
        </w:rPr>
        <w:t>monitoring</w:t>
      </w:r>
      <w:r w:rsidRPr="25C06B38" w:rsidR="3841BA78">
        <w:rPr>
          <w:rFonts w:ascii="Arial" w:hAnsi="Arial" w:eastAsia="Arial" w:cs="Arial"/>
          <w:noProof w:val="0"/>
          <w:sz w:val="22"/>
          <w:szCs w:val="22"/>
          <w:lang w:val="en-GB"/>
        </w:rPr>
        <w:t xml:space="preserve"> often includes blood pressure, cholesterol, kidney tests, and eye examinations. In the UK, people with diabetes are offered yearly reviews where these checks are carried out. Public health organisations also track diabetes rates and how well the condition is being managed, helping shape national policies and local support services.</w:t>
      </w:r>
    </w:p>
    <w:p w:rsidR="476B8B0E" w:rsidP="25C06B38" w:rsidRDefault="476B8B0E" w14:paraId="6880BD17" w14:textId="6EE08041">
      <w:pPr>
        <w:pStyle w:val="Normal"/>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Controlling diabetes involves a mix of lifestyle changes, medication, and regular monitoring. For Type 1 diabetes, insulin injections are essential because the body cannot produce insulin. People may use insulin pens or pumps to manage their blood sugar throughout the day. For Type 2 diabetes, lifestyle changes are often the first step. Eating a balanced diet, being physically active, and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maintaining</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 healthy weight can help improve insulin use in the body. Some people may also need medication to help lower blood sugar levels</w:t>
      </w:r>
      <w:r w:rsidRPr="25C06B38" w:rsidR="2E643A9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1DD8E0A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Brekke, H. K., Jansson, P. A., Mansson, J. E., &amp; Lenner, R. A. 2003</w:t>
      </w:r>
      <w:r w:rsidRPr="25C06B38" w:rsidR="2E643A9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25C06B38" w:rsidR="4F939E2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more advanced cases, insulin may also be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required</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Education plays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a big role</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in diabetes control. Programmes teach people how to manage their condition, understand their medication, and make healthier choices. In the UK, structured education programmes such as DESMOND and DAFNE support people with Type 1 and Type 2 diabetes. These programmes help individuals learn practical skills to manage their condition day</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to</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day.</w:t>
      </w:r>
    </w:p>
    <w:p w:rsidR="476B8B0E" w:rsidP="25C06B38" w:rsidRDefault="476B8B0E" w14:paraId="74AEF23B" w14:textId="7EE44AA1">
      <w:pPr>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Diabetes can affect many areas of a person’s life. Physically, it can lead to complications such as heart disease, stroke, kidney failure, nerve damage, and problems with eyesight. These complications can reduce quality of life and may require </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long</w:t>
      </w:r>
      <w:r>
        <w:noBreakHyphen/>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term</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medical treatment. Emotionally, living with diabetes can be challenging. People may feel stressed about managing their condition, especially if they need to </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monitor</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their blood sugar regularly or take medication every day. Some may feel anxious about </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possible complications</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Socially, diabetes can affect work, family life, and daily routines. For example, someone may need to plan meals carefully, take breaks to check their blood sugar, or attend regular medical appointments. In communities, </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high levels</w:t>
      </w:r>
      <w:r w:rsidRPr="25C06B38" w:rsidR="476B8B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diabetes can place pressure on health and social care services. More people may need support from GPs, nurses, dietitians, and specialist clinics. This increases demand for resources and can affect waiting times and service availability.</w:t>
      </w:r>
    </w:p>
    <w:p w:rsidR="7F6E80E1" w:rsidP="25C06B38" w:rsidRDefault="7F6E80E1" w14:paraId="7B1F2176" w14:textId="39E05185">
      <w:pPr>
        <w:spacing w:before="240" w:beforeAutospacing="off" w:after="240" w:afterAutospacing="off"/>
        <w:jc w:val="left"/>
      </w:pPr>
      <w:r w:rsidRPr="25C06B38" w:rsidR="7F6E80E1">
        <w:rPr>
          <w:rFonts w:ascii="Arial" w:hAnsi="Arial" w:eastAsia="Arial" w:cs="Arial"/>
          <w:noProof w:val="0"/>
          <w:sz w:val="22"/>
          <w:szCs w:val="22"/>
          <w:lang w:val="en-GB"/>
        </w:rPr>
        <w:t>People living with diabetes often rely on support from a variety of health and social care professionals. GPs and practice nurses are usually the first point of contact, handling diagnosis, regular monitoring, medication reviews, and general advice. Dietitians help people understand how food choices influence blood sugar and guide them toward healthier eating habits. Diabetes specialist nurses provide more in</w:t>
      </w:r>
      <w:r>
        <w:noBreakHyphen/>
      </w:r>
      <w:r w:rsidRPr="25C06B38" w:rsidR="7F6E80E1">
        <w:rPr>
          <w:rFonts w:ascii="Arial" w:hAnsi="Arial" w:eastAsia="Arial" w:cs="Arial"/>
          <w:noProof w:val="0"/>
          <w:sz w:val="22"/>
          <w:szCs w:val="22"/>
          <w:lang w:val="en-GB"/>
        </w:rPr>
        <w:t>depth support, particularly for those who use insulin or need help adjusting their treatment.</w:t>
      </w:r>
    </w:p>
    <w:p w:rsidR="7F6E80E1" w:rsidP="25C06B38" w:rsidRDefault="7F6E80E1" w14:paraId="757C26D1" w14:textId="78B613DA">
      <w:pPr>
        <w:spacing w:before="240" w:beforeAutospacing="off" w:after="240" w:afterAutospacing="off"/>
        <w:jc w:val="left"/>
      </w:pPr>
      <w:r w:rsidRPr="25C06B38" w:rsidR="7F6E80E1">
        <w:rPr>
          <w:rFonts w:ascii="Arial" w:hAnsi="Arial" w:eastAsia="Arial" w:cs="Arial"/>
          <w:noProof w:val="0"/>
          <w:sz w:val="22"/>
          <w:szCs w:val="22"/>
          <w:lang w:val="en-GB"/>
        </w:rPr>
        <w:t>Eye screening teams check for early signs of diabetic eye disease to reduce the risk of sight problems, while podiatrists focus on foot health, as diabetes can lead to nerve damage and poor circulation. Social care may also become involved when someone needs help with daily activities due to complications. Community groups and local support networks offer emotional encouragement and practical tips. Together, these services help people manage their condition, stay independent, and maintain a good quality of life.</w:t>
      </w:r>
    </w:p>
    <w:p w:rsidR="25C06B38" w:rsidP="25C06B38" w:rsidRDefault="25C06B38" w14:paraId="26D49B58" w14:textId="6CCB4D71">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476B8B0E" w:rsidP="25C06B38" w:rsidRDefault="476B8B0E" w14:paraId="154E6D7B" w14:textId="6F2A48DA">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Professionals working with people who have diabetes can take several practical steps to meet their needs. First, they can provide clear and simple information about the condition, helping individuals understand what diabetes is and how it affects the body. Second, they can support people in making lifestyle changes by offering guidance on diet, exercise, and weight management</w:t>
      </w:r>
      <w:r w:rsidRPr="25C06B38" w:rsidR="5A8947F7">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Overwijk</w:t>
      </w:r>
      <w:r w:rsidRPr="25C06B38"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 Putten, A. A. J., </w:t>
      </w:r>
      <w:r w:rsidRPr="25C06B38"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Schans</w:t>
      </w:r>
      <w:r w:rsidRPr="25C06B38"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C. P., Willems, M., Hilgenkamp, T. I. M., and </w:t>
      </w:r>
      <w:r w:rsidRPr="25C06B38"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Waninge</w:t>
      </w:r>
      <w:r w:rsidRPr="25C06B38" w:rsidR="5A8947F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A. 2021).</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Third, professionals can ensure regular monitoring by arranging tests and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follow</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up</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appointments. Fourth, they can work together across different services to provide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joined</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up</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care. For example, GPs, nurses, dietitians, and social workers can share information to make sure the person receives consistent support. Fifth, professionals can encourage individuals to attend education programmes that teach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self</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management</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skills. Finally, they can offer emotional support by listening to concerns and helping people cope with the challenges of living with a </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long</w:t>
      </w:r>
      <w:r>
        <w:noBreakHyphen/>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term</w:t>
      </w:r>
      <w:r w:rsidRPr="25C06B38" w:rsidR="476B8B0E">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condition. These steps help improve health outcomes and reduce the risk of complications.</w:t>
      </w:r>
    </w:p>
    <w:p w:rsidR="25C06B38" w:rsidP="25C06B38" w:rsidRDefault="25C06B38" w14:paraId="41BA51B5" w14:textId="320AFF7F">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7D4409EA" w:rsidP="25C06B38" w:rsidRDefault="7D4409EA" w14:paraId="5F19E626" w14:textId="25AA221B">
      <w:pPr>
        <w:pStyle w:val="Normal"/>
        <w:shd w:val="clear" w:color="auto" w:fill="FFFFFF" w:themeFill="background1"/>
        <w:spacing w:before="0" w:beforeAutospacing="off" w:after="0" w:afterAutospacing="off"/>
        <w:jc w:val="left"/>
      </w:pPr>
      <w:r w:rsidRPr="25C06B38" w:rsidR="7D4409E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7D4409EA">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5C06B38" w:rsidR="7D4409EA">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Conclusion</w:t>
      </w:r>
    </w:p>
    <w:p w:rsidR="25C06B38" w:rsidP="25C06B38" w:rsidRDefault="25C06B38" w14:paraId="199756C1" w14:textId="6554BF40">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pPr>
    </w:p>
    <w:p w:rsidR="25C06B38" w:rsidP="25C06B38" w:rsidRDefault="25C06B38" w14:paraId="0F14857C" w14:textId="087AB9E4">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p>
    <w:p w:rsidR="3ECAA59F" w:rsidP="25C06B38" w:rsidRDefault="3ECAA59F" w14:paraId="5263934E" w14:textId="44AB5790">
      <w:pPr>
        <w:pStyle w:val="Normal"/>
        <w:shd w:val="clear" w:color="auto" w:fill="FFFFFF" w:themeFill="background1"/>
        <w:spacing w:before="0" w:beforeAutospacing="off" w:after="0" w:afterAutospacing="off"/>
        <w:jc w:val="left"/>
      </w:pPr>
      <w:r w:rsidRPr="25C06B38" w:rsidR="3ECAA59F">
        <w:rPr>
          <w:rFonts w:ascii="Aptos" w:hAnsi="Aptos" w:eastAsia="Aptos" w:cs="Aptos"/>
          <w:noProof w:val="0"/>
          <w:color w:val="000000" w:themeColor="text1" w:themeTint="FF" w:themeShade="FF"/>
          <w:sz w:val="24"/>
          <w:szCs w:val="24"/>
          <w:lang w:val="en-GB"/>
        </w:rPr>
        <w:t>Diabetes is a common and serious condition that affects many people in the UK and around the world. It happens when the body cannot control blood sugar properly, leading to long</w:t>
      </w:r>
      <w:r>
        <w:noBreakHyphen/>
      </w:r>
      <w:r w:rsidRPr="25C06B38" w:rsidR="3ECAA59F">
        <w:rPr>
          <w:rFonts w:ascii="Aptos" w:hAnsi="Aptos" w:eastAsia="Aptos" w:cs="Aptos"/>
          <w:noProof w:val="0"/>
          <w:color w:val="000000" w:themeColor="text1" w:themeTint="FF" w:themeShade="FF"/>
          <w:sz w:val="24"/>
          <w:szCs w:val="24"/>
          <w:lang w:val="en-GB"/>
        </w:rPr>
        <w:t>term health problems if not managed well. Understanding the signs and symptoms helps with early diagnosis, which is important for preventing complications. Measuring and monitoring diabetes through regular tests supports good management and helps professionals track the condition over time. Control involves lifestyle changes, medication, and education, all of which help individuals stay healthy. Diabetes has wide</w:t>
      </w:r>
      <w:r>
        <w:noBreakHyphen/>
      </w:r>
      <w:r w:rsidRPr="25C06B38" w:rsidR="3ECAA59F">
        <w:rPr>
          <w:rFonts w:ascii="Aptos" w:hAnsi="Aptos" w:eastAsia="Aptos" w:cs="Aptos"/>
          <w:noProof w:val="0"/>
          <w:color w:val="000000" w:themeColor="text1" w:themeTint="FF" w:themeShade="FF"/>
          <w:sz w:val="24"/>
          <w:szCs w:val="24"/>
          <w:lang w:val="en-GB"/>
        </w:rPr>
        <w:t>ranging effects on physical, emotional, and social well</w:t>
      </w:r>
      <w:r>
        <w:noBreakHyphen/>
      </w:r>
      <w:r w:rsidRPr="25C06B38" w:rsidR="3ECAA59F">
        <w:rPr>
          <w:rFonts w:ascii="Aptos" w:hAnsi="Aptos" w:eastAsia="Aptos" w:cs="Aptos"/>
          <w:noProof w:val="0"/>
          <w:color w:val="000000" w:themeColor="text1" w:themeTint="FF" w:themeShade="FF"/>
          <w:sz w:val="24"/>
          <w:szCs w:val="24"/>
          <w:lang w:val="en-GB"/>
        </w:rPr>
        <w:t xml:space="preserve">being, and it places pressure on health and social care services. A range of professionals work together to support individuals, offering medical care, practical advice, and emotional support. With the right help, people with diabetes can manage their condition and </w:t>
      </w:r>
      <w:r w:rsidRPr="25C06B38" w:rsidR="3ECAA59F">
        <w:rPr>
          <w:rFonts w:ascii="Aptos" w:hAnsi="Aptos" w:eastAsia="Aptos" w:cs="Aptos"/>
          <w:noProof w:val="0"/>
          <w:color w:val="000000" w:themeColor="text1" w:themeTint="FF" w:themeShade="FF"/>
          <w:sz w:val="24"/>
          <w:szCs w:val="24"/>
          <w:lang w:val="en-GB"/>
        </w:rPr>
        <w:t>maintain</w:t>
      </w:r>
      <w:r w:rsidRPr="25C06B38" w:rsidR="3ECAA59F">
        <w:rPr>
          <w:rFonts w:ascii="Aptos" w:hAnsi="Aptos" w:eastAsia="Aptos" w:cs="Aptos"/>
          <w:noProof w:val="0"/>
          <w:color w:val="000000" w:themeColor="text1" w:themeTint="FF" w:themeShade="FF"/>
          <w:sz w:val="24"/>
          <w:szCs w:val="24"/>
          <w:lang w:val="en-GB"/>
        </w:rPr>
        <w:t xml:space="preserve"> a good </w:t>
      </w:r>
      <w:r w:rsidRPr="25C06B38" w:rsidR="3ECAA59F">
        <w:rPr>
          <w:rFonts w:ascii="Aptos" w:hAnsi="Aptos" w:eastAsia="Aptos" w:cs="Aptos"/>
          <w:noProof w:val="0"/>
          <w:color w:val="000000" w:themeColor="text1" w:themeTint="FF" w:themeShade="FF"/>
          <w:sz w:val="24"/>
          <w:szCs w:val="24"/>
          <w:lang w:val="en-GB"/>
        </w:rPr>
        <w:t>quali</w:t>
      </w:r>
      <w:r w:rsidRPr="25C06B38" w:rsidR="3ECAA59F">
        <w:rPr>
          <w:rFonts w:ascii="Aptos" w:hAnsi="Aptos" w:eastAsia="Aptos" w:cs="Aptos"/>
          <w:noProof w:val="0"/>
          <w:color w:val="000000" w:themeColor="text1" w:themeTint="FF" w:themeShade="FF"/>
          <w:sz w:val="24"/>
          <w:szCs w:val="24"/>
          <w:lang w:val="en-GB"/>
        </w:rPr>
        <w:t>ty of life.</w:t>
      </w:r>
    </w:p>
    <w:p w:rsidR="25C06B38" w:rsidP="25C06B38" w:rsidRDefault="25C06B38" w14:paraId="65C2B6A6" w14:textId="0551100C">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0CC84BA6" w14:textId="47378646">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4F8B8B60" w14:textId="44350995">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2B89E73F" w14:textId="59BA1E8E">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3E0A81B6" w14:textId="1629D985">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3B4EF724" w14:textId="1FAF2D9A">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0AB53A07" w14:textId="6A427186">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5F9DB1A1" w14:textId="338140C2">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1757F5E0" w14:textId="730BEB9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4D99C67D" w14:textId="328E04E9">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729F861B" w14:textId="302367DC">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4D6D5688" w14:textId="3F890E9E">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342B80F8" w14:textId="16C8A90D">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4927DADD" w14:textId="0268EBD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7AE5F0C9" w14:textId="481D87AB">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18C64B2E" w14:textId="63CDD0F6">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586496F3" w14:textId="731326D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268468B0" w14:textId="0D237D01">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610DFD0F" w14:textId="6F07AC5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48BE1FB1" w14:textId="23C32E4D">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10B47BD0" w14:textId="1ED18CCC">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33621144" w14:textId="2109B287">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17103C8F" w14:textId="4BED07E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26AD8BAC" w14:textId="351C41EB">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6A0CF5C5" w14:textId="00327C0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58366028" w14:textId="7EF557AE">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07EE9D63" w14:textId="4077D8F3">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562D49A4" w14:textId="1CA99600">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25C06B38" w:rsidP="25C06B38" w:rsidRDefault="25C06B38" w14:paraId="0D1A8BE9" w14:textId="3C8A5939">
      <w:pPr>
        <w:pStyle w:val="Normal"/>
        <w:shd w:val="clear" w:color="auto" w:fill="FFFFFF" w:themeFill="background1"/>
        <w:spacing w:before="0" w:beforeAutospacing="off" w:after="0" w:afterAutospacing="off"/>
        <w:jc w:val="left"/>
        <w:rPr>
          <w:rFonts w:ascii="Aptos" w:hAnsi="Aptos" w:eastAsia="Aptos" w:cs="Aptos"/>
          <w:noProof w:val="0"/>
          <w:color w:val="000000" w:themeColor="text1" w:themeTint="FF" w:themeShade="FF"/>
          <w:sz w:val="24"/>
          <w:szCs w:val="24"/>
          <w:lang w:val="en-GB"/>
        </w:rPr>
      </w:pPr>
    </w:p>
    <w:p w:rsidR="0072899A" w:rsidP="25C06B38" w:rsidRDefault="0072899A" w14:paraId="7B55D7F0" w14:textId="3F2D3D76">
      <w:pPr>
        <w:pStyle w:val="Normal"/>
        <w:shd w:val="clear" w:color="auto" w:fill="FFFFFF" w:themeFill="background1"/>
        <w:spacing w:before="0" w:beforeAutospacing="off" w:after="0" w:afterAutospacing="off"/>
        <w:jc w:val="left"/>
      </w:pPr>
      <w:r w:rsidRPr="25C06B38" w:rsidR="0072899A">
        <w:rPr>
          <w:rFonts w:ascii="Aptos" w:hAnsi="Aptos" w:eastAsia="Aptos" w:cs="Aptos"/>
          <w:noProof w:val="0"/>
          <w:color w:val="000000" w:themeColor="text1" w:themeTint="FF" w:themeShade="FF"/>
          <w:sz w:val="24"/>
          <w:szCs w:val="24"/>
          <w:lang w:val="en-GB"/>
        </w:rPr>
        <w:t xml:space="preserve">                                                                              </w:t>
      </w:r>
      <w:r w:rsidRPr="25C06B38" w:rsidR="0072899A">
        <w:rPr>
          <w:rFonts w:ascii="Arial" w:hAnsi="Arial" w:eastAsia="Arial" w:cs="Arial" w:asciiTheme="minorAscii" w:hAnsiTheme="minorAscii" w:eastAsiaTheme="minorAscii" w:cstheme="minorAscii"/>
          <w:noProof w:val="0"/>
          <w:color w:val="000000" w:themeColor="text1" w:themeTint="FF" w:themeShade="FF"/>
          <w:sz w:val="22"/>
          <w:szCs w:val="22"/>
          <w:u w:val="single"/>
          <w:lang w:val="en-GB"/>
        </w:rPr>
        <w:t xml:space="preserve"> Reference list</w:t>
      </w:r>
    </w:p>
    <w:p w:rsidR="25C06B38" w:rsidP="25C06B38" w:rsidRDefault="25C06B38" w14:paraId="16990B9E" w14:textId="06C4FD79">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p>
    <w:p w:rsidR="1C93C23A" w:rsidP="25C06B38" w:rsidRDefault="1C93C23A" w14:paraId="47249F04" w14:textId="5BDE2994">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r w:rsidRPr="25C06B38" w:rsidR="1C93C23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Egan, A. M., &amp; Dinneen, S. F. (2022). What is diabetes? </w:t>
      </w:r>
      <w:r w:rsidRPr="25C06B38" w:rsidR="1C93C23A">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Medicine (Abingdon. 1995, UK Ed.)</w:t>
      </w:r>
      <w:r w:rsidRPr="25C06B38" w:rsidR="1C93C23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25C06B38" w:rsidR="1C93C23A">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50</w:t>
      </w:r>
      <w:r w:rsidRPr="25C06B38" w:rsidR="1C93C23A">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(10), 615–618. </w:t>
      </w:r>
      <w:hyperlink r:id="Rb3d8fd13360a4757">
        <w:r w:rsidRPr="25C06B38" w:rsidR="1C93C23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https://doi.org/10.1016/j.mpmed.2022.07.00</w:t>
        </w:r>
      </w:hyperlink>
    </w:p>
    <w:p w:rsidR="25C06B38" w:rsidP="25C06B38" w:rsidRDefault="25C06B38" w14:paraId="585E12E1" w14:textId="5F145B2B">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p>
    <w:p w:rsidR="25E81F48" w:rsidP="25C06B38" w:rsidRDefault="25E81F48" w14:paraId="6416BFDA" w14:textId="382BDDF7">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sz w:val="22"/>
          <w:szCs w:val="22"/>
        </w:rPr>
      </w:pPr>
      <w:r w:rsidRPr="25C06B38" w:rsidR="25E81F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Hickman, E., Gillies, C., Khunti, K., &amp; Seidu, S. (2026). Corrigendum to “The Healthcare Professionals Attitudes Towards Deprescribing (HATD) tool in older persons with multiple long-term chronic conditions and those on palliative care: A mixed methods study” [Prim. Care Diabetes 19/6 (2025) 646–650]. </w:t>
      </w:r>
      <w:r w:rsidRPr="25C06B38" w:rsidR="25E81F48">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Primary Care Diabetes</w:t>
      </w:r>
      <w:r w:rsidRPr="25C06B38" w:rsidR="25E81F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25C06B38" w:rsidR="25E81F48">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20</w:t>
      </w:r>
      <w:r w:rsidRPr="25C06B38" w:rsidR="25E81F48">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(2), 238–238. </w:t>
      </w:r>
      <w:hyperlink r:id="R6b3711f5ae41457a">
        <w:r w:rsidRPr="25C06B38" w:rsidR="25E81F48">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https://doi.org/10.1016/j.pcd.2026.02.001</w:t>
        </w:r>
      </w:hyperlink>
    </w:p>
    <w:p w:rsidR="25C06B38" w:rsidP="25C06B38" w:rsidRDefault="25C06B38" w14:paraId="1BE2C4E7" w14:textId="45CDAED6">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pPr>
    </w:p>
    <w:p w:rsidR="6D6122FF" w:rsidP="25C06B38" w:rsidRDefault="6D6122FF" w14:paraId="4A152E96" w14:textId="1E27B2A9">
      <w:pPr>
        <w:pStyle w:val="Normal"/>
        <w:shd w:val="clear" w:color="auto" w:fill="FFFFFF" w:themeFill="background1"/>
        <w:spacing w:before="0" w:beforeAutospacing="off" w:after="0" w:afterAutospacing="off"/>
        <w:jc w:val="left"/>
      </w:pPr>
      <w:r w:rsidRPr="25C06B38"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Simpson, R. W., Shaw, J. E., &amp; Zimmet, P. Z. (2003). [Rev. of </w:t>
      </w:r>
      <w:r w:rsidRPr="25C06B38" w:rsidR="6D6122FF">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The prevention of type 2 diabetes — lifestyle change or pharmacotherapy? A challenge for the 21st century</w:t>
      </w:r>
      <w:r w:rsidRPr="25C06B38"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25C06B38" w:rsidR="6D6122FF">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Diabetes Research and Clinical Practice</w:t>
      </w:r>
      <w:r w:rsidRPr="25C06B38"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 </w:t>
      </w:r>
      <w:r w:rsidRPr="25C06B38" w:rsidR="6D6122FF">
        <w:rPr>
          <w:rFonts w:ascii="Arial" w:hAnsi="Arial" w:eastAsia="Arial" w:cs="Arial" w:asciiTheme="minorAscii" w:hAnsiTheme="minorAscii" w:eastAsiaTheme="minorAscii" w:cstheme="minorAscii"/>
          <w:b w:val="0"/>
          <w:bCs w:val="0"/>
          <w:i w:val="1"/>
          <w:iCs w:val="1"/>
          <w:caps w:val="0"/>
          <w:smallCaps w:val="0"/>
          <w:noProof w:val="0"/>
          <w:color w:val="3A3A3A" w:themeColor="background2" w:themeTint="FF" w:themeShade="40"/>
          <w:sz w:val="22"/>
          <w:szCs w:val="22"/>
          <w:lang w:val="en-GB"/>
        </w:rPr>
        <w:t>59</w:t>
      </w:r>
      <w:r w:rsidRPr="25C06B38" w:rsidR="6D6122FF">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t xml:space="preserve">(3), 165–180. </w:t>
      </w:r>
      <w:hyperlink r:id="R25216a0e36b94d37">
        <w:r w:rsidRPr="25C06B38" w:rsidR="6D6122FF">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https://doi.org/10.1016/S0168-8227(02)00275-9</w:t>
        </w:r>
      </w:hyperlink>
    </w:p>
    <w:p w:rsidR="25C06B38" w:rsidP="25C06B38" w:rsidRDefault="25C06B38" w14:paraId="12836D86" w14:textId="1595504E">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p>
    <w:p w:rsidR="5E7CD01E" w:rsidP="25C06B38" w:rsidRDefault="5E7CD01E" w14:paraId="292ED466" w14:textId="076C5932">
      <w:pPr>
        <w:pStyle w:val="Normal"/>
        <w:shd w:val="clear" w:color="auto" w:fill="FFFFFF" w:themeFill="background1"/>
        <w:spacing w:before="0" w:beforeAutospacing="off" w:after="0" w:afterAutospacing="off"/>
        <w:jc w:val="left"/>
      </w:pPr>
      <w:r w:rsidRPr="25C06B38" w:rsidR="5E7CD01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Brekke, H. K., Jansson, P. A., Mansson, J. E., &amp; Lenner, R. A. (2003). Lifestyle changes can be achieved through counseling and follow-up in first-degree relatives of patients with type 2 diabetes. </w:t>
      </w:r>
      <w:r w:rsidRPr="25C06B38" w:rsidR="5E7CD01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the American Dietetic Association</w:t>
      </w:r>
      <w:r w:rsidRPr="25C06B38" w:rsidR="5E7CD01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5C06B38" w:rsidR="5E7CD01E">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103</w:t>
      </w:r>
      <w:r w:rsidRPr="25C06B38" w:rsidR="5E7CD01E">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(7), 835–843. </w:t>
      </w:r>
      <w:hyperlink r:id="R6c2f443e8fb64d84">
        <w:r w:rsidRPr="25C06B38" w:rsidR="5E7CD01E">
          <w:rPr>
            <w:rStyle w:val="Hyperlink"/>
            <w:b w:val="0"/>
            <w:bCs w:val="0"/>
            <w:i w:val="0"/>
            <w:iCs w:val="0"/>
            <w:caps w:val="0"/>
            <w:smallCaps w:val="0"/>
            <w:noProof w:val="0"/>
            <w:lang w:val="en-GB"/>
          </w:rPr>
          <w:t>https://doi.org/10.1016/S0002-8223(03)00378-X</w:t>
        </w:r>
      </w:hyperlink>
    </w:p>
    <w:p w:rsidR="25C06B38" w:rsidP="25C06B38" w:rsidRDefault="25C06B38" w14:paraId="0C767044" w14:textId="7BA4B665">
      <w:pPr>
        <w:pStyle w:val="Normal"/>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843D371" w:rsidP="25C06B38" w:rsidRDefault="2843D371" w14:paraId="21927E05" w14:textId="7EA50865">
      <w:pPr>
        <w:pStyle w:val="Normal"/>
        <w:shd w:val="clear" w:color="auto" w:fill="FFFFFF" w:themeFill="background1"/>
        <w:spacing w:before="0" w:beforeAutospacing="off" w:after="0" w:afterAutospacing="off"/>
        <w:jc w:val="left"/>
      </w:pPr>
      <w:r w:rsidRPr="25C06B38" w:rsidR="2843D3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Overwijk, A., Putten, A. A. J., Schans, C. P., Willems, M., Hilgenkamp, T. I. M., &amp; Waninge, A. (2021). Use of behaviour change techniques by direct support professionals to support healthy lifestyle behaviour for people with moderate to profound intellectual disabilities. </w:t>
      </w:r>
      <w:r w:rsidRPr="25C06B38" w:rsidR="2843D37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Journal of Applied Research in Intellectual Disabilities</w:t>
      </w:r>
      <w:r w:rsidRPr="25C06B38" w:rsidR="2843D3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w:t>
      </w:r>
      <w:r w:rsidRPr="25C06B38" w:rsidR="2843D37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34</w:t>
      </w:r>
      <w:r w:rsidRPr="25C06B38" w:rsidR="2843D37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(4), 1048–1056. </w:t>
      </w:r>
      <w:hyperlink r:id="Refd2e73210e048c7">
        <w:r w:rsidRPr="25C06B38" w:rsidR="2843D371">
          <w:rPr>
            <w:rStyle w:val="Hyperlink"/>
            <w:b w:val="0"/>
            <w:bCs w:val="0"/>
            <w:i w:val="0"/>
            <w:iCs w:val="0"/>
            <w:caps w:val="0"/>
            <w:smallCaps w:val="0"/>
            <w:noProof w:val="0"/>
            <w:lang w:val="en-GB"/>
          </w:rPr>
          <w:t>https://doi.org/10.1111/jar.12845</w:t>
        </w:r>
      </w:hyperlink>
    </w:p>
    <w:p w:rsidR="25C06B38" w:rsidP="25C06B38" w:rsidRDefault="25C06B38" w14:paraId="43FF9698" w14:textId="3F3D995E">
      <w:pPr>
        <w:pStyle w:val="Normal"/>
        <w:shd w:val="clear" w:color="auto" w:fill="FFFFFF" w:themeFill="background1"/>
        <w:spacing w:before="0" w:beforeAutospacing="off" w:after="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25C06B38" w:rsidP="25C06B38" w:rsidRDefault="25C06B38" w14:paraId="72349474" w14:textId="5AC96A86">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3A3A3A" w:themeColor="background2" w:themeTint="FF" w:themeShade="40"/>
          <w:sz w:val="22"/>
          <w:szCs w:val="22"/>
          <w:lang w:val="en-GB"/>
        </w:rPr>
      </w:pPr>
    </w:p>
    <w:p w:rsidR="25C06B38" w:rsidP="25C06B38" w:rsidRDefault="25C06B38" w14:paraId="7564EAC7" w14:textId="5894A4D0">
      <w:pPr>
        <w:pStyle w:val="Normal"/>
        <w:shd w:val="clear" w:color="auto" w:fill="FFFFFF" w:themeFill="background1"/>
        <w:spacing w:before="0" w:beforeAutospacing="off" w:after="0" w:afterAutospacing="off"/>
        <w:jc w:val="left"/>
        <w:rPr>
          <w:rFonts w:ascii="Arial" w:hAnsi="Arial" w:eastAsia="Arial" w:cs="Arial" w:asciiTheme="minorAscii" w:hAnsiTheme="minorAscii" w:eastAsiaTheme="minorAscii" w:cstheme="minorAscii"/>
          <w:noProof w:val="0"/>
          <w:color w:val="000000"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E570A4"/>
    <w:rsid w:val="001C35FD"/>
    <w:rsid w:val="005C3083"/>
    <w:rsid w:val="0072899A"/>
    <w:rsid w:val="041EE400"/>
    <w:rsid w:val="049532B0"/>
    <w:rsid w:val="05BE4A03"/>
    <w:rsid w:val="08D79619"/>
    <w:rsid w:val="093C2D11"/>
    <w:rsid w:val="0A3B19C8"/>
    <w:rsid w:val="0C43C8B9"/>
    <w:rsid w:val="0D6B9544"/>
    <w:rsid w:val="0D74FB07"/>
    <w:rsid w:val="0DC8C163"/>
    <w:rsid w:val="0F7D91F3"/>
    <w:rsid w:val="18FCD4EA"/>
    <w:rsid w:val="1900D038"/>
    <w:rsid w:val="1AA4B7FA"/>
    <w:rsid w:val="1B97FA93"/>
    <w:rsid w:val="1C93C23A"/>
    <w:rsid w:val="1CC5230B"/>
    <w:rsid w:val="1D3EA8B1"/>
    <w:rsid w:val="1DD8E0AC"/>
    <w:rsid w:val="1E7998C1"/>
    <w:rsid w:val="21E8C15C"/>
    <w:rsid w:val="22BD8C26"/>
    <w:rsid w:val="25C06B38"/>
    <w:rsid w:val="25E81F48"/>
    <w:rsid w:val="2755DA00"/>
    <w:rsid w:val="2843D371"/>
    <w:rsid w:val="2926972F"/>
    <w:rsid w:val="2A64E843"/>
    <w:rsid w:val="2B6ABEC8"/>
    <w:rsid w:val="2CEFE740"/>
    <w:rsid w:val="2E643A97"/>
    <w:rsid w:val="320CBE8B"/>
    <w:rsid w:val="33BEBE15"/>
    <w:rsid w:val="34405B67"/>
    <w:rsid w:val="34606BDF"/>
    <w:rsid w:val="3747D53B"/>
    <w:rsid w:val="3841BA78"/>
    <w:rsid w:val="3A89D3BC"/>
    <w:rsid w:val="3BA26265"/>
    <w:rsid w:val="3ECAA59F"/>
    <w:rsid w:val="401E0D9A"/>
    <w:rsid w:val="408D35AC"/>
    <w:rsid w:val="409992C7"/>
    <w:rsid w:val="40DC2DB9"/>
    <w:rsid w:val="40E9C002"/>
    <w:rsid w:val="4224D23D"/>
    <w:rsid w:val="433634D5"/>
    <w:rsid w:val="43511FB0"/>
    <w:rsid w:val="476B8B0E"/>
    <w:rsid w:val="48E28DAB"/>
    <w:rsid w:val="4A98E9B6"/>
    <w:rsid w:val="4AA29E4F"/>
    <w:rsid w:val="4EE37FF2"/>
    <w:rsid w:val="4EF2304B"/>
    <w:rsid w:val="4F939E25"/>
    <w:rsid w:val="4FA46441"/>
    <w:rsid w:val="58295CB9"/>
    <w:rsid w:val="58BBDB21"/>
    <w:rsid w:val="5A8947F7"/>
    <w:rsid w:val="5B4252AF"/>
    <w:rsid w:val="5E7CD01E"/>
    <w:rsid w:val="5FC4E8AC"/>
    <w:rsid w:val="6116B680"/>
    <w:rsid w:val="631C18CD"/>
    <w:rsid w:val="63DDB91A"/>
    <w:rsid w:val="64F3AFFC"/>
    <w:rsid w:val="6505C813"/>
    <w:rsid w:val="67AAF8D3"/>
    <w:rsid w:val="67E05121"/>
    <w:rsid w:val="6AB60CAF"/>
    <w:rsid w:val="6B3203DF"/>
    <w:rsid w:val="6BE570A4"/>
    <w:rsid w:val="6C064B74"/>
    <w:rsid w:val="6D6122FF"/>
    <w:rsid w:val="6DFBDE4B"/>
    <w:rsid w:val="7010373F"/>
    <w:rsid w:val="703A7C1F"/>
    <w:rsid w:val="72E3819F"/>
    <w:rsid w:val="74CBD213"/>
    <w:rsid w:val="7B5F9A5F"/>
    <w:rsid w:val="7BE5B507"/>
    <w:rsid w:val="7D4409EA"/>
    <w:rsid w:val="7DC080E3"/>
    <w:rsid w:val="7F611144"/>
    <w:rsid w:val="7F6E8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ADD9B"/>
  <w15:chartTrackingRefBased/>
  <w15:docId w15:val="{99570153-EFE2-4D64-9C0D-8BB7A8D0DF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5C06B3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16/j.mpmed.2022.07.00" TargetMode="External" Id="Rb3d8fd13360a4757" /><Relationship Type="http://schemas.openxmlformats.org/officeDocument/2006/relationships/hyperlink" Target="https://doi.org/10.1016/j.pcd.2026.02.001" TargetMode="External" Id="R6b3711f5ae41457a" /><Relationship Type="http://schemas.openxmlformats.org/officeDocument/2006/relationships/hyperlink" Target="https://doi.org/10.1016/S0168-8227(02)00275-9" TargetMode="External" Id="R25216a0e36b94d37" /><Relationship Type="http://schemas.openxmlformats.org/officeDocument/2006/relationships/hyperlink" Target="https://doi.org/10.1016/S0002-8223(03)00378-X" TargetMode="External" Id="R6c2f443e8fb64d84" /><Relationship Type="http://schemas.openxmlformats.org/officeDocument/2006/relationships/hyperlink" Target="https://doi.org/10.1111/jar.12845" TargetMode="External" Id="Refd2e73210e048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Gurdith Barkar (2506015)</dc:creator>
  <keywords/>
  <dc:description/>
  <lastModifiedBy>Gurdith Barkar (2506015)</lastModifiedBy>
  <revision>2</revision>
  <dcterms:created xsi:type="dcterms:W3CDTF">2026-07-16T16:31:12.9946703Z</dcterms:created>
  <dcterms:modified xsi:type="dcterms:W3CDTF">2026-07-17T19:14:52.5681679Z</dcterms:modified>
</coreProperties>
</file>