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76CBF" w14:textId="0FDB1A13" w:rsidR="006B10BE" w:rsidRPr="00A11DA1" w:rsidRDefault="00A11DA1" w:rsidP="00A11DA1">
      <w:pPr>
        <w:spacing w:before="240" w:line="720" w:lineRule="auto"/>
        <w:jc w:val="center"/>
        <w:rPr>
          <w:sz w:val="40"/>
          <w:szCs w:val="36"/>
        </w:rPr>
      </w:pPr>
      <w:r w:rsidRPr="00A11DA1">
        <w:rPr>
          <w:sz w:val="44"/>
          <w:szCs w:val="40"/>
        </w:rPr>
        <w:t>MASTER OF BUSINESS ADMINISTRATION</w:t>
      </w:r>
    </w:p>
    <w:p w14:paraId="0AD38F3E" w14:textId="77777777" w:rsidR="006B10BE" w:rsidRDefault="006B10BE" w:rsidP="00A11DA1">
      <w:pPr>
        <w:spacing w:before="240" w:line="720" w:lineRule="auto"/>
        <w:jc w:val="center"/>
      </w:pPr>
    </w:p>
    <w:p w14:paraId="712AE54F" w14:textId="77777777" w:rsidR="006B10BE" w:rsidRDefault="006B10BE" w:rsidP="006B10BE">
      <w:pPr>
        <w:spacing w:before="240"/>
      </w:pPr>
    </w:p>
    <w:p w14:paraId="15ABF2D9" w14:textId="1F8E9F58" w:rsidR="006B10BE" w:rsidRDefault="00A11DA1" w:rsidP="00A11DA1">
      <w:pPr>
        <w:spacing w:before="240"/>
        <w:jc w:val="center"/>
        <w:rPr>
          <w:sz w:val="56"/>
          <w:szCs w:val="52"/>
        </w:rPr>
      </w:pPr>
      <w:r w:rsidRPr="00A11DA1">
        <w:rPr>
          <w:sz w:val="56"/>
          <w:szCs w:val="52"/>
        </w:rPr>
        <w:t>ENTREPRENEURSHIP</w:t>
      </w:r>
      <w:r>
        <w:rPr>
          <w:sz w:val="56"/>
          <w:szCs w:val="52"/>
        </w:rPr>
        <w:t xml:space="preserve"> (LCMB7004_BIRM)</w:t>
      </w:r>
    </w:p>
    <w:p w14:paraId="01C2B07E" w14:textId="77777777" w:rsidR="00A11DA1" w:rsidRDefault="00A11DA1" w:rsidP="00A11DA1">
      <w:pPr>
        <w:spacing w:before="240"/>
        <w:jc w:val="center"/>
        <w:rPr>
          <w:sz w:val="56"/>
          <w:szCs w:val="52"/>
        </w:rPr>
      </w:pPr>
    </w:p>
    <w:p w14:paraId="111B3537" w14:textId="77777777" w:rsidR="00A11DA1" w:rsidRDefault="00A11DA1" w:rsidP="00A11DA1">
      <w:pPr>
        <w:spacing w:before="240"/>
        <w:jc w:val="center"/>
        <w:rPr>
          <w:sz w:val="56"/>
          <w:szCs w:val="52"/>
        </w:rPr>
      </w:pPr>
    </w:p>
    <w:p w14:paraId="1E73335E" w14:textId="77777777" w:rsidR="00A11DA1" w:rsidRDefault="00A11DA1" w:rsidP="00A11DA1">
      <w:pPr>
        <w:spacing w:before="240"/>
        <w:jc w:val="center"/>
        <w:rPr>
          <w:sz w:val="56"/>
          <w:szCs w:val="52"/>
        </w:rPr>
      </w:pPr>
    </w:p>
    <w:p w14:paraId="6FF25A3E" w14:textId="77777777" w:rsidR="00A11DA1" w:rsidRDefault="00A11DA1" w:rsidP="00A11DA1">
      <w:pPr>
        <w:spacing w:before="240"/>
        <w:jc w:val="center"/>
        <w:rPr>
          <w:sz w:val="56"/>
          <w:szCs w:val="52"/>
        </w:rPr>
      </w:pPr>
    </w:p>
    <w:p w14:paraId="373D913C" w14:textId="31882110" w:rsidR="00A11DA1" w:rsidRPr="00A11DA1" w:rsidRDefault="00A11DA1" w:rsidP="00A11DA1">
      <w:pPr>
        <w:spacing w:before="240"/>
        <w:jc w:val="left"/>
        <w:rPr>
          <w:sz w:val="40"/>
          <w:szCs w:val="36"/>
        </w:rPr>
      </w:pPr>
      <w:r w:rsidRPr="00A11DA1">
        <w:rPr>
          <w:sz w:val="40"/>
          <w:szCs w:val="36"/>
        </w:rPr>
        <w:t>NAZIA SAEED</w:t>
      </w:r>
    </w:p>
    <w:p w14:paraId="30BBA5E6" w14:textId="77777777" w:rsidR="00A11DA1" w:rsidRDefault="00A11DA1" w:rsidP="00A11DA1">
      <w:pPr>
        <w:spacing w:before="240"/>
        <w:jc w:val="center"/>
        <w:rPr>
          <w:sz w:val="56"/>
          <w:szCs w:val="52"/>
        </w:rPr>
      </w:pPr>
    </w:p>
    <w:p w14:paraId="67331CFA" w14:textId="77777777" w:rsidR="00A11DA1" w:rsidRDefault="00A11DA1" w:rsidP="00A11DA1">
      <w:pPr>
        <w:spacing w:before="240"/>
        <w:jc w:val="center"/>
        <w:rPr>
          <w:sz w:val="56"/>
          <w:szCs w:val="52"/>
        </w:rPr>
      </w:pPr>
    </w:p>
    <w:p w14:paraId="3BD61015" w14:textId="77777777" w:rsidR="00A11DA1" w:rsidRPr="00A11DA1" w:rsidRDefault="00A11DA1" w:rsidP="00A11DA1">
      <w:pPr>
        <w:spacing w:before="240"/>
        <w:jc w:val="center"/>
        <w:rPr>
          <w:sz w:val="56"/>
          <w:szCs w:val="52"/>
        </w:rPr>
      </w:pPr>
    </w:p>
    <w:p w14:paraId="00903F16" w14:textId="77777777" w:rsidR="006B10BE" w:rsidRDefault="006B10BE" w:rsidP="006B10BE">
      <w:pPr>
        <w:spacing w:before="240"/>
      </w:pPr>
    </w:p>
    <w:p w14:paraId="38D0D0B6" w14:textId="77777777" w:rsidR="006B10BE" w:rsidRDefault="006B10BE" w:rsidP="006B10BE">
      <w:pPr>
        <w:spacing w:before="240"/>
      </w:pPr>
    </w:p>
    <w:p w14:paraId="3DE3A5EB" w14:textId="77777777" w:rsidR="006B10BE" w:rsidRDefault="006B10BE" w:rsidP="006B10BE">
      <w:pPr>
        <w:spacing w:before="240"/>
      </w:pPr>
    </w:p>
    <w:p w14:paraId="6160F878" w14:textId="77777777" w:rsidR="006B10BE" w:rsidRDefault="006B10BE" w:rsidP="006B10BE">
      <w:pPr>
        <w:spacing w:before="240"/>
      </w:pPr>
    </w:p>
    <w:p w14:paraId="6028F41A" w14:textId="77777777" w:rsidR="006B10BE" w:rsidRDefault="006B10BE" w:rsidP="006B10BE">
      <w:pPr>
        <w:spacing w:before="240"/>
      </w:pPr>
    </w:p>
    <w:p w14:paraId="1E29617D" w14:textId="77777777" w:rsidR="006B10BE" w:rsidRDefault="006B10BE" w:rsidP="006B10BE">
      <w:pPr>
        <w:spacing w:before="240"/>
      </w:pPr>
    </w:p>
    <w:p w14:paraId="348DBC4C" w14:textId="77777777" w:rsidR="006B10BE" w:rsidRDefault="006B10BE" w:rsidP="006B10BE">
      <w:pPr>
        <w:pStyle w:val="Title"/>
        <w:spacing w:before="240"/>
      </w:pPr>
      <w:r w:rsidRPr="006B10BE">
        <w:t>"Empowering Change: A Business Plan for Solar Solutions Co. in Kenya’s Renewable Energy Sector"</w:t>
      </w:r>
      <w:r>
        <w:br w:type="page"/>
      </w:r>
    </w:p>
    <w:sdt>
      <w:sdtPr>
        <w:rPr>
          <w:rFonts w:eastAsiaTheme="minorEastAsia" w:cstheme="minorBidi"/>
          <w:b w:val="0"/>
          <w:color w:val="auto"/>
          <w:sz w:val="24"/>
          <w:szCs w:val="22"/>
        </w:rPr>
        <w:id w:val="-1014916520"/>
        <w:docPartObj>
          <w:docPartGallery w:val="Table of Contents"/>
          <w:docPartUnique/>
        </w:docPartObj>
      </w:sdtPr>
      <w:sdtEndPr>
        <w:rPr>
          <w:bCs/>
          <w:noProof/>
        </w:rPr>
      </w:sdtEndPr>
      <w:sdtContent>
        <w:p w14:paraId="3C7D78D1" w14:textId="77777777" w:rsidR="00885DB0" w:rsidRDefault="00885DB0">
          <w:pPr>
            <w:pStyle w:val="TOCHeading"/>
          </w:pPr>
          <w:r>
            <w:t>Table of Contents</w:t>
          </w:r>
        </w:p>
        <w:p w14:paraId="3490AF29" w14:textId="77777777" w:rsidR="00885DB0" w:rsidRDefault="00885DB0">
          <w:pPr>
            <w:pStyle w:val="TOC1"/>
            <w:tabs>
              <w:tab w:val="right" w:leader="dot" w:pos="9016"/>
            </w:tabs>
            <w:rPr>
              <w:noProof/>
            </w:rPr>
          </w:pPr>
          <w:r>
            <w:fldChar w:fldCharType="begin"/>
          </w:r>
          <w:r>
            <w:instrText xml:space="preserve"> TOC \o "1-3" \h \z \u </w:instrText>
          </w:r>
          <w:r>
            <w:fldChar w:fldCharType="separate"/>
          </w:r>
          <w:hyperlink w:anchor="_Toc150147551" w:history="1">
            <w:r w:rsidRPr="00CE315B">
              <w:rPr>
                <w:rStyle w:val="Hyperlink"/>
                <w:noProof/>
              </w:rPr>
              <w:t>Executive Summary</w:t>
            </w:r>
            <w:r>
              <w:rPr>
                <w:noProof/>
                <w:webHidden/>
              </w:rPr>
              <w:tab/>
            </w:r>
            <w:r>
              <w:rPr>
                <w:noProof/>
                <w:webHidden/>
              </w:rPr>
              <w:fldChar w:fldCharType="begin"/>
            </w:r>
            <w:r>
              <w:rPr>
                <w:noProof/>
                <w:webHidden/>
              </w:rPr>
              <w:instrText xml:space="preserve"> PAGEREF _Toc150147551 \h </w:instrText>
            </w:r>
            <w:r>
              <w:rPr>
                <w:noProof/>
                <w:webHidden/>
              </w:rPr>
            </w:r>
            <w:r>
              <w:rPr>
                <w:noProof/>
                <w:webHidden/>
              </w:rPr>
              <w:fldChar w:fldCharType="separate"/>
            </w:r>
            <w:r w:rsidR="00650B51">
              <w:rPr>
                <w:noProof/>
                <w:webHidden/>
              </w:rPr>
              <w:t>4</w:t>
            </w:r>
            <w:r>
              <w:rPr>
                <w:noProof/>
                <w:webHidden/>
              </w:rPr>
              <w:fldChar w:fldCharType="end"/>
            </w:r>
          </w:hyperlink>
        </w:p>
        <w:p w14:paraId="2D9C8B71" w14:textId="77777777" w:rsidR="00885DB0" w:rsidRDefault="00000000">
          <w:pPr>
            <w:pStyle w:val="TOC1"/>
            <w:tabs>
              <w:tab w:val="right" w:leader="dot" w:pos="9016"/>
            </w:tabs>
            <w:rPr>
              <w:noProof/>
            </w:rPr>
          </w:pPr>
          <w:hyperlink w:anchor="_Toc150147552" w:history="1">
            <w:r w:rsidR="00885DB0" w:rsidRPr="00CE315B">
              <w:rPr>
                <w:rStyle w:val="Hyperlink"/>
                <w:noProof/>
              </w:rPr>
              <w:t>Business Idea Overview</w:t>
            </w:r>
            <w:r w:rsidR="00885DB0">
              <w:rPr>
                <w:noProof/>
                <w:webHidden/>
              </w:rPr>
              <w:tab/>
            </w:r>
            <w:r w:rsidR="00885DB0">
              <w:rPr>
                <w:noProof/>
                <w:webHidden/>
              </w:rPr>
              <w:fldChar w:fldCharType="begin"/>
            </w:r>
            <w:r w:rsidR="00885DB0">
              <w:rPr>
                <w:noProof/>
                <w:webHidden/>
              </w:rPr>
              <w:instrText xml:space="preserve"> PAGEREF _Toc150147552 \h </w:instrText>
            </w:r>
            <w:r w:rsidR="00885DB0">
              <w:rPr>
                <w:noProof/>
                <w:webHidden/>
              </w:rPr>
            </w:r>
            <w:r w:rsidR="00885DB0">
              <w:rPr>
                <w:noProof/>
                <w:webHidden/>
              </w:rPr>
              <w:fldChar w:fldCharType="separate"/>
            </w:r>
            <w:r w:rsidR="00650B51">
              <w:rPr>
                <w:noProof/>
                <w:webHidden/>
              </w:rPr>
              <w:t>5</w:t>
            </w:r>
            <w:r w:rsidR="00885DB0">
              <w:rPr>
                <w:noProof/>
                <w:webHidden/>
              </w:rPr>
              <w:fldChar w:fldCharType="end"/>
            </w:r>
          </w:hyperlink>
        </w:p>
        <w:p w14:paraId="699E35D4" w14:textId="77777777" w:rsidR="00885DB0" w:rsidRDefault="00000000">
          <w:pPr>
            <w:pStyle w:val="TOC1"/>
            <w:tabs>
              <w:tab w:val="right" w:leader="dot" w:pos="9016"/>
            </w:tabs>
            <w:rPr>
              <w:noProof/>
            </w:rPr>
          </w:pPr>
          <w:hyperlink w:anchor="_Toc150147553" w:history="1">
            <w:r w:rsidR="00885DB0" w:rsidRPr="00CE315B">
              <w:rPr>
                <w:rStyle w:val="Hyperlink"/>
                <w:noProof/>
              </w:rPr>
              <w:t>Market Gap Identification</w:t>
            </w:r>
            <w:r w:rsidR="00885DB0">
              <w:rPr>
                <w:noProof/>
                <w:webHidden/>
              </w:rPr>
              <w:tab/>
            </w:r>
            <w:r w:rsidR="00885DB0">
              <w:rPr>
                <w:noProof/>
                <w:webHidden/>
              </w:rPr>
              <w:fldChar w:fldCharType="begin"/>
            </w:r>
            <w:r w:rsidR="00885DB0">
              <w:rPr>
                <w:noProof/>
                <w:webHidden/>
              </w:rPr>
              <w:instrText xml:space="preserve"> PAGEREF _Toc150147553 \h </w:instrText>
            </w:r>
            <w:r w:rsidR="00885DB0">
              <w:rPr>
                <w:noProof/>
                <w:webHidden/>
              </w:rPr>
            </w:r>
            <w:r w:rsidR="00885DB0">
              <w:rPr>
                <w:noProof/>
                <w:webHidden/>
              </w:rPr>
              <w:fldChar w:fldCharType="separate"/>
            </w:r>
            <w:r w:rsidR="00650B51">
              <w:rPr>
                <w:noProof/>
                <w:webHidden/>
              </w:rPr>
              <w:t>6</w:t>
            </w:r>
            <w:r w:rsidR="00885DB0">
              <w:rPr>
                <w:noProof/>
                <w:webHidden/>
              </w:rPr>
              <w:fldChar w:fldCharType="end"/>
            </w:r>
          </w:hyperlink>
        </w:p>
        <w:p w14:paraId="758406AA" w14:textId="77777777" w:rsidR="00885DB0" w:rsidRDefault="00000000">
          <w:pPr>
            <w:pStyle w:val="TOC2"/>
            <w:tabs>
              <w:tab w:val="right" w:leader="dot" w:pos="9016"/>
            </w:tabs>
            <w:rPr>
              <w:noProof/>
            </w:rPr>
          </w:pPr>
          <w:hyperlink w:anchor="_Toc150147554" w:history="1">
            <w:r w:rsidR="00885DB0" w:rsidRPr="00CE315B">
              <w:rPr>
                <w:rStyle w:val="Hyperlink"/>
                <w:noProof/>
              </w:rPr>
              <w:t>PESTLE Analysis</w:t>
            </w:r>
            <w:r w:rsidR="00885DB0">
              <w:rPr>
                <w:noProof/>
                <w:webHidden/>
              </w:rPr>
              <w:tab/>
            </w:r>
            <w:r w:rsidR="00885DB0">
              <w:rPr>
                <w:noProof/>
                <w:webHidden/>
              </w:rPr>
              <w:fldChar w:fldCharType="begin"/>
            </w:r>
            <w:r w:rsidR="00885DB0">
              <w:rPr>
                <w:noProof/>
                <w:webHidden/>
              </w:rPr>
              <w:instrText xml:space="preserve"> PAGEREF _Toc150147554 \h </w:instrText>
            </w:r>
            <w:r w:rsidR="00885DB0">
              <w:rPr>
                <w:noProof/>
                <w:webHidden/>
              </w:rPr>
            </w:r>
            <w:r w:rsidR="00885DB0">
              <w:rPr>
                <w:noProof/>
                <w:webHidden/>
              </w:rPr>
              <w:fldChar w:fldCharType="separate"/>
            </w:r>
            <w:r w:rsidR="00650B51">
              <w:rPr>
                <w:noProof/>
                <w:webHidden/>
              </w:rPr>
              <w:t>7</w:t>
            </w:r>
            <w:r w:rsidR="00885DB0">
              <w:rPr>
                <w:noProof/>
                <w:webHidden/>
              </w:rPr>
              <w:fldChar w:fldCharType="end"/>
            </w:r>
          </w:hyperlink>
        </w:p>
        <w:p w14:paraId="6500A33D" w14:textId="77777777" w:rsidR="00885DB0" w:rsidRDefault="00000000">
          <w:pPr>
            <w:pStyle w:val="TOC1"/>
            <w:tabs>
              <w:tab w:val="right" w:leader="dot" w:pos="9016"/>
            </w:tabs>
            <w:rPr>
              <w:noProof/>
            </w:rPr>
          </w:pPr>
          <w:hyperlink w:anchor="_Toc150147555" w:history="1">
            <w:r w:rsidR="00885DB0" w:rsidRPr="00CE315B">
              <w:rPr>
                <w:rStyle w:val="Hyperlink"/>
                <w:noProof/>
              </w:rPr>
              <w:t>Location and Legal Entity</w:t>
            </w:r>
            <w:r w:rsidR="00885DB0">
              <w:rPr>
                <w:noProof/>
                <w:webHidden/>
              </w:rPr>
              <w:tab/>
            </w:r>
            <w:r w:rsidR="00885DB0">
              <w:rPr>
                <w:noProof/>
                <w:webHidden/>
              </w:rPr>
              <w:fldChar w:fldCharType="begin"/>
            </w:r>
            <w:r w:rsidR="00885DB0">
              <w:rPr>
                <w:noProof/>
                <w:webHidden/>
              </w:rPr>
              <w:instrText xml:space="preserve"> PAGEREF _Toc150147555 \h </w:instrText>
            </w:r>
            <w:r w:rsidR="00885DB0">
              <w:rPr>
                <w:noProof/>
                <w:webHidden/>
              </w:rPr>
            </w:r>
            <w:r w:rsidR="00885DB0">
              <w:rPr>
                <w:noProof/>
                <w:webHidden/>
              </w:rPr>
              <w:fldChar w:fldCharType="separate"/>
            </w:r>
            <w:r w:rsidR="00650B51">
              <w:rPr>
                <w:noProof/>
                <w:webHidden/>
              </w:rPr>
              <w:t>9</w:t>
            </w:r>
            <w:r w:rsidR="00885DB0">
              <w:rPr>
                <w:noProof/>
                <w:webHidden/>
              </w:rPr>
              <w:fldChar w:fldCharType="end"/>
            </w:r>
          </w:hyperlink>
        </w:p>
        <w:p w14:paraId="6483422F" w14:textId="77777777" w:rsidR="00885DB0" w:rsidRDefault="00000000">
          <w:pPr>
            <w:pStyle w:val="TOC1"/>
            <w:tabs>
              <w:tab w:val="right" w:leader="dot" w:pos="9016"/>
            </w:tabs>
            <w:rPr>
              <w:noProof/>
            </w:rPr>
          </w:pPr>
          <w:hyperlink w:anchor="_Toc150147556" w:history="1">
            <w:r w:rsidR="00885DB0" w:rsidRPr="00CE315B">
              <w:rPr>
                <w:rStyle w:val="Hyperlink"/>
                <w:noProof/>
              </w:rPr>
              <w:t>SWOT Analysis</w:t>
            </w:r>
            <w:r w:rsidR="00885DB0">
              <w:rPr>
                <w:noProof/>
                <w:webHidden/>
              </w:rPr>
              <w:tab/>
            </w:r>
            <w:r w:rsidR="00885DB0">
              <w:rPr>
                <w:noProof/>
                <w:webHidden/>
              </w:rPr>
              <w:fldChar w:fldCharType="begin"/>
            </w:r>
            <w:r w:rsidR="00885DB0">
              <w:rPr>
                <w:noProof/>
                <w:webHidden/>
              </w:rPr>
              <w:instrText xml:space="preserve"> PAGEREF _Toc150147556 \h </w:instrText>
            </w:r>
            <w:r w:rsidR="00885DB0">
              <w:rPr>
                <w:noProof/>
                <w:webHidden/>
              </w:rPr>
            </w:r>
            <w:r w:rsidR="00885DB0">
              <w:rPr>
                <w:noProof/>
                <w:webHidden/>
              </w:rPr>
              <w:fldChar w:fldCharType="separate"/>
            </w:r>
            <w:r w:rsidR="00650B51">
              <w:rPr>
                <w:noProof/>
                <w:webHidden/>
              </w:rPr>
              <w:t>11</w:t>
            </w:r>
            <w:r w:rsidR="00885DB0">
              <w:rPr>
                <w:noProof/>
                <w:webHidden/>
              </w:rPr>
              <w:fldChar w:fldCharType="end"/>
            </w:r>
          </w:hyperlink>
        </w:p>
        <w:p w14:paraId="1A8EFBEA" w14:textId="77777777" w:rsidR="00885DB0" w:rsidRDefault="00000000">
          <w:pPr>
            <w:pStyle w:val="TOC2"/>
            <w:tabs>
              <w:tab w:val="right" w:leader="dot" w:pos="9016"/>
            </w:tabs>
            <w:rPr>
              <w:noProof/>
            </w:rPr>
          </w:pPr>
          <w:hyperlink w:anchor="_Toc150147557" w:history="1">
            <w:r w:rsidR="00885DB0" w:rsidRPr="00CE315B">
              <w:rPr>
                <w:rStyle w:val="Hyperlink"/>
                <w:noProof/>
              </w:rPr>
              <w:t>Strengths</w:t>
            </w:r>
            <w:r w:rsidR="00885DB0">
              <w:rPr>
                <w:noProof/>
                <w:webHidden/>
              </w:rPr>
              <w:tab/>
            </w:r>
            <w:r w:rsidR="00885DB0">
              <w:rPr>
                <w:noProof/>
                <w:webHidden/>
              </w:rPr>
              <w:fldChar w:fldCharType="begin"/>
            </w:r>
            <w:r w:rsidR="00885DB0">
              <w:rPr>
                <w:noProof/>
                <w:webHidden/>
              </w:rPr>
              <w:instrText xml:space="preserve"> PAGEREF _Toc150147557 \h </w:instrText>
            </w:r>
            <w:r w:rsidR="00885DB0">
              <w:rPr>
                <w:noProof/>
                <w:webHidden/>
              </w:rPr>
            </w:r>
            <w:r w:rsidR="00885DB0">
              <w:rPr>
                <w:noProof/>
                <w:webHidden/>
              </w:rPr>
              <w:fldChar w:fldCharType="separate"/>
            </w:r>
            <w:r w:rsidR="00650B51">
              <w:rPr>
                <w:noProof/>
                <w:webHidden/>
              </w:rPr>
              <w:t>11</w:t>
            </w:r>
            <w:r w:rsidR="00885DB0">
              <w:rPr>
                <w:noProof/>
                <w:webHidden/>
              </w:rPr>
              <w:fldChar w:fldCharType="end"/>
            </w:r>
          </w:hyperlink>
        </w:p>
        <w:p w14:paraId="7A62F6A1" w14:textId="77777777" w:rsidR="00885DB0" w:rsidRDefault="00000000">
          <w:pPr>
            <w:pStyle w:val="TOC2"/>
            <w:tabs>
              <w:tab w:val="right" w:leader="dot" w:pos="9016"/>
            </w:tabs>
            <w:rPr>
              <w:noProof/>
            </w:rPr>
          </w:pPr>
          <w:hyperlink w:anchor="_Toc150147558" w:history="1">
            <w:r w:rsidR="00885DB0" w:rsidRPr="00CE315B">
              <w:rPr>
                <w:rStyle w:val="Hyperlink"/>
                <w:noProof/>
              </w:rPr>
              <w:t>Weaknesses</w:t>
            </w:r>
            <w:r w:rsidR="00885DB0">
              <w:rPr>
                <w:noProof/>
                <w:webHidden/>
              </w:rPr>
              <w:tab/>
            </w:r>
            <w:r w:rsidR="00885DB0">
              <w:rPr>
                <w:noProof/>
                <w:webHidden/>
              </w:rPr>
              <w:fldChar w:fldCharType="begin"/>
            </w:r>
            <w:r w:rsidR="00885DB0">
              <w:rPr>
                <w:noProof/>
                <w:webHidden/>
              </w:rPr>
              <w:instrText xml:space="preserve"> PAGEREF _Toc150147558 \h </w:instrText>
            </w:r>
            <w:r w:rsidR="00885DB0">
              <w:rPr>
                <w:noProof/>
                <w:webHidden/>
              </w:rPr>
            </w:r>
            <w:r w:rsidR="00885DB0">
              <w:rPr>
                <w:noProof/>
                <w:webHidden/>
              </w:rPr>
              <w:fldChar w:fldCharType="separate"/>
            </w:r>
            <w:r w:rsidR="00650B51">
              <w:rPr>
                <w:noProof/>
                <w:webHidden/>
              </w:rPr>
              <w:t>11</w:t>
            </w:r>
            <w:r w:rsidR="00885DB0">
              <w:rPr>
                <w:noProof/>
                <w:webHidden/>
              </w:rPr>
              <w:fldChar w:fldCharType="end"/>
            </w:r>
          </w:hyperlink>
        </w:p>
        <w:p w14:paraId="419C684A" w14:textId="77777777" w:rsidR="00885DB0" w:rsidRDefault="00000000">
          <w:pPr>
            <w:pStyle w:val="TOC2"/>
            <w:tabs>
              <w:tab w:val="right" w:leader="dot" w:pos="9016"/>
            </w:tabs>
            <w:rPr>
              <w:noProof/>
            </w:rPr>
          </w:pPr>
          <w:hyperlink w:anchor="_Toc150147559" w:history="1">
            <w:r w:rsidR="00885DB0" w:rsidRPr="00CE315B">
              <w:rPr>
                <w:rStyle w:val="Hyperlink"/>
                <w:noProof/>
              </w:rPr>
              <w:t>Opportunities</w:t>
            </w:r>
            <w:r w:rsidR="00885DB0">
              <w:rPr>
                <w:noProof/>
                <w:webHidden/>
              </w:rPr>
              <w:tab/>
            </w:r>
            <w:r w:rsidR="00885DB0">
              <w:rPr>
                <w:noProof/>
                <w:webHidden/>
              </w:rPr>
              <w:fldChar w:fldCharType="begin"/>
            </w:r>
            <w:r w:rsidR="00885DB0">
              <w:rPr>
                <w:noProof/>
                <w:webHidden/>
              </w:rPr>
              <w:instrText xml:space="preserve"> PAGEREF _Toc150147559 \h </w:instrText>
            </w:r>
            <w:r w:rsidR="00885DB0">
              <w:rPr>
                <w:noProof/>
                <w:webHidden/>
              </w:rPr>
            </w:r>
            <w:r w:rsidR="00885DB0">
              <w:rPr>
                <w:noProof/>
                <w:webHidden/>
              </w:rPr>
              <w:fldChar w:fldCharType="separate"/>
            </w:r>
            <w:r w:rsidR="00650B51">
              <w:rPr>
                <w:noProof/>
                <w:webHidden/>
              </w:rPr>
              <w:t>11</w:t>
            </w:r>
            <w:r w:rsidR="00885DB0">
              <w:rPr>
                <w:noProof/>
                <w:webHidden/>
              </w:rPr>
              <w:fldChar w:fldCharType="end"/>
            </w:r>
          </w:hyperlink>
        </w:p>
        <w:p w14:paraId="2859A4A5" w14:textId="77777777" w:rsidR="00885DB0" w:rsidRDefault="00000000">
          <w:pPr>
            <w:pStyle w:val="TOC2"/>
            <w:tabs>
              <w:tab w:val="right" w:leader="dot" w:pos="9016"/>
            </w:tabs>
            <w:rPr>
              <w:noProof/>
            </w:rPr>
          </w:pPr>
          <w:hyperlink w:anchor="_Toc150147560" w:history="1">
            <w:r w:rsidR="00885DB0" w:rsidRPr="00CE315B">
              <w:rPr>
                <w:rStyle w:val="Hyperlink"/>
                <w:noProof/>
              </w:rPr>
              <w:t>Threats</w:t>
            </w:r>
            <w:r w:rsidR="00885DB0">
              <w:rPr>
                <w:noProof/>
                <w:webHidden/>
              </w:rPr>
              <w:tab/>
            </w:r>
            <w:r w:rsidR="00885DB0">
              <w:rPr>
                <w:noProof/>
                <w:webHidden/>
              </w:rPr>
              <w:fldChar w:fldCharType="begin"/>
            </w:r>
            <w:r w:rsidR="00885DB0">
              <w:rPr>
                <w:noProof/>
                <w:webHidden/>
              </w:rPr>
              <w:instrText xml:space="preserve"> PAGEREF _Toc150147560 \h </w:instrText>
            </w:r>
            <w:r w:rsidR="00885DB0">
              <w:rPr>
                <w:noProof/>
                <w:webHidden/>
              </w:rPr>
            </w:r>
            <w:r w:rsidR="00885DB0">
              <w:rPr>
                <w:noProof/>
                <w:webHidden/>
              </w:rPr>
              <w:fldChar w:fldCharType="separate"/>
            </w:r>
            <w:r w:rsidR="00650B51">
              <w:rPr>
                <w:noProof/>
                <w:webHidden/>
              </w:rPr>
              <w:t>12</w:t>
            </w:r>
            <w:r w:rsidR="00885DB0">
              <w:rPr>
                <w:noProof/>
                <w:webHidden/>
              </w:rPr>
              <w:fldChar w:fldCharType="end"/>
            </w:r>
          </w:hyperlink>
        </w:p>
        <w:p w14:paraId="120E058B" w14:textId="77777777" w:rsidR="00885DB0" w:rsidRDefault="00000000">
          <w:pPr>
            <w:pStyle w:val="TOC1"/>
            <w:tabs>
              <w:tab w:val="right" w:leader="dot" w:pos="9016"/>
            </w:tabs>
            <w:rPr>
              <w:noProof/>
            </w:rPr>
          </w:pPr>
          <w:hyperlink w:anchor="_Toc150147561" w:history="1">
            <w:r w:rsidR="00885DB0" w:rsidRPr="00CE315B">
              <w:rPr>
                <w:rStyle w:val="Hyperlink"/>
                <w:noProof/>
              </w:rPr>
              <w:t>Target Market and Marketing Strategy</w:t>
            </w:r>
            <w:r w:rsidR="00885DB0">
              <w:rPr>
                <w:noProof/>
                <w:webHidden/>
              </w:rPr>
              <w:tab/>
            </w:r>
            <w:r w:rsidR="00885DB0">
              <w:rPr>
                <w:noProof/>
                <w:webHidden/>
              </w:rPr>
              <w:fldChar w:fldCharType="begin"/>
            </w:r>
            <w:r w:rsidR="00885DB0">
              <w:rPr>
                <w:noProof/>
                <w:webHidden/>
              </w:rPr>
              <w:instrText xml:space="preserve"> PAGEREF _Toc150147561 \h </w:instrText>
            </w:r>
            <w:r w:rsidR="00885DB0">
              <w:rPr>
                <w:noProof/>
                <w:webHidden/>
              </w:rPr>
            </w:r>
            <w:r w:rsidR="00885DB0">
              <w:rPr>
                <w:noProof/>
                <w:webHidden/>
              </w:rPr>
              <w:fldChar w:fldCharType="separate"/>
            </w:r>
            <w:r w:rsidR="00650B51">
              <w:rPr>
                <w:noProof/>
                <w:webHidden/>
              </w:rPr>
              <w:t>14</w:t>
            </w:r>
            <w:r w:rsidR="00885DB0">
              <w:rPr>
                <w:noProof/>
                <w:webHidden/>
              </w:rPr>
              <w:fldChar w:fldCharType="end"/>
            </w:r>
          </w:hyperlink>
        </w:p>
        <w:p w14:paraId="3EF7506E" w14:textId="77777777" w:rsidR="00885DB0" w:rsidRDefault="00000000">
          <w:pPr>
            <w:pStyle w:val="TOC2"/>
            <w:tabs>
              <w:tab w:val="right" w:leader="dot" w:pos="9016"/>
            </w:tabs>
            <w:rPr>
              <w:noProof/>
            </w:rPr>
          </w:pPr>
          <w:hyperlink w:anchor="_Toc150147562" w:history="1">
            <w:r w:rsidR="00885DB0" w:rsidRPr="00CE315B">
              <w:rPr>
                <w:rStyle w:val="Hyperlink"/>
                <w:noProof/>
              </w:rPr>
              <w:t>Target Market</w:t>
            </w:r>
            <w:r w:rsidR="00885DB0">
              <w:rPr>
                <w:noProof/>
                <w:webHidden/>
              </w:rPr>
              <w:tab/>
            </w:r>
            <w:r w:rsidR="00885DB0">
              <w:rPr>
                <w:noProof/>
                <w:webHidden/>
              </w:rPr>
              <w:fldChar w:fldCharType="begin"/>
            </w:r>
            <w:r w:rsidR="00885DB0">
              <w:rPr>
                <w:noProof/>
                <w:webHidden/>
              </w:rPr>
              <w:instrText xml:space="preserve"> PAGEREF _Toc150147562 \h </w:instrText>
            </w:r>
            <w:r w:rsidR="00885DB0">
              <w:rPr>
                <w:noProof/>
                <w:webHidden/>
              </w:rPr>
            </w:r>
            <w:r w:rsidR="00885DB0">
              <w:rPr>
                <w:noProof/>
                <w:webHidden/>
              </w:rPr>
              <w:fldChar w:fldCharType="separate"/>
            </w:r>
            <w:r w:rsidR="00650B51">
              <w:rPr>
                <w:noProof/>
                <w:webHidden/>
              </w:rPr>
              <w:t>14</w:t>
            </w:r>
            <w:r w:rsidR="00885DB0">
              <w:rPr>
                <w:noProof/>
                <w:webHidden/>
              </w:rPr>
              <w:fldChar w:fldCharType="end"/>
            </w:r>
          </w:hyperlink>
        </w:p>
        <w:p w14:paraId="30D568E0" w14:textId="77777777" w:rsidR="00885DB0" w:rsidRDefault="00000000">
          <w:pPr>
            <w:pStyle w:val="TOC2"/>
            <w:tabs>
              <w:tab w:val="right" w:leader="dot" w:pos="9016"/>
            </w:tabs>
            <w:rPr>
              <w:noProof/>
            </w:rPr>
          </w:pPr>
          <w:hyperlink w:anchor="_Toc150147563" w:history="1">
            <w:r w:rsidR="00885DB0" w:rsidRPr="00CE315B">
              <w:rPr>
                <w:rStyle w:val="Hyperlink"/>
                <w:noProof/>
              </w:rPr>
              <w:t>Marketing Strategy</w:t>
            </w:r>
            <w:r w:rsidR="00885DB0">
              <w:rPr>
                <w:noProof/>
                <w:webHidden/>
              </w:rPr>
              <w:tab/>
            </w:r>
            <w:r w:rsidR="00885DB0">
              <w:rPr>
                <w:noProof/>
                <w:webHidden/>
              </w:rPr>
              <w:fldChar w:fldCharType="begin"/>
            </w:r>
            <w:r w:rsidR="00885DB0">
              <w:rPr>
                <w:noProof/>
                <w:webHidden/>
              </w:rPr>
              <w:instrText xml:space="preserve"> PAGEREF _Toc150147563 \h </w:instrText>
            </w:r>
            <w:r w:rsidR="00885DB0">
              <w:rPr>
                <w:noProof/>
                <w:webHidden/>
              </w:rPr>
            </w:r>
            <w:r w:rsidR="00885DB0">
              <w:rPr>
                <w:noProof/>
                <w:webHidden/>
              </w:rPr>
              <w:fldChar w:fldCharType="separate"/>
            </w:r>
            <w:r w:rsidR="00650B51">
              <w:rPr>
                <w:noProof/>
                <w:webHidden/>
              </w:rPr>
              <w:t>16</w:t>
            </w:r>
            <w:r w:rsidR="00885DB0">
              <w:rPr>
                <w:noProof/>
                <w:webHidden/>
              </w:rPr>
              <w:fldChar w:fldCharType="end"/>
            </w:r>
          </w:hyperlink>
        </w:p>
        <w:p w14:paraId="062515D9" w14:textId="77777777" w:rsidR="00885DB0" w:rsidRDefault="00000000">
          <w:pPr>
            <w:pStyle w:val="TOC1"/>
            <w:tabs>
              <w:tab w:val="right" w:leader="dot" w:pos="9016"/>
            </w:tabs>
            <w:rPr>
              <w:noProof/>
            </w:rPr>
          </w:pPr>
          <w:hyperlink w:anchor="_Toc150147564" w:history="1">
            <w:r w:rsidR="00885DB0" w:rsidRPr="00CE315B">
              <w:rPr>
                <w:rStyle w:val="Hyperlink"/>
                <w:noProof/>
              </w:rPr>
              <w:t>Budgeting and Financial Plan</w:t>
            </w:r>
            <w:r w:rsidR="00885DB0">
              <w:rPr>
                <w:noProof/>
                <w:webHidden/>
              </w:rPr>
              <w:tab/>
            </w:r>
            <w:r w:rsidR="00885DB0">
              <w:rPr>
                <w:noProof/>
                <w:webHidden/>
              </w:rPr>
              <w:fldChar w:fldCharType="begin"/>
            </w:r>
            <w:r w:rsidR="00885DB0">
              <w:rPr>
                <w:noProof/>
                <w:webHidden/>
              </w:rPr>
              <w:instrText xml:space="preserve"> PAGEREF _Toc150147564 \h </w:instrText>
            </w:r>
            <w:r w:rsidR="00885DB0">
              <w:rPr>
                <w:noProof/>
                <w:webHidden/>
              </w:rPr>
            </w:r>
            <w:r w:rsidR="00885DB0">
              <w:rPr>
                <w:noProof/>
                <w:webHidden/>
              </w:rPr>
              <w:fldChar w:fldCharType="separate"/>
            </w:r>
            <w:r w:rsidR="00650B51">
              <w:rPr>
                <w:noProof/>
                <w:webHidden/>
              </w:rPr>
              <w:t>16</w:t>
            </w:r>
            <w:r w:rsidR="00885DB0">
              <w:rPr>
                <w:noProof/>
                <w:webHidden/>
              </w:rPr>
              <w:fldChar w:fldCharType="end"/>
            </w:r>
          </w:hyperlink>
        </w:p>
        <w:p w14:paraId="57C3C959" w14:textId="77777777" w:rsidR="00885DB0" w:rsidRDefault="00000000">
          <w:pPr>
            <w:pStyle w:val="TOC1"/>
            <w:tabs>
              <w:tab w:val="right" w:leader="dot" w:pos="9016"/>
            </w:tabs>
            <w:rPr>
              <w:noProof/>
            </w:rPr>
          </w:pPr>
          <w:hyperlink w:anchor="_Toc150147565" w:history="1">
            <w:r w:rsidR="00885DB0" w:rsidRPr="00CE315B">
              <w:rPr>
                <w:rStyle w:val="Hyperlink"/>
                <w:noProof/>
              </w:rPr>
              <w:t>Funding Requirements and Sources</w:t>
            </w:r>
            <w:r w:rsidR="00885DB0">
              <w:rPr>
                <w:noProof/>
                <w:webHidden/>
              </w:rPr>
              <w:tab/>
            </w:r>
            <w:r w:rsidR="00885DB0">
              <w:rPr>
                <w:noProof/>
                <w:webHidden/>
              </w:rPr>
              <w:fldChar w:fldCharType="begin"/>
            </w:r>
            <w:r w:rsidR="00885DB0">
              <w:rPr>
                <w:noProof/>
                <w:webHidden/>
              </w:rPr>
              <w:instrText xml:space="preserve"> PAGEREF _Toc150147565 \h </w:instrText>
            </w:r>
            <w:r w:rsidR="00885DB0">
              <w:rPr>
                <w:noProof/>
                <w:webHidden/>
              </w:rPr>
            </w:r>
            <w:r w:rsidR="00885DB0">
              <w:rPr>
                <w:noProof/>
                <w:webHidden/>
              </w:rPr>
              <w:fldChar w:fldCharType="separate"/>
            </w:r>
            <w:r w:rsidR="00650B51">
              <w:rPr>
                <w:noProof/>
                <w:webHidden/>
              </w:rPr>
              <w:t>20</w:t>
            </w:r>
            <w:r w:rsidR="00885DB0">
              <w:rPr>
                <w:noProof/>
                <w:webHidden/>
              </w:rPr>
              <w:fldChar w:fldCharType="end"/>
            </w:r>
          </w:hyperlink>
        </w:p>
        <w:p w14:paraId="0D1038EC" w14:textId="77777777" w:rsidR="00885DB0" w:rsidRDefault="00000000">
          <w:pPr>
            <w:pStyle w:val="TOC1"/>
            <w:tabs>
              <w:tab w:val="right" w:leader="dot" w:pos="9016"/>
            </w:tabs>
            <w:rPr>
              <w:noProof/>
            </w:rPr>
          </w:pPr>
          <w:hyperlink w:anchor="_Toc150147566" w:history="1">
            <w:r w:rsidR="00885DB0" w:rsidRPr="00CE315B">
              <w:rPr>
                <w:rStyle w:val="Hyperlink"/>
                <w:noProof/>
              </w:rPr>
              <w:t>Conclusion</w:t>
            </w:r>
            <w:r w:rsidR="00885DB0">
              <w:rPr>
                <w:noProof/>
                <w:webHidden/>
              </w:rPr>
              <w:tab/>
            </w:r>
            <w:r w:rsidR="00885DB0">
              <w:rPr>
                <w:noProof/>
                <w:webHidden/>
              </w:rPr>
              <w:fldChar w:fldCharType="begin"/>
            </w:r>
            <w:r w:rsidR="00885DB0">
              <w:rPr>
                <w:noProof/>
                <w:webHidden/>
              </w:rPr>
              <w:instrText xml:space="preserve"> PAGEREF _Toc150147566 \h </w:instrText>
            </w:r>
            <w:r w:rsidR="00885DB0">
              <w:rPr>
                <w:noProof/>
                <w:webHidden/>
              </w:rPr>
            </w:r>
            <w:r w:rsidR="00885DB0">
              <w:rPr>
                <w:noProof/>
                <w:webHidden/>
              </w:rPr>
              <w:fldChar w:fldCharType="separate"/>
            </w:r>
            <w:r w:rsidR="00650B51">
              <w:rPr>
                <w:noProof/>
                <w:webHidden/>
              </w:rPr>
              <w:t>21</w:t>
            </w:r>
            <w:r w:rsidR="00885DB0">
              <w:rPr>
                <w:noProof/>
                <w:webHidden/>
              </w:rPr>
              <w:fldChar w:fldCharType="end"/>
            </w:r>
          </w:hyperlink>
        </w:p>
        <w:p w14:paraId="42646431" w14:textId="77777777" w:rsidR="00885DB0" w:rsidRDefault="00000000">
          <w:pPr>
            <w:pStyle w:val="TOC1"/>
            <w:tabs>
              <w:tab w:val="right" w:leader="dot" w:pos="9016"/>
            </w:tabs>
            <w:rPr>
              <w:noProof/>
            </w:rPr>
          </w:pPr>
          <w:hyperlink w:anchor="_Toc150147567" w:history="1">
            <w:r w:rsidR="00885DB0" w:rsidRPr="00CE315B">
              <w:rPr>
                <w:rStyle w:val="Hyperlink"/>
                <w:noProof/>
              </w:rPr>
              <w:t>References</w:t>
            </w:r>
            <w:r w:rsidR="00885DB0">
              <w:rPr>
                <w:noProof/>
                <w:webHidden/>
              </w:rPr>
              <w:tab/>
            </w:r>
            <w:r w:rsidR="00885DB0">
              <w:rPr>
                <w:noProof/>
                <w:webHidden/>
              </w:rPr>
              <w:fldChar w:fldCharType="begin"/>
            </w:r>
            <w:r w:rsidR="00885DB0">
              <w:rPr>
                <w:noProof/>
                <w:webHidden/>
              </w:rPr>
              <w:instrText xml:space="preserve"> PAGEREF _Toc150147567 \h </w:instrText>
            </w:r>
            <w:r w:rsidR="00885DB0">
              <w:rPr>
                <w:noProof/>
                <w:webHidden/>
              </w:rPr>
            </w:r>
            <w:r w:rsidR="00885DB0">
              <w:rPr>
                <w:noProof/>
                <w:webHidden/>
              </w:rPr>
              <w:fldChar w:fldCharType="separate"/>
            </w:r>
            <w:r w:rsidR="00650B51">
              <w:rPr>
                <w:noProof/>
                <w:webHidden/>
              </w:rPr>
              <w:t>22</w:t>
            </w:r>
            <w:r w:rsidR="00885DB0">
              <w:rPr>
                <w:noProof/>
                <w:webHidden/>
              </w:rPr>
              <w:fldChar w:fldCharType="end"/>
            </w:r>
          </w:hyperlink>
        </w:p>
        <w:p w14:paraId="206476F5" w14:textId="77777777" w:rsidR="00885DB0" w:rsidRDefault="00885DB0">
          <w:r>
            <w:rPr>
              <w:b/>
              <w:bCs/>
              <w:noProof/>
            </w:rPr>
            <w:fldChar w:fldCharType="end"/>
          </w:r>
        </w:p>
      </w:sdtContent>
    </w:sdt>
    <w:p w14:paraId="49344F99" w14:textId="77777777" w:rsidR="006B10BE" w:rsidRDefault="006B10BE" w:rsidP="006B10BE">
      <w:pPr>
        <w:spacing w:before="240"/>
      </w:pPr>
      <w:r>
        <w:br w:type="page"/>
      </w:r>
    </w:p>
    <w:p w14:paraId="76DE7C11" w14:textId="77777777" w:rsidR="006B10BE" w:rsidRDefault="006B10BE" w:rsidP="006B10BE">
      <w:pPr>
        <w:pStyle w:val="Heading1"/>
      </w:pPr>
      <w:bookmarkStart w:id="0" w:name="_Toc150147551"/>
      <w:r>
        <w:lastRenderedPageBreak/>
        <w:t>Executive Summary</w:t>
      </w:r>
      <w:bookmarkEnd w:id="0"/>
    </w:p>
    <w:p w14:paraId="504A900F" w14:textId="77777777" w:rsidR="006B10BE" w:rsidRDefault="006B10BE" w:rsidP="006B10BE">
      <w:pPr>
        <w:spacing w:before="240"/>
      </w:pPr>
      <w:r>
        <w:t>Solar Solutions Co. is positioned to expand its solar energy solutions' reach to remote, off-grid communities, an underserved market. Our operational framework is based on providing dependable and sustainable energy through storage systems, water heaters, and solar panels, which are customised to address the specific requirements of these underserved regions. By leveraging the ample solar capacity, our objective is to address the energy disparity and promote both community advancement and enhancements in living standards.</w:t>
      </w:r>
    </w:p>
    <w:p w14:paraId="57858144" w14:textId="77777777" w:rsidR="006B10BE" w:rsidRDefault="006B10BE" w:rsidP="006B10BE">
      <w:pPr>
        <w:spacing w:before="240"/>
      </w:pPr>
      <w:r>
        <w:t>Our distinctive selling proposition is to deliver environmentally sustainable energy solutions that are scalable, cost-effective, and resistant to the rigours of remote terrains. By capitalising on strategic alliances with local organisations and international sustainability initiatives, we aim to maximise our outreach and service provision. Solar Solutions Co. presents a revolutionary energy alternative that complies with worldwide renewable energy directives (REN21, 2022) and makes a positive contribution to the Sustainable Development Goals (SDGs) established by the United Nations, specifically Goal 7: Affordable and Clean Energy (United Nations, 2022).</w:t>
      </w:r>
    </w:p>
    <w:p w14:paraId="37BCE42C" w14:textId="77777777" w:rsidR="006B10BE" w:rsidRDefault="006B10BE" w:rsidP="006B10BE">
      <w:pPr>
        <w:spacing w:before="240"/>
      </w:pPr>
      <w:r>
        <w:t>Our enterprise represents a commitment to environmental stewardship and social responsibility in addition to a business opportunity. It serves as an icon of progress, shedding light on the way towards an environmentally sustainable future and galvanising communities towards autonomy and fortitude.</w:t>
      </w:r>
    </w:p>
    <w:p w14:paraId="648A36FC" w14:textId="77777777" w:rsidR="006B10BE" w:rsidRDefault="006B10BE" w:rsidP="006B10BE">
      <w:pPr>
        <w:spacing w:before="240"/>
      </w:pPr>
    </w:p>
    <w:p w14:paraId="256C5AEF" w14:textId="77777777" w:rsidR="006B10BE" w:rsidRDefault="006B10BE">
      <w:pPr>
        <w:spacing w:line="259" w:lineRule="auto"/>
        <w:jc w:val="left"/>
      </w:pPr>
      <w:r>
        <w:br w:type="page"/>
      </w:r>
    </w:p>
    <w:p w14:paraId="48E94031" w14:textId="77777777" w:rsidR="006B10BE" w:rsidRDefault="006B10BE" w:rsidP="006B10BE">
      <w:pPr>
        <w:pStyle w:val="Heading1"/>
      </w:pPr>
      <w:bookmarkStart w:id="1" w:name="_Toc150147552"/>
      <w:r>
        <w:lastRenderedPageBreak/>
        <w:t>Business Idea Overview</w:t>
      </w:r>
      <w:bookmarkEnd w:id="1"/>
    </w:p>
    <w:p w14:paraId="37506893" w14:textId="77777777" w:rsidR="006B10BE" w:rsidRDefault="006B10BE" w:rsidP="006B10BE">
      <w:pPr>
        <w:spacing w:before="240"/>
      </w:pPr>
      <w:r>
        <w:t>Solar Solutions Co. provides an array of renewable energy products and services that are designed with off-grid, remote communities in mind. Our portfolio comprises solar photovoltaic (PV) modules with exceptional efficiency, water heaters powered by solar energy, and modular solar battery storage systems that are specifically engineered to facilitate installation and transportation in remote areas. We offer comprehensive consultancy services for energy management in addition to our hardware products. These services encompass site assessments, system design, installation, and post-purchase assistance.</w:t>
      </w:r>
    </w:p>
    <w:p w14:paraId="22C8A1E7" w14:textId="77777777" w:rsidR="006B10BE" w:rsidRDefault="006B10BE" w:rsidP="006B10BE">
      <w:pPr>
        <w:spacing w:before="240"/>
      </w:pPr>
      <w:r>
        <w:t>Solar energy's significance in the current global energy composition is indisputable. According to the IEA (2022), solar photovoltaic (PV) has exhibited a steady growth in its proportion of overall worldwide power generation. This trend is attributed to substantial investments that have elevated PV technology to the vanguard of renewable alternatives. The increase in demand can be ascribed to the sustainability, cost reduction, and efficiency enhancements of solar energy. In remote regions devoid of or burdened by prohibitive-cost utility connectivity, solar energy emerges as a pragmatic alternative. It provides autonomy from the volatile costs of fossil fuels and corresponds with sustainability objectives at both the local and global levels (United Nations, 2022).</w:t>
      </w:r>
    </w:p>
    <w:p w14:paraId="05F7CDE0" w14:textId="77777777" w:rsidR="006B10BE" w:rsidRDefault="006B10BE" w:rsidP="006B10BE">
      <w:pPr>
        <w:spacing w:before="240"/>
      </w:pPr>
      <w:r>
        <w:t>Our organisation capitalises on this significance by attending to the vital requirement for dependable electricity, a fundamental component of community progress. Solar energy is a reliable and secure energy source that contributes to the promotion of energy security due to its immunity to geopolitical tensions (World Energy Council, 2022). Furthermore, the decentralised structure of solar systems fosters community empowerment, employment generation, and economic support at the local level (</w:t>
      </w:r>
      <w:r w:rsidR="006E7BA0">
        <w:t>SEIA, 2023</w:t>
      </w:r>
      <w:r>
        <w:t>).</w:t>
      </w:r>
    </w:p>
    <w:p w14:paraId="0EA1AB46" w14:textId="77777777" w:rsidR="006B10BE" w:rsidRDefault="006B10BE" w:rsidP="006B10BE">
      <w:pPr>
        <w:spacing w:before="240"/>
      </w:pPr>
      <w:r>
        <w:t>In summary, Solar Solutions Co. is strategically positioned to facilitate the energy transition of remote communities, thereby making a significant contribution to the worldwide movement towards renewable energy sources. Through the provision of customised, dependable, and economically viable solar solutions, we are not merely engaging in product sales; rather, we are orchestrating a paradigm shift in the manner in which energy is generated and consumed in the most marginalised regions across the globe.</w:t>
      </w:r>
    </w:p>
    <w:p w14:paraId="6B3445F0" w14:textId="77777777" w:rsidR="006B10BE" w:rsidRDefault="006B10BE" w:rsidP="006B10BE">
      <w:pPr>
        <w:pStyle w:val="Heading1"/>
      </w:pPr>
      <w:bookmarkStart w:id="2" w:name="_Toc150147553"/>
      <w:r>
        <w:lastRenderedPageBreak/>
        <w:t>Market Gap Identification</w:t>
      </w:r>
      <w:bookmarkEnd w:id="2"/>
    </w:p>
    <w:p w14:paraId="4F6BFA27" w14:textId="77777777" w:rsidR="006B10BE" w:rsidRDefault="006B10BE" w:rsidP="006B10BE">
      <w:pPr>
        <w:spacing w:before="240"/>
      </w:pPr>
      <w:r>
        <w:t>To ascertain the market void for Solar Solutions Co., the PESTEL framework can be applied to assess the macro-environmental elements that impact the limited availability of dependable energy sources in the designated areas. This analysis will concentrate primarily on political, economic, social, and technological factors.</w:t>
      </w:r>
    </w:p>
    <w:p w14:paraId="7C688EA5" w14:textId="77777777" w:rsidR="00D51ED6" w:rsidRDefault="00D51ED6" w:rsidP="00D51ED6">
      <w:pPr>
        <w:keepNext/>
        <w:spacing w:before="240"/>
      </w:pPr>
      <w:r>
        <w:rPr>
          <w:noProof/>
          <w:lang w:eastAsia="en-IN" w:bidi="ar-SA"/>
        </w:rPr>
        <w:drawing>
          <wp:inline distT="0" distB="0" distL="0" distR="0" wp14:anchorId="15AB29E1" wp14:editId="62725682">
            <wp:extent cx="5731510" cy="5940471"/>
            <wp:effectExtent l="0" t="0" r="2540" b="3175"/>
            <wp:docPr id="3" name="Picture 3" descr="There are 620 million people in Africa without electricity. Here's where  they live. - V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re are 620 million people in Africa without electricity. Here's where  they live. - Vox"/>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940471"/>
                    </a:xfrm>
                    <a:prstGeom prst="rect">
                      <a:avLst/>
                    </a:prstGeom>
                    <a:noFill/>
                    <a:ln>
                      <a:noFill/>
                    </a:ln>
                  </pic:spPr>
                </pic:pic>
              </a:graphicData>
            </a:graphic>
          </wp:inline>
        </w:drawing>
      </w:r>
    </w:p>
    <w:p w14:paraId="52354009" w14:textId="77777777" w:rsidR="00D51ED6" w:rsidRDefault="00D51ED6" w:rsidP="00D51ED6">
      <w:pPr>
        <w:pStyle w:val="Caption"/>
      </w:pPr>
      <w:r>
        <w:t xml:space="preserve">Figure </w:t>
      </w:r>
      <w:fldSimple w:instr=" SEQ Figure \* ARABIC ">
        <w:r>
          <w:rPr>
            <w:noProof/>
          </w:rPr>
          <w:t>1</w:t>
        </w:r>
      </w:fldSimple>
      <w:r>
        <w:t>. P</w:t>
      </w:r>
      <w:r w:rsidRPr="009F42FA">
        <w:t>opulation without reliable electricity in various regions of Sub-Saharan Africa</w:t>
      </w:r>
      <w:r>
        <w:t xml:space="preserve"> (Plumer, 2014)</w:t>
      </w:r>
    </w:p>
    <w:p w14:paraId="5FE668EB" w14:textId="77777777" w:rsidR="006B10BE" w:rsidRDefault="006B10BE" w:rsidP="006B10BE">
      <w:pPr>
        <w:pStyle w:val="Heading2"/>
      </w:pPr>
      <w:bookmarkStart w:id="3" w:name="_Toc150147554"/>
      <w:r>
        <w:lastRenderedPageBreak/>
        <w:t>PESTLE Analysis</w:t>
      </w:r>
      <w:bookmarkEnd w:id="3"/>
    </w:p>
    <w:p w14:paraId="2553DC6F" w14:textId="77777777" w:rsidR="006B10BE" w:rsidRDefault="006B10BE" w:rsidP="006B10BE">
      <w:pPr>
        <w:spacing w:before="240"/>
      </w:pPr>
      <w:r>
        <w:t>The lack of political priority for energy policies in remote regions frequently results in underdeveloped infrastructure. Political instability and poor governance have been identified as factors that can impede energy investments (World Bank, 2022). Consequently, this can lead to an absence of dependable energy provision.</w:t>
      </w:r>
    </w:p>
    <w:p w14:paraId="1D3C58BB" w14:textId="77777777" w:rsidR="000F5ADA" w:rsidRDefault="000F5ADA" w:rsidP="000F5ADA">
      <w:pPr>
        <w:pStyle w:val="Caption"/>
        <w:keepNext/>
      </w:pPr>
      <w:r>
        <w:t xml:space="preserve">Table </w:t>
      </w:r>
      <w:fldSimple w:instr=" SEQ Table \* ARABIC ">
        <w:r>
          <w:rPr>
            <w:noProof/>
          </w:rPr>
          <w:t>1</w:t>
        </w:r>
      </w:fldSimple>
      <w:r>
        <w:t>. PESTLE Analysis</w:t>
      </w:r>
    </w:p>
    <w:tbl>
      <w:tblPr>
        <w:tblStyle w:val="TableGrid"/>
        <w:tblW w:w="5000" w:type="pct"/>
        <w:tblLook w:val="04A0" w:firstRow="1" w:lastRow="0" w:firstColumn="1" w:lastColumn="0" w:noHBand="0" w:noVBand="1"/>
      </w:tblPr>
      <w:tblGrid>
        <w:gridCol w:w="2748"/>
        <w:gridCol w:w="3141"/>
        <w:gridCol w:w="3127"/>
      </w:tblGrid>
      <w:tr w:rsidR="000F5ADA" w:rsidRPr="000F5ADA" w14:paraId="0160F0FA" w14:textId="77777777" w:rsidTr="000F5ADA">
        <w:trPr>
          <w:trHeight w:val="696"/>
        </w:trPr>
        <w:tc>
          <w:tcPr>
            <w:tcW w:w="1524" w:type="pct"/>
            <w:hideMark/>
          </w:tcPr>
          <w:p w14:paraId="2F24BF92" w14:textId="77777777" w:rsidR="000F5ADA" w:rsidRPr="000F5ADA" w:rsidRDefault="000F5ADA" w:rsidP="000F5ADA">
            <w:pPr>
              <w:spacing w:line="240" w:lineRule="auto"/>
              <w:jc w:val="center"/>
              <w:rPr>
                <w:rFonts w:eastAsia="Times New Roman" w:cs="Times New Roman"/>
                <w:b/>
                <w:bCs/>
                <w:color w:val="000000" w:themeColor="text1"/>
                <w:sz w:val="18"/>
                <w:szCs w:val="19"/>
                <w:lang w:eastAsia="en-IN" w:bidi="ar-SA"/>
              </w:rPr>
            </w:pPr>
            <w:r w:rsidRPr="000F5ADA">
              <w:rPr>
                <w:rFonts w:eastAsia="Times New Roman" w:cs="Times New Roman"/>
                <w:b/>
                <w:bCs/>
                <w:color w:val="000000" w:themeColor="text1"/>
                <w:sz w:val="18"/>
                <w:szCs w:val="19"/>
                <w:lang w:eastAsia="en-IN" w:bidi="ar-SA"/>
              </w:rPr>
              <w:t>Factor</w:t>
            </w:r>
          </w:p>
        </w:tc>
        <w:tc>
          <w:tcPr>
            <w:tcW w:w="1742" w:type="pct"/>
            <w:hideMark/>
          </w:tcPr>
          <w:p w14:paraId="2FD62260" w14:textId="77777777" w:rsidR="000F5ADA" w:rsidRPr="000F5ADA" w:rsidRDefault="000F5ADA" w:rsidP="000F5ADA">
            <w:pPr>
              <w:spacing w:line="240" w:lineRule="auto"/>
              <w:jc w:val="center"/>
              <w:rPr>
                <w:rFonts w:eastAsia="Times New Roman" w:cs="Times New Roman"/>
                <w:b/>
                <w:bCs/>
                <w:color w:val="000000" w:themeColor="text1"/>
                <w:sz w:val="18"/>
                <w:szCs w:val="19"/>
                <w:lang w:eastAsia="en-IN" w:bidi="ar-SA"/>
              </w:rPr>
            </w:pPr>
            <w:r w:rsidRPr="000F5ADA">
              <w:rPr>
                <w:rFonts w:eastAsia="Times New Roman" w:cs="Times New Roman"/>
                <w:b/>
                <w:bCs/>
                <w:color w:val="000000" w:themeColor="text1"/>
                <w:sz w:val="18"/>
                <w:szCs w:val="19"/>
                <w:lang w:eastAsia="en-IN" w:bidi="ar-SA"/>
              </w:rPr>
              <w:t>Description</w:t>
            </w:r>
          </w:p>
        </w:tc>
        <w:tc>
          <w:tcPr>
            <w:tcW w:w="1734" w:type="pct"/>
            <w:hideMark/>
          </w:tcPr>
          <w:p w14:paraId="44F18AA7" w14:textId="77777777" w:rsidR="000F5ADA" w:rsidRPr="000F5ADA" w:rsidRDefault="000F5ADA" w:rsidP="000F5ADA">
            <w:pPr>
              <w:spacing w:line="240" w:lineRule="auto"/>
              <w:jc w:val="center"/>
              <w:rPr>
                <w:rFonts w:eastAsia="Times New Roman" w:cs="Times New Roman"/>
                <w:b/>
                <w:bCs/>
                <w:color w:val="000000" w:themeColor="text1"/>
                <w:sz w:val="18"/>
                <w:szCs w:val="19"/>
                <w:lang w:eastAsia="en-IN" w:bidi="ar-SA"/>
              </w:rPr>
            </w:pPr>
            <w:r w:rsidRPr="000F5ADA">
              <w:rPr>
                <w:rFonts w:eastAsia="Times New Roman" w:cs="Times New Roman"/>
                <w:b/>
                <w:bCs/>
                <w:color w:val="000000" w:themeColor="text1"/>
                <w:sz w:val="18"/>
                <w:szCs w:val="19"/>
                <w:lang w:eastAsia="en-IN" w:bidi="ar-SA"/>
              </w:rPr>
              <w:t>Impact on Solar Solutions Co.</w:t>
            </w:r>
          </w:p>
        </w:tc>
      </w:tr>
      <w:tr w:rsidR="000F5ADA" w:rsidRPr="000F5ADA" w14:paraId="041CD24E" w14:textId="77777777" w:rsidTr="000F5ADA">
        <w:trPr>
          <w:trHeight w:val="1393"/>
        </w:trPr>
        <w:tc>
          <w:tcPr>
            <w:tcW w:w="1524" w:type="pct"/>
            <w:hideMark/>
          </w:tcPr>
          <w:p w14:paraId="7F096528" w14:textId="77777777" w:rsidR="000F5ADA" w:rsidRPr="000F5ADA" w:rsidRDefault="000F5ADA" w:rsidP="000F5ADA">
            <w:pPr>
              <w:spacing w:line="240" w:lineRule="auto"/>
              <w:jc w:val="left"/>
              <w:rPr>
                <w:rFonts w:eastAsia="Times New Roman" w:cs="Times New Roman"/>
                <w:b/>
                <w:bCs/>
                <w:color w:val="000000" w:themeColor="text1"/>
                <w:sz w:val="18"/>
                <w:szCs w:val="19"/>
                <w:lang w:eastAsia="en-IN" w:bidi="ar-SA"/>
              </w:rPr>
            </w:pPr>
            <w:r w:rsidRPr="000F5ADA">
              <w:rPr>
                <w:rFonts w:eastAsia="Times New Roman" w:cs="Times New Roman"/>
                <w:b/>
                <w:bCs/>
                <w:color w:val="000000" w:themeColor="text1"/>
                <w:sz w:val="18"/>
                <w:szCs w:val="19"/>
                <w:lang w:eastAsia="en-IN" w:bidi="ar-SA"/>
              </w:rPr>
              <w:t>Political (P)</w:t>
            </w:r>
          </w:p>
        </w:tc>
        <w:tc>
          <w:tcPr>
            <w:tcW w:w="1742" w:type="pct"/>
            <w:hideMark/>
          </w:tcPr>
          <w:p w14:paraId="267AB488"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Government support for renewable energy.</w:t>
            </w:r>
          </w:p>
          <w:p w14:paraId="4C6C944E"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Political stability in the region.</w:t>
            </w:r>
          </w:p>
          <w:p w14:paraId="7C825870"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Regulations and policies on energy production and consumption.</w:t>
            </w:r>
          </w:p>
        </w:tc>
        <w:tc>
          <w:tcPr>
            <w:tcW w:w="1734" w:type="pct"/>
            <w:hideMark/>
          </w:tcPr>
          <w:p w14:paraId="2F87B44E"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Positive: Subsidies and incentives for renewable energy could reduce costs and increase marketability.</w:t>
            </w:r>
          </w:p>
        </w:tc>
      </w:tr>
      <w:tr w:rsidR="000F5ADA" w:rsidRPr="000F5ADA" w14:paraId="5364A12E" w14:textId="77777777" w:rsidTr="000F5ADA">
        <w:trPr>
          <w:trHeight w:val="48"/>
        </w:trPr>
        <w:tc>
          <w:tcPr>
            <w:tcW w:w="1524" w:type="pct"/>
            <w:hideMark/>
          </w:tcPr>
          <w:p w14:paraId="60BCB621" w14:textId="77777777" w:rsidR="000F5ADA" w:rsidRPr="000F5ADA" w:rsidRDefault="000F5ADA" w:rsidP="000F5ADA">
            <w:pPr>
              <w:spacing w:line="240" w:lineRule="auto"/>
              <w:jc w:val="left"/>
              <w:rPr>
                <w:rFonts w:eastAsia="Times New Roman" w:cs="Times New Roman"/>
                <w:b/>
                <w:bCs/>
                <w:color w:val="000000" w:themeColor="text1"/>
                <w:sz w:val="18"/>
                <w:szCs w:val="19"/>
                <w:lang w:eastAsia="en-IN" w:bidi="ar-SA"/>
              </w:rPr>
            </w:pPr>
            <w:r w:rsidRPr="000F5ADA">
              <w:rPr>
                <w:rFonts w:eastAsia="Times New Roman" w:cs="Times New Roman"/>
                <w:b/>
                <w:bCs/>
                <w:color w:val="000000" w:themeColor="text1"/>
                <w:sz w:val="18"/>
                <w:szCs w:val="19"/>
                <w:lang w:eastAsia="en-IN" w:bidi="ar-SA"/>
              </w:rPr>
              <w:t>Economic (E)</w:t>
            </w:r>
          </w:p>
        </w:tc>
        <w:tc>
          <w:tcPr>
            <w:tcW w:w="1742" w:type="pct"/>
            <w:hideMark/>
          </w:tcPr>
          <w:p w14:paraId="42A3E7E1"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xml:space="preserve">- Economic growth rates. </w:t>
            </w:r>
          </w:p>
          <w:p w14:paraId="25037F0D"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Availability of financing options.</w:t>
            </w:r>
          </w:p>
          <w:p w14:paraId="122DE72C"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Currency stability and inflation rates.</w:t>
            </w:r>
          </w:p>
        </w:tc>
        <w:tc>
          <w:tcPr>
            <w:tcW w:w="1734" w:type="pct"/>
            <w:hideMark/>
          </w:tcPr>
          <w:p w14:paraId="060A4779"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Positive/Negative: Economic growth can lead to more investment but inflation can increase operational costs.</w:t>
            </w:r>
          </w:p>
        </w:tc>
      </w:tr>
      <w:tr w:rsidR="000F5ADA" w:rsidRPr="000F5ADA" w14:paraId="2F7B64A2" w14:textId="77777777" w:rsidTr="000F5ADA">
        <w:trPr>
          <w:trHeight w:val="943"/>
        </w:trPr>
        <w:tc>
          <w:tcPr>
            <w:tcW w:w="1524" w:type="pct"/>
            <w:hideMark/>
          </w:tcPr>
          <w:p w14:paraId="568852B4" w14:textId="77777777" w:rsidR="000F5ADA" w:rsidRPr="000F5ADA" w:rsidRDefault="000F5ADA" w:rsidP="000F5ADA">
            <w:pPr>
              <w:spacing w:line="240" w:lineRule="auto"/>
              <w:jc w:val="left"/>
              <w:rPr>
                <w:rFonts w:eastAsia="Times New Roman" w:cs="Times New Roman"/>
                <w:b/>
                <w:bCs/>
                <w:color w:val="000000" w:themeColor="text1"/>
                <w:sz w:val="18"/>
                <w:szCs w:val="19"/>
                <w:lang w:eastAsia="en-IN" w:bidi="ar-SA"/>
              </w:rPr>
            </w:pPr>
            <w:r w:rsidRPr="000F5ADA">
              <w:rPr>
                <w:rFonts w:eastAsia="Times New Roman" w:cs="Times New Roman"/>
                <w:b/>
                <w:bCs/>
                <w:color w:val="000000" w:themeColor="text1"/>
                <w:sz w:val="18"/>
                <w:szCs w:val="19"/>
                <w:lang w:eastAsia="en-IN" w:bidi="ar-SA"/>
              </w:rPr>
              <w:t>Socio-cultural (S)</w:t>
            </w:r>
          </w:p>
        </w:tc>
        <w:tc>
          <w:tcPr>
            <w:tcW w:w="1742" w:type="pct"/>
            <w:hideMark/>
          </w:tcPr>
          <w:p w14:paraId="46D999EF"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Public opinion on renewable energy.</w:t>
            </w:r>
          </w:p>
          <w:p w14:paraId="24F337CC"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Levels of education and environmental awareness.</w:t>
            </w:r>
          </w:p>
          <w:p w14:paraId="21B05C03"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Energy consumption patterns.</w:t>
            </w:r>
          </w:p>
        </w:tc>
        <w:tc>
          <w:tcPr>
            <w:tcW w:w="1734" w:type="pct"/>
            <w:hideMark/>
          </w:tcPr>
          <w:p w14:paraId="05C69CD6"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Positive: Growing awareness and acceptance of renewable energy can boost demand for solar products.</w:t>
            </w:r>
          </w:p>
        </w:tc>
      </w:tr>
      <w:tr w:rsidR="000F5ADA" w:rsidRPr="000F5ADA" w14:paraId="475B5CA3" w14:textId="77777777" w:rsidTr="000F5ADA">
        <w:trPr>
          <w:trHeight w:val="48"/>
        </w:trPr>
        <w:tc>
          <w:tcPr>
            <w:tcW w:w="1524" w:type="pct"/>
            <w:hideMark/>
          </w:tcPr>
          <w:p w14:paraId="2BD058BE" w14:textId="77777777" w:rsidR="000F5ADA" w:rsidRPr="000F5ADA" w:rsidRDefault="000F5ADA" w:rsidP="000F5ADA">
            <w:pPr>
              <w:spacing w:line="240" w:lineRule="auto"/>
              <w:jc w:val="left"/>
              <w:rPr>
                <w:rFonts w:eastAsia="Times New Roman" w:cs="Times New Roman"/>
                <w:b/>
                <w:bCs/>
                <w:color w:val="000000" w:themeColor="text1"/>
                <w:sz w:val="18"/>
                <w:szCs w:val="19"/>
                <w:lang w:eastAsia="en-IN" w:bidi="ar-SA"/>
              </w:rPr>
            </w:pPr>
            <w:r w:rsidRPr="000F5ADA">
              <w:rPr>
                <w:rFonts w:eastAsia="Times New Roman" w:cs="Times New Roman"/>
                <w:b/>
                <w:bCs/>
                <w:color w:val="000000" w:themeColor="text1"/>
                <w:sz w:val="18"/>
                <w:szCs w:val="19"/>
                <w:lang w:eastAsia="en-IN" w:bidi="ar-SA"/>
              </w:rPr>
              <w:t>Technological (T)</w:t>
            </w:r>
          </w:p>
        </w:tc>
        <w:tc>
          <w:tcPr>
            <w:tcW w:w="1742" w:type="pct"/>
            <w:hideMark/>
          </w:tcPr>
          <w:p w14:paraId="72E94C35"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Advancements in solar technology.</w:t>
            </w:r>
          </w:p>
          <w:p w14:paraId="7B1D8FA0"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Internet penetration for marketing and sales.</w:t>
            </w:r>
          </w:p>
          <w:p w14:paraId="381BEF6D"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Infrastructure for product deployment.</w:t>
            </w:r>
          </w:p>
        </w:tc>
        <w:tc>
          <w:tcPr>
            <w:tcW w:w="1734" w:type="pct"/>
            <w:hideMark/>
          </w:tcPr>
          <w:p w14:paraId="22BCFDA5"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Positive: Technological advancements can reduce costs and improve efficiency, increasing competitiveness.</w:t>
            </w:r>
          </w:p>
        </w:tc>
      </w:tr>
      <w:tr w:rsidR="000F5ADA" w:rsidRPr="000F5ADA" w14:paraId="6B46B583" w14:textId="77777777" w:rsidTr="000F5ADA">
        <w:trPr>
          <w:trHeight w:val="48"/>
        </w:trPr>
        <w:tc>
          <w:tcPr>
            <w:tcW w:w="1524" w:type="pct"/>
            <w:hideMark/>
          </w:tcPr>
          <w:p w14:paraId="16FDADD0" w14:textId="77777777" w:rsidR="000F5ADA" w:rsidRPr="000F5ADA" w:rsidRDefault="000F5ADA" w:rsidP="000F5ADA">
            <w:pPr>
              <w:spacing w:line="240" w:lineRule="auto"/>
              <w:jc w:val="left"/>
              <w:rPr>
                <w:rFonts w:eastAsia="Times New Roman" w:cs="Times New Roman"/>
                <w:b/>
                <w:bCs/>
                <w:color w:val="000000" w:themeColor="text1"/>
                <w:sz w:val="18"/>
                <w:szCs w:val="19"/>
                <w:lang w:eastAsia="en-IN" w:bidi="ar-SA"/>
              </w:rPr>
            </w:pPr>
            <w:r w:rsidRPr="000F5ADA">
              <w:rPr>
                <w:rFonts w:eastAsia="Times New Roman" w:cs="Times New Roman"/>
                <w:b/>
                <w:bCs/>
                <w:color w:val="000000" w:themeColor="text1"/>
                <w:sz w:val="18"/>
                <w:szCs w:val="19"/>
                <w:lang w:eastAsia="en-IN" w:bidi="ar-SA"/>
              </w:rPr>
              <w:t>Environmental (E)</w:t>
            </w:r>
          </w:p>
        </w:tc>
        <w:tc>
          <w:tcPr>
            <w:tcW w:w="1742" w:type="pct"/>
            <w:hideMark/>
          </w:tcPr>
          <w:p w14:paraId="1D01BAD0"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Impact of climate change.</w:t>
            </w:r>
          </w:p>
          <w:p w14:paraId="66688484"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Kenya's geographical advantage for solar energy.</w:t>
            </w:r>
          </w:p>
          <w:p w14:paraId="52B0BCAE"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Environmental regulations.</w:t>
            </w:r>
          </w:p>
        </w:tc>
        <w:tc>
          <w:tcPr>
            <w:tcW w:w="1734" w:type="pct"/>
            <w:hideMark/>
          </w:tcPr>
          <w:p w14:paraId="61433B4C"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Positive: Kenya's high solar potential and environmental concerns can drive the demand for renewable energy solutions.</w:t>
            </w:r>
          </w:p>
        </w:tc>
      </w:tr>
      <w:tr w:rsidR="000F5ADA" w:rsidRPr="000F5ADA" w14:paraId="0105F98A" w14:textId="77777777" w:rsidTr="000F5ADA">
        <w:trPr>
          <w:trHeight w:val="48"/>
        </w:trPr>
        <w:tc>
          <w:tcPr>
            <w:tcW w:w="1524" w:type="pct"/>
            <w:hideMark/>
          </w:tcPr>
          <w:p w14:paraId="12AE59CE" w14:textId="77777777" w:rsidR="000F5ADA" w:rsidRPr="000F5ADA" w:rsidRDefault="000F5ADA" w:rsidP="000F5ADA">
            <w:pPr>
              <w:spacing w:line="240" w:lineRule="auto"/>
              <w:jc w:val="left"/>
              <w:rPr>
                <w:rFonts w:eastAsia="Times New Roman" w:cs="Times New Roman"/>
                <w:b/>
                <w:bCs/>
                <w:color w:val="000000" w:themeColor="text1"/>
                <w:sz w:val="18"/>
                <w:szCs w:val="19"/>
                <w:lang w:eastAsia="en-IN" w:bidi="ar-SA"/>
              </w:rPr>
            </w:pPr>
            <w:r w:rsidRPr="000F5ADA">
              <w:rPr>
                <w:rFonts w:eastAsia="Times New Roman" w:cs="Times New Roman"/>
                <w:b/>
                <w:bCs/>
                <w:color w:val="000000" w:themeColor="text1"/>
                <w:sz w:val="18"/>
                <w:szCs w:val="19"/>
                <w:lang w:eastAsia="en-IN" w:bidi="ar-SA"/>
              </w:rPr>
              <w:t>Legal (L)</w:t>
            </w:r>
          </w:p>
        </w:tc>
        <w:tc>
          <w:tcPr>
            <w:tcW w:w="1742" w:type="pct"/>
            <w:hideMark/>
          </w:tcPr>
          <w:p w14:paraId="45B7E703"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Laws regarding energy production and distribution.</w:t>
            </w:r>
          </w:p>
          <w:p w14:paraId="3B263A41"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Intellectual property rights.</w:t>
            </w:r>
          </w:p>
          <w:p w14:paraId="44959320"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 Compliance with international environmental standards.</w:t>
            </w:r>
          </w:p>
        </w:tc>
        <w:tc>
          <w:tcPr>
            <w:tcW w:w="1734" w:type="pct"/>
            <w:hideMark/>
          </w:tcPr>
          <w:p w14:paraId="3939FF5A" w14:textId="77777777" w:rsidR="000F5ADA" w:rsidRPr="000F5ADA" w:rsidRDefault="000F5ADA" w:rsidP="000F5ADA">
            <w:pPr>
              <w:spacing w:line="240" w:lineRule="auto"/>
              <w:jc w:val="left"/>
              <w:rPr>
                <w:rFonts w:eastAsia="Times New Roman" w:cs="Times New Roman"/>
                <w:color w:val="000000" w:themeColor="text1"/>
                <w:sz w:val="18"/>
                <w:szCs w:val="19"/>
                <w:lang w:eastAsia="en-IN" w:bidi="ar-SA"/>
              </w:rPr>
            </w:pPr>
            <w:r w:rsidRPr="000F5ADA">
              <w:rPr>
                <w:rFonts w:eastAsia="Times New Roman" w:cs="Times New Roman"/>
                <w:color w:val="000000" w:themeColor="text1"/>
                <w:sz w:val="18"/>
                <w:szCs w:val="19"/>
                <w:lang w:eastAsia="en-IN" w:bidi="ar-SA"/>
              </w:rPr>
              <w:t>Mixed: Stringent laws can increase compliance costs but also ensure market fairness and product standards.</w:t>
            </w:r>
          </w:p>
        </w:tc>
      </w:tr>
    </w:tbl>
    <w:p w14:paraId="5D42CE71" w14:textId="77777777" w:rsidR="000F5ADA" w:rsidRDefault="000F5ADA" w:rsidP="006B10BE">
      <w:pPr>
        <w:spacing w:before="240"/>
      </w:pPr>
    </w:p>
    <w:p w14:paraId="66F69E70" w14:textId="77777777" w:rsidR="006B10BE" w:rsidRDefault="006B10BE" w:rsidP="006B10BE">
      <w:pPr>
        <w:spacing w:before="240"/>
      </w:pPr>
      <w:r>
        <w:t>The economic impediment to expanding the grid in remote areas is substantial, as conventional utilities incur substantial capital expenditures and achieve a meagre return on investment (IEA, 2022). The aforementioned economic circumstance emphasises the criticality for scalable, economical energy solutions.</w:t>
      </w:r>
    </w:p>
    <w:p w14:paraId="1E292EBE" w14:textId="77777777" w:rsidR="006B10BE" w:rsidRDefault="006B10BE" w:rsidP="006B10BE">
      <w:pPr>
        <w:spacing w:before="240"/>
      </w:pPr>
      <w:r>
        <w:t xml:space="preserve">Socially, the lack of dependable energy sources in remote </w:t>
      </w:r>
      <w:proofErr w:type="gramStart"/>
      <w:r>
        <w:t>communities</w:t>
      </w:r>
      <w:proofErr w:type="gramEnd"/>
      <w:r>
        <w:t xml:space="preserve"> results in hindered economic growth, neglected educational opportunities, and substandard healthcare outcomes (UNDP, 2022). Despite the substantial social demand for energy, the supply continues to be inadequate.</w:t>
      </w:r>
    </w:p>
    <w:p w14:paraId="2CF2F2C3" w14:textId="77777777" w:rsidR="006B10BE" w:rsidRDefault="006B10BE" w:rsidP="006B10BE">
      <w:pPr>
        <w:spacing w:before="240"/>
      </w:pPr>
      <w:r>
        <w:lastRenderedPageBreak/>
        <w:t>From a technological standpoint, the progress made in solar technologies and the subsequent reduction in their expenses offer a viable solution to address this energy deficit (IRENA, 2022). Solar PV systems are ideal for scalability and adaptation to the particular requirements of remote communities due to their modular design.</w:t>
      </w:r>
    </w:p>
    <w:p w14:paraId="7F57DE1B" w14:textId="77777777" w:rsidR="006B10BE" w:rsidRDefault="006B10BE" w:rsidP="006B10BE">
      <w:pPr>
        <w:spacing w:before="240"/>
      </w:pPr>
      <w:r>
        <w:t>Solar solutions provide a decentralised and scalable energy source, thereby directly addressing these gaps. Solar energy is characterised by its minimal grid infrastructure requirements, cost-effectiveness in operation after installation, and resilience to geopolitical and economic uncertainties that impact fossil fuels (IRENA, 2022). Furthermore, solar energy is currently more dependable than ever before due to developments in storage solutions and the technology's attainment of a level of maturation where it can consistently deliver power (</w:t>
      </w:r>
      <w:proofErr w:type="spellStart"/>
      <w:r>
        <w:t>BloombergNEF</w:t>
      </w:r>
      <w:proofErr w:type="spellEnd"/>
      <w:r>
        <w:t>, 2022).</w:t>
      </w:r>
    </w:p>
    <w:p w14:paraId="68F0A5A5" w14:textId="77777777" w:rsidR="006B10BE" w:rsidRDefault="006B10BE" w:rsidP="006B10BE">
      <w:pPr>
        <w:spacing w:before="240"/>
      </w:pPr>
      <w:r>
        <w:t>To conclude, by offering a dependable, economical, and socially advantageous substitute for conventional energy sources, Solar Solutions Co. can exploit the identified market void. By doing so, we contribute to sustainable development in these underserved regions and satisfy a critical market need.</w:t>
      </w:r>
    </w:p>
    <w:p w14:paraId="730FA43F" w14:textId="77777777" w:rsidR="006B10BE" w:rsidRDefault="006B10BE" w:rsidP="006B10BE">
      <w:pPr>
        <w:spacing w:before="240"/>
      </w:pPr>
    </w:p>
    <w:p w14:paraId="3A1D0803" w14:textId="77777777" w:rsidR="006B10BE" w:rsidRDefault="006B10BE">
      <w:pPr>
        <w:spacing w:line="259" w:lineRule="auto"/>
        <w:jc w:val="left"/>
      </w:pPr>
      <w:r>
        <w:br w:type="page"/>
      </w:r>
    </w:p>
    <w:p w14:paraId="06C93023" w14:textId="77777777" w:rsidR="006B10BE" w:rsidRDefault="006B10BE" w:rsidP="006B10BE">
      <w:pPr>
        <w:pStyle w:val="Heading1"/>
      </w:pPr>
      <w:bookmarkStart w:id="4" w:name="_Toc150147555"/>
      <w:r>
        <w:lastRenderedPageBreak/>
        <w:t>Location and Legal Entity</w:t>
      </w:r>
      <w:bookmarkEnd w:id="4"/>
    </w:p>
    <w:p w14:paraId="6F486868" w14:textId="77777777" w:rsidR="006B10BE" w:rsidRDefault="006B10BE" w:rsidP="006B10BE">
      <w:pPr>
        <w:spacing w:before="240"/>
      </w:pPr>
      <w:r>
        <w:t>Solar Solutions Co. places critical importance on a location that is strategically situated and receives substantial solar irradiance for its operations. It has been determined that Sub-Saharan Africa, specifically Kenya, is the most advantageous location. The annual solar irradiance in this area surpasses 2,000 kWh/m²/year (IRENA, 2022), rendering it a highly favourable setting for the extraction of solar energy. The market demand is emphasised by the fact that more than 600 million individuals in Africa do not have access to electricity, with Kenya and other regions having rural electrification rates as low as 25% (World Bank, 2022).</w:t>
      </w:r>
    </w:p>
    <w:p w14:paraId="47DA58BD" w14:textId="77777777" w:rsidR="002A72B6" w:rsidRDefault="002A72B6" w:rsidP="002A72B6">
      <w:pPr>
        <w:keepNext/>
        <w:spacing w:before="240"/>
      </w:pPr>
      <w:r>
        <w:rPr>
          <w:noProof/>
          <w:lang w:eastAsia="en-IN" w:bidi="ar-SA"/>
        </w:rPr>
        <w:drawing>
          <wp:inline distT="0" distB="0" distL="0" distR="0" wp14:anchorId="576D94CA" wp14:editId="21F1E1E0">
            <wp:extent cx="5731510" cy="36207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patial-variation-of-solar-energy-potential-in-Kenya-at-100-x-100m-spatial-resolution-a.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620770"/>
                    </a:xfrm>
                    <a:prstGeom prst="rect">
                      <a:avLst/>
                    </a:prstGeom>
                  </pic:spPr>
                </pic:pic>
              </a:graphicData>
            </a:graphic>
          </wp:inline>
        </w:drawing>
      </w:r>
    </w:p>
    <w:p w14:paraId="1E8B2759" w14:textId="77777777" w:rsidR="002A72B6" w:rsidRDefault="002A72B6" w:rsidP="002A72B6">
      <w:pPr>
        <w:pStyle w:val="Caption"/>
      </w:pPr>
      <w:r>
        <w:t xml:space="preserve">Figure </w:t>
      </w:r>
      <w:fldSimple w:instr=" SEQ Figure \* ARABIC ">
        <w:r w:rsidR="00D51ED6">
          <w:rPr>
            <w:noProof/>
          </w:rPr>
          <w:t>2</w:t>
        </w:r>
      </w:fldSimple>
      <w:r>
        <w:t>. Solar energy potential in Kenya (Oloo et al., 2015)</w:t>
      </w:r>
    </w:p>
    <w:p w14:paraId="5B714F42" w14:textId="77777777" w:rsidR="006B10BE" w:rsidRDefault="006B10BE" w:rsidP="006B10BE">
      <w:pPr>
        <w:spacing w:before="240"/>
      </w:pPr>
      <w:r>
        <w:t>Kenya possesses an expanding network of transport infrastructure and multiple terminals for the importation of materials, which serve to facilitate distribution. The Kenyan Ministry of Energy (2022) asserts that the nation's dedication to renewable energy is reflected in its Vision 2030 development programme, which provides backing for the formation of renewable energy enterprises.</w:t>
      </w:r>
    </w:p>
    <w:p w14:paraId="24FA6D39" w14:textId="77777777" w:rsidR="006B10BE" w:rsidRDefault="006B10BE" w:rsidP="006B10BE">
      <w:pPr>
        <w:spacing w:before="240"/>
      </w:pPr>
      <w:r>
        <w:t xml:space="preserve">Assigned to this endeavour is a Limited Liability Company (LLC) as the legal entity. Such an entity affords operational flexibility and safeguards personal assets against business liabilities, which is an essential factor to bear in mind during periods of fluctuating market conditions </w:t>
      </w:r>
      <w:r>
        <w:lastRenderedPageBreak/>
        <w:t>(Investment Kenya, 2022). Additionally, the LLC structure provides tax advantages by permitting pass-through taxation, which is particularly beneficial for a startup that is in the process of expanding and intends to reinvest capital.</w:t>
      </w:r>
    </w:p>
    <w:p w14:paraId="363CD9CE" w14:textId="77777777" w:rsidR="006B10BE" w:rsidRDefault="006B10BE" w:rsidP="006B10BE">
      <w:pPr>
        <w:spacing w:before="240"/>
      </w:pPr>
    </w:p>
    <w:p w14:paraId="577C9338" w14:textId="77777777" w:rsidR="006B10BE" w:rsidRDefault="006B10BE" w:rsidP="006B10BE">
      <w:pPr>
        <w:spacing w:before="240"/>
      </w:pPr>
    </w:p>
    <w:p w14:paraId="6128ADF3" w14:textId="77777777" w:rsidR="006B10BE" w:rsidRDefault="006B10BE">
      <w:pPr>
        <w:spacing w:line="259" w:lineRule="auto"/>
        <w:jc w:val="left"/>
      </w:pPr>
      <w:r>
        <w:br w:type="page"/>
      </w:r>
    </w:p>
    <w:p w14:paraId="70A61E9D" w14:textId="77777777" w:rsidR="006B10BE" w:rsidRDefault="006B10BE" w:rsidP="006B10BE">
      <w:pPr>
        <w:pStyle w:val="Heading1"/>
      </w:pPr>
      <w:bookmarkStart w:id="5" w:name="_Toc150147556"/>
      <w:r>
        <w:lastRenderedPageBreak/>
        <w:t>SWOT Analysis</w:t>
      </w:r>
      <w:bookmarkEnd w:id="5"/>
      <w:r>
        <w:t xml:space="preserve"> </w:t>
      </w:r>
    </w:p>
    <w:p w14:paraId="2FF156FC" w14:textId="77777777" w:rsidR="006B10BE" w:rsidRDefault="006B10BE" w:rsidP="006B10BE">
      <w:pPr>
        <w:spacing w:before="240"/>
      </w:pPr>
      <w:r>
        <w:t>A SWOT analysis facilitates comprehension of an organization's strategic position. This analysis furnishes Solar Solutions Co. with knowledge regarding the internal (strengths and vulnerabilities) and external (opportunities and threats) factors that impact our solar energy solutions enterprise.</w:t>
      </w:r>
    </w:p>
    <w:p w14:paraId="58A2D564" w14:textId="77777777" w:rsidR="006B10BE" w:rsidRDefault="006B10BE" w:rsidP="006B10BE">
      <w:pPr>
        <w:pStyle w:val="Heading2"/>
      </w:pPr>
      <w:bookmarkStart w:id="6" w:name="_Toc150147557"/>
      <w:r>
        <w:t>Strengths</w:t>
      </w:r>
      <w:bookmarkEnd w:id="6"/>
    </w:p>
    <w:p w14:paraId="79E140FB" w14:textId="77777777" w:rsidR="006B10BE" w:rsidRDefault="006B10BE" w:rsidP="006B10BE">
      <w:pPr>
        <w:spacing w:before="240"/>
      </w:pPr>
      <w:r>
        <w:t>Our fundamental edge resides in our proficiency within the domain of renewable energy. We guarantee product quality that adheres to international standards (ISO, 2022). Our team comprises experienced professionals who possess enormous expertise in solar technology and market dynamics (</w:t>
      </w:r>
      <w:r w:rsidR="006E7BA0">
        <w:t>SEIA, 2023</w:t>
      </w:r>
      <w:r>
        <w:t>). The effectiveness and longevity of our products are evaluated and certified, guaranteeing both client contentment and product dependability.</w:t>
      </w:r>
    </w:p>
    <w:p w14:paraId="5186CD5A" w14:textId="77777777" w:rsidR="006B10BE" w:rsidRDefault="006B10BE" w:rsidP="006B10BE">
      <w:pPr>
        <w:spacing w:before="240"/>
      </w:pPr>
      <w:r>
        <w:t>Strategic alliances constitute an additional strength. We can enhance our market presence and operational capabilities through collaboration with international environmental organisations and local governments (World Economic Forum, 2022). This enables us to access a vast network of resources and facilitate the exchange of knowledge.</w:t>
      </w:r>
    </w:p>
    <w:p w14:paraId="3B80CC63" w14:textId="77777777" w:rsidR="006B10BE" w:rsidRDefault="006B10BE" w:rsidP="006B10BE">
      <w:pPr>
        <w:pStyle w:val="Heading2"/>
      </w:pPr>
      <w:bookmarkStart w:id="7" w:name="_Toc150147558"/>
      <w:r>
        <w:t>Weaknesses</w:t>
      </w:r>
      <w:bookmarkEnd w:id="7"/>
    </w:p>
    <w:p w14:paraId="572DD1DF" w14:textId="77777777" w:rsidR="006B10BE" w:rsidRDefault="006B10BE" w:rsidP="006B10BE">
      <w:pPr>
        <w:spacing w:before="240"/>
      </w:pPr>
      <w:r>
        <w:t>The initial expenses present a vulnerability. The establishment of solar infrastructure and the initial investment in technology demand substantial financial resources (IEA, 2022). This financial obstacle may impede our ability to scale swiftly and delay time to market.</w:t>
      </w:r>
    </w:p>
    <w:p w14:paraId="13D94509" w14:textId="77777777" w:rsidR="006B10BE" w:rsidRDefault="006B10BE" w:rsidP="006B10BE">
      <w:pPr>
        <w:spacing w:before="240"/>
      </w:pPr>
      <w:r>
        <w:t>Additionally, market penetration is difficult. Establishing credibility and brand awareness in emerging markets, particularly those inhabited by well-established rivals, necessitates considerable investment of time and resources in marke</w:t>
      </w:r>
      <w:r w:rsidR="00AF5702">
        <w:t>ting (Kotler and Keller, 2021</w:t>
      </w:r>
      <w:r>
        <w:t>).</w:t>
      </w:r>
    </w:p>
    <w:p w14:paraId="113A28C3" w14:textId="77777777" w:rsidR="006B10BE" w:rsidRDefault="006B10BE" w:rsidP="006B10BE">
      <w:pPr>
        <w:pStyle w:val="Heading2"/>
      </w:pPr>
      <w:bookmarkStart w:id="8" w:name="_Toc150147559"/>
      <w:r>
        <w:t>Opportunities</w:t>
      </w:r>
      <w:bookmarkEnd w:id="8"/>
    </w:p>
    <w:p w14:paraId="7F3A870B" w14:textId="77777777" w:rsidR="006B10BE" w:rsidRDefault="006B10BE" w:rsidP="006B10BE">
      <w:pPr>
        <w:spacing w:before="240"/>
      </w:pPr>
      <w:r>
        <w:t>The provision of government incentives for renewable energy projects in Kenya and throughout Africa represents a significant opportunity (Kenyan Ministry of Energy, 2022). These incentives may reduce operational and initial investment requirements.</w:t>
      </w:r>
    </w:p>
    <w:p w14:paraId="035BB8C5" w14:textId="77777777" w:rsidR="006B10BE" w:rsidRDefault="006B10BE" w:rsidP="006B10BE">
      <w:pPr>
        <w:spacing w:before="240"/>
      </w:pPr>
    </w:p>
    <w:p w14:paraId="70CC1622" w14:textId="77777777" w:rsidR="006B10BE" w:rsidRDefault="006B10BE" w:rsidP="006B10BE">
      <w:pPr>
        <w:spacing w:before="240"/>
      </w:pPr>
      <w:r>
        <w:lastRenderedPageBreak/>
        <w:t>The increasing market demand for renewable energy, propelled by heightened environmental consciousness and the escalating expenses associated with conventional energy sources, signifies a substantial prospect for growth (</w:t>
      </w:r>
      <w:proofErr w:type="spellStart"/>
      <w:r>
        <w:t>BloombergNEF</w:t>
      </w:r>
      <w:proofErr w:type="spellEnd"/>
      <w:r>
        <w:t>, 2022). International assistance for renewable energy initiatives strengthens this (United Nations Framework Conve</w:t>
      </w:r>
      <w:r w:rsidR="009C7DA4">
        <w:t>ntion on Climate Change, 2023</w:t>
      </w:r>
      <w:r>
        <w:t>).</w:t>
      </w:r>
    </w:p>
    <w:p w14:paraId="607A1BDF" w14:textId="77777777" w:rsidR="00B335D9" w:rsidRDefault="00B335D9" w:rsidP="00B335D9">
      <w:pPr>
        <w:pStyle w:val="Caption"/>
        <w:keepNext/>
      </w:pPr>
      <w:r>
        <w:t xml:space="preserve">Table </w:t>
      </w:r>
      <w:fldSimple w:instr=" SEQ Table \* ARABIC ">
        <w:r w:rsidR="000F5ADA">
          <w:rPr>
            <w:noProof/>
          </w:rPr>
          <w:t>2</w:t>
        </w:r>
      </w:fldSimple>
      <w:r>
        <w:t>. SWOT Matrix</w:t>
      </w:r>
    </w:p>
    <w:tbl>
      <w:tblPr>
        <w:tblStyle w:val="PlainTable1"/>
        <w:tblW w:w="5000" w:type="pct"/>
        <w:tblLook w:val="04A0" w:firstRow="1" w:lastRow="0" w:firstColumn="1" w:lastColumn="0" w:noHBand="0" w:noVBand="1"/>
      </w:tblPr>
      <w:tblGrid>
        <w:gridCol w:w="2312"/>
        <w:gridCol w:w="2106"/>
        <w:gridCol w:w="2301"/>
        <w:gridCol w:w="2297"/>
      </w:tblGrid>
      <w:tr w:rsidR="00B335D9" w:rsidRPr="00B335D9" w14:paraId="5B155B8F" w14:textId="77777777" w:rsidTr="00B335D9">
        <w:trPr>
          <w:cnfStyle w:val="100000000000" w:firstRow="1" w:lastRow="0" w:firstColumn="0" w:lastColumn="0" w:oddVBand="0" w:evenVBand="0" w:oddHBand="0" w:evenHBand="0" w:firstRowFirstColumn="0" w:firstRowLastColumn="0" w:lastRowFirstColumn="0" w:lastRowLastColumn="0"/>
          <w:trHeight w:val="1004"/>
        </w:trPr>
        <w:tc>
          <w:tcPr>
            <w:cnfStyle w:val="001000000000" w:firstRow="0" w:lastRow="0" w:firstColumn="1" w:lastColumn="0" w:oddVBand="0" w:evenVBand="0" w:oddHBand="0" w:evenHBand="0" w:firstRowFirstColumn="0" w:firstRowLastColumn="0" w:lastRowFirstColumn="0" w:lastRowLastColumn="0"/>
            <w:tcW w:w="1282" w:type="pct"/>
            <w:hideMark/>
          </w:tcPr>
          <w:p w14:paraId="478C2E3A" w14:textId="77777777" w:rsidR="00B335D9" w:rsidRPr="00B335D9" w:rsidRDefault="00B335D9" w:rsidP="00B335D9">
            <w:pPr>
              <w:spacing w:line="240" w:lineRule="auto"/>
              <w:jc w:val="center"/>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Strengths (Internal)</w:t>
            </w:r>
          </w:p>
        </w:tc>
        <w:tc>
          <w:tcPr>
            <w:tcW w:w="1168" w:type="pct"/>
            <w:hideMark/>
          </w:tcPr>
          <w:p w14:paraId="67D63658"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Weaknesses (Internal)</w:t>
            </w:r>
          </w:p>
        </w:tc>
        <w:tc>
          <w:tcPr>
            <w:tcW w:w="1276" w:type="pct"/>
            <w:hideMark/>
          </w:tcPr>
          <w:p w14:paraId="1FEFAE8E"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Opportunities (External)</w:t>
            </w:r>
          </w:p>
        </w:tc>
        <w:tc>
          <w:tcPr>
            <w:tcW w:w="1274" w:type="pct"/>
            <w:hideMark/>
          </w:tcPr>
          <w:p w14:paraId="4908363B"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Threats (External)</w:t>
            </w:r>
          </w:p>
        </w:tc>
      </w:tr>
      <w:tr w:rsidR="00B335D9" w:rsidRPr="00B335D9" w14:paraId="5F649D8A" w14:textId="77777777" w:rsidTr="00B335D9">
        <w:trPr>
          <w:cnfStyle w:val="000000100000" w:firstRow="0" w:lastRow="0" w:firstColumn="0" w:lastColumn="0" w:oddVBand="0" w:evenVBand="0" w:oddHBand="1" w:evenHBand="0" w:firstRowFirstColumn="0" w:firstRowLastColumn="0" w:lastRowFirstColumn="0" w:lastRowLastColumn="0"/>
          <w:trHeight w:val="1635"/>
        </w:trPr>
        <w:tc>
          <w:tcPr>
            <w:cnfStyle w:val="001000000000" w:firstRow="0" w:lastRow="0" w:firstColumn="1" w:lastColumn="0" w:oddVBand="0" w:evenVBand="0" w:oddHBand="0" w:evenHBand="0" w:firstRowFirstColumn="0" w:firstRowLastColumn="0" w:lastRowFirstColumn="0" w:lastRowLastColumn="0"/>
            <w:tcW w:w="1282" w:type="pct"/>
            <w:hideMark/>
          </w:tcPr>
          <w:p w14:paraId="5D666CE4" w14:textId="77777777" w:rsidR="00B335D9" w:rsidRPr="00B335D9" w:rsidRDefault="00B335D9" w:rsidP="00B335D9">
            <w:pPr>
              <w:spacing w:line="240" w:lineRule="auto"/>
              <w:jc w:val="left"/>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High-Quality Products: Durable and efficient solar panels suited for the Kenyan climate.</w:t>
            </w:r>
          </w:p>
        </w:tc>
        <w:tc>
          <w:tcPr>
            <w:tcW w:w="1168" w:type="pct"/>
            <w:hideMark/>
          </w:tcPr>
          <w:p w14:paraId="3D6C4EE7"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Initial Costs</w:t>
            </w:r>
            <w:r w:rsidRPr="00B335D9">
              <w:rPr>
                <w:rFonts w:eastAsia="Times New Roman" w:cs="Times New Roman"/>
                <w:color w:val="000000" w:themeColor="text1"/>
                <w:sz w:val="18"/>
                <w:szCs w:val="19"/>
                <w:lang w:eastAsia="en-IN" w:bidi="ar-SA"/>
              </w:rPr>
              <w:t>: High upfront investment required for infrastructure and technology.</w:t>
            </w:r>
          </w:p>
        </w:tc>
        <w:tc>
          <w:tcPr>
            <w:tcW w:w="1276" w:type="pct"/>
            <w:hideMark/>
          </w:tcPr>
          <w:p w14:paraId="7F1BD938"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Government Incentives</w:t>
            </w:r>
            <w:r w:rsidRPr="00B335D9">
              <w:rPr>
                <w:rFonts w:eastAsia="Times New Roman" w:cs="Times New Roman"/>
                <w:color w:val="000000" w:themeColor="text1"/>
                <w:sz w:val="18"/>
                <w:szCs w:val="19"/>
                <w:lang w:eastAsia="en-IN" w:bidi="ar-SA"/>
              </w:rPr>
              <w:t>: Kenya's government provides subsidies for renewable energy initiatives.</w:t>
            </w:r>
          </w:p>
        </w:tc>
        <w:tc>
          <w:tcPr>
            <w:tcW w:w="1274" w:type="pct"/>
            <w:hideMark/>
          </w:tcPr>
          <w:p w14:paraId="6A69295C"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Market Competition</w:t>
            </w:r>
            <w:r w:rsidRPr="00B335D9">
              <w:rPr>
                <w:rFonts w:eastAsia="Times New Roman" w:cs="Times New Roman"/>
                <w:color w:val="000000" w:themeColor="text1"/>
                <w:sz w:val="18"/>
                <w:szCs w:val="19"/>
                <w:lang w:eastAsia="en-IN" w:bidi="ar-SA"/>
              </w:rPr>
              <w:t>: Established competitors with strong market presence.</w:t>
            </w:r>
          </w:p>
        </w:tc>
      </w:tr>
      <w:tr w:rsidR="00B335D9" w:rsidRPr="00B335D9" w14:paraId="737B8875" w14:textId="77777777" w:rsidTr="00B335D9">
        <w:trPr>
          <w:trHeight w:val="1635"/>
        </w:trPr>
        <w:tc>
          <w:tcPr>
            <w:cnfStyle w:val="001000000000" w:firstRow="0" w:lastRow="0" w:firstColumn="1" w:lastColumn="0" w:oddVBand="0" w:evenVBand="0" w:oddHBand="0" w:evenHBand="0" w:firstRowFirstColumn="0" w:firstRowLastColumn="0" w:lastRowFirstColumn="0" w:lastRowLastColumn="0"/>
            <w:tcW w:w="1282" w:type="pct"/>
            <w:hideMark/>
          </w:tcPr>
          <w:p w14:paraId="31FC9F49" w14:textId="77777777" w:rsidR="00B335D9" w:rsidRPr="00B335D9" w:rsidRDefault="00B335D9" w:rsidP="00B335D9">
            <w:pPr>
              <w:spacing w:line="240" w:lineRule="auto"/>
              <w:jc w:val="left"/>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Local Partnerships: Collaboration with local communities and businesses for tailored solutions.</w:t>
            </w:r>
          </w:p>
        </w:tc>
        <w:tc>
          <w:tcPr>
            <w:tcW w:w="1168" w:type="pct"/>
            <w:hideMark/>
          </w:tcPr>
          <w:p w14:paraId="4377796E"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Market Penetration</w:t>
            </w:r>
            <w:r w:rsidRPr="00B335D9">
              <w:rPr>
                <w:rFonts w:eastAsia="Times New Roman" w:cs="Times New Roman"/>
                <w:color w:val="000000" w:themeColor="text1"/>
                <w:sz w:val="18"/>
                <w:szCs w:val="19"/>
                <w:lang w:eastAsia="en-IN" w:bidi="ar-SA"/>
              </w:rPr>
              <w:t>: Building trust and brand recognition in a new market takes time.</w:t>
            </w:r>
          </w:p>
        </w:tc>
        <w:tc>
          <w:tcPr>
            <w:tcW w:w="1276" w:type="pct"/>
            <w:hideMark/>
          </w:tcPr>
          <w:p w14:paraId="597A367E"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Growing Demand</w:t>
            </w:r>
            <w:r w:rsidRPr="00B335D9">
              <w:rPr>
                <w:rFonts w:eastAsia="Times New Roman" w:cs="Times New Roman"/>
                <w:color w:val="000000" w:themeColor="text1"/>
                <w:sz w:val="18"/>
                <w:szCs w:val="19"/>
                <w:lang w:eastAsia="en-IN" w:bidi="ar-SA"/>
              </w:rPr>
              <w:t>: Increasing awareness and need for sustainable energy solutions in Africa.</w:t>
            </w:r>
          </w:p>
        </w:tc>
        <w:tc>
          <w:tcPr>
            <w:tcW w:w="1274" w:type="pct"/>
            <w:hideMark/>
          </w:tcPr>
          <w:p w14:paraId="40896F31"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Technological Advances</w:t>
            </w:r>
            <w:r w:rsidRPr="00B335D9">
              <w:rPr>
                <w:rFonts w:eastAsia="Times New Roman" w:cs="Times New Roman"/>
                <w:color w:val="000000" w:themeColor="text1"/>
                <w:sz w:val="18"/>
                <w:szCs w:val="19"/>
                <w:lang w:eastAsia="en-IN" w:bidi="ar-SA"/>
              </w:rPr>
              <w:t>: Rapid changes in solar technology could render current products outdated.</w:t>
            </w:r>
          </w:p>
        </w:tc>
      </w:tr>
      <w:tr w:rsidR="00B335D9" w:rsidRPr="00B335D9" w14:paraId="3741D544" w14:textId="77777777" w:rsidTr="00B335D9">
        <w:trPr>
          <w:cnfStyle w:val="000000100000" w:firstRow="0" w:lastRow="0" w:firstColumn="0" w:lastColumn="0" w:oddVBand="0" w:evenVBand="0" w:oddHBand="1" w:evenHBand="0" w:firstRowFirstColumn="0" w:firstRowLastColumn="0" w:lastRowFirstColumn="0" w:lastRowLastColumn="0"/>
          <w:trHeight w:val="1635"/>
        </w:trPr>
        <w:tc>
          <w:tcPr>
            <w:cnfStyle w:val="001000000000" w:firstRow="0" w:lastRow="0" w:firstColumn="1" w:lastColumn="0" w:oddVBand="0" w:evenVBand="0" w:oddHBand="0" w:evenHBand="0" w:firstRowFirstColumn="0" w:firstRowLastColumn="0" w:lastRowFirstColumn="0" w:lastRowLastColumn="0"/>
            <w:tcW w:w="1282" w:type="pct"/>
            <w:hideMark/>
          </w:tcPr>
          <w:p w14:paraId="652EF2A7" w14:textId="77777777" w:rsidR="00B335D9" w:rsidRPr="00B335D9" w:rsidRDefault="00B335D9" w:rsidP="00B335D9">
            <w:pPr>
              <w:spacing w:line="240" w:lineRule="auto"/>
              <w:jc w:val="left"/>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Expertise in Solar Energy: Team with extensive knowledge and experience in renewable energy.</w:t>
            </w:r>
          </w:p>
        </w:tc>
        <w:tc>
          <w:tcPr>
            <w:tcW w:w="1168" w:type="pct"/>
            <w:hideMark/>
          </w:tcPr>
          <w:p w14:paraId="551FDE23"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Supply Chain Complexity</w:t>
            </w:r>
            <w:r w:rsidRPr="00B335D9">
              <w:rPr>
                <w:rFonts w:eastAsia="Times New Roman" w:cs="Times New Roman"/>
                <w:color w:val="000000" w:themeColor="text1"/>
                <w:sz w:val="18"/>
                <w:szCs w:val="19"/>
                <w:lang w:eastAsia="en-IN" w:bidi="ar-SA"/>
              </w:rPr>
              <w:t>: Managing logistics in remote areas can be challenging.</w:t>
            </w:r>
          </w:p>
        </w:tc>
        <w:tc>
          <w:tcPr>
            <w:tcW w:w="1276" w:type="pct"/>
            <w:hideMark/>
          </w:tcPr>
          <w:p w14:paraId="4299CD04"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International Support</w:t>
            </w:r>
            <w:r w:rsidRPr="00B335D9">
              <w:rPr>
                <w:rFonts w:eastAsia="Times New Roman" w:cs="Times New Roman"/>
                <w:color w:val="000000" w:themeColor="text1"/>
                <w:sz w:val="18"/>
                <w:szCs w:val="19"/>
                <w:lang w:eastAsia="en-IN" w:bidi="ar-SA"/>
              </w:rPr>
              <w:t>: Potential for funding and partnerships with global sustainability programs.</w:t>
            </w:r>
          </w:p>
        </w:tc>
        <w:tc>
          <w:tcPr>
            <w:tcW w:w="1274" w:type="pct"/>
            <w:hideMark/>
          </w:tcPr>
          <w:p w14:paraId="215AE64D"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Policy Changes</w:t>
            </w:r>
            <w:r w:rsidRPr="00B335D9">
              <w:rPr>
                <w:rFonts w:eastAsia="Times New Roman" w:cs="Times New Roman"/>
                <w:color w:val="000000" w:themeColor="text1"/>
                <w:sz w:val="18"/>
                <w:szCs w:val="19"/>
                <w:lang w:eastAsia="en-IN" w:bidi="ar-SA"/>
              </w:rPr>
              <w:t>: Unpredictable shifts in local and international energy policies.</w:t>
            </w:r>
          </w:p>
        </w:tc>
      </w:tr>
      <w:tr w:rsidR="00B335D9" w:rsidRPr="00B335D9" w14:paraId="5E2BFF36" w14:textId="77777777" w:rsidTr="00B335D9">
        <w:trPr>
          <w:trHeight w:val="1635"/>
        </w:trPr>
        <w:tc>
          <w:tcPr>
            <w:cnfStyle w:val="001000000000" w:firstRow="0" w:lastRow="0" w:firstColumn="1" w:lastColumn="0" w:oddVBand="0" w:evenVBand="0" w:oddHBand="0" w:evenHBand="0" w:firstRowFirstColumn="0" w:firstRowLastColumn="0" w:lastRowFirstColumn="0" w:lastRowLastColumn="0"/>
            <w:tcW w:w="1282" w:type="pct"/>
            <w:hideMark/>
          </w:tcPr>
          <w:p w14:paraId="739F5B81" w14:textId="77777777" w:rsidR="00B335D9" w:rsidRPr="00B335D9" w:rsidRDefault="00B335D9" w:rsidP="00B335D9">
            <w:pPr>
              <w:spacing w:line="240" w:lineRule="auto"/>
              <w:jc w:val="left"/>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Sustainability: Commitment to social and environmental responsibility.</w:t>
            </w:r>
          </w:p>
        </w:tc>
        <w:tc>
          <w:tcPr>
            <w:tcW w:w="1168" w:type="pct"/>
            <w:hideMark/>
          </w:tcPr>
          <w:p w14:paraId="438660D8"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Skilled Labor Shortage</w:t>
            </w:r>
            <w:r w:rsidRPr="00B335D9">
              <w:rPr>
                <w:rFonts w:eastAsia="Times New Roman" w:cs="Times New Roman"/>
                <w:color w:val="000000" w:themeColor="text1"/>
                <w:sz w:val="18"/>
                <w:szCs w:val="19"/>
                <w:lang w:eastAsia="en-IN" w:bidi="ar-SA"/>
              </w:rPr>
              <w:t>: Difficulty in finding and retaining trained technicians locally.</w:t>
            </w:r>
          </w:p>
        </w:tc>
        <w:tc>
          <w:tcPr>
            <w:tcW w:w="1276" w:type="pct"/>
            <w:hideMark/>
          </w:tcPr>
          <w:p w14:paraId="153E1769"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Expansion Potential</w:t>
            </w:r>
            <w:r w:rsidRPr="00B335D9">
              <w:rPr>
                <w:rFonts w:eastAsia="Times New Roman" w:cs="Times New Roman"/>
                <w:color w:val="000000" w:themeColor="text1"/>
                <w:sz w:val="18"/>
                <w:szCs w:val="19"/>
                <w:lang w:eastAsia="en-IN" w:bidi="ar-SA"/>
              </w:rPr>
              <w:t>: Ability to scale operations into other East African markets.</w:t>
            </w:r>
          </w:p>
        </w:tc>
        <w:tc>
          <w:tcPr>
            <w:tcW w:w="1274" w:type="pct"/>
            <w:hideMark/>
          </w:tcPr>
          <w:p w14:paraId="0A14E1ED"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themeColor="text1"/>
                <w:sz w:val="18"/>
                <w:szCs w:val="19"/>
                <w:lang w:eastAsia="en-IN" w:bidi="ar-SA"/>
              </w:rPr>
            </w:pPr>
            <w:r w:rsidRPr="00B335D9">
              <w:rPr>
                <w:rFonts w:eastAsia="Times New Roman" w:cs="Times New Roman"/>
                <w:b/>
                <w:bCs/>
                <w:color w:val="000000" w:themeColor="text1"/>
                <w:sz w:val="18"/>
                <w:szCs w:val="19"/>
                <w:lang w:eastAsia="en-IN" w:bidi="ar-SA"/>
              </w:rPr>
              <w:t>Economic Instability</w:t>
            </w:r>
            <w:r w:rsidRPr="00B335D9">
              <w:rPr>
                <w:rFonts w:eastAsia="Times New Roman" w:cs="Times New Roman"/>
                <w:color w:val="000000" w:themeColor="text1"/>
                <w:sz w:val="18"/>
                <w:szCs w:val="19"/>
                <w:lang w:eastAsia="en-IN" w:bidi="ar-SA"/>
              </w:rPr>
              <w:t>: Fluctuations in the Kenyan economy could affect purchasing power.</w:t>
            </w:r>
          </w:p>
        </w:tc>
      </w:tr>
    </w:tbl>
    <w:p w14:paraId="58EAAAB5" w14:textId="77777777" w:rsidR="00B335D9" w:rsidRDefault="00B335D9" w:rsidP="006B10BE">
      <w:pPr>
        <w:spacing w:before="240"/>
      </w:pPr>
    </w:p>
    <w:p w14:paraId="3DA3D7C4" w14:textId="77777777" w:rsidR="006B10BE" w:rsidRDefault="006B10BE" w:rsidP="006B10BE">
      <w:pPr>
        <w:pStyle w:val="Heading2"/>
      </w:pPr>
      <w:bookmarkStart w:id="9" w:name="_Toc150147560"/>
      <w:r>
        <w:t>Threats</w:t>
      </w:r>
      <w:bookmarkEnd w:id="9"/>
    </w:p>
    <w:p w14:paraId="51995743" w14:textId="77777777" w:rsidR="006B10BE" w:rsidRDefault="006B10BE" w:rsidP="006B10BE">
      <w:pPr>
        <w:spacing w:before="240"/>
      </w:pPr>
      <w:r>
        <w:t>The actions of our rivals may pose a risk to our market position. Our entry and expansion may be hampered by the pricing strategies and market penetration of well-estab</w:t>
      </w:r>
      <w:r w:rsidR="0057748E">
        <w:t>lished competitors (Porter, 1997</w:t>
      </w:r>
      <w:r>
        <w:t>).</w:t>
      </w:r>
    </w:p>
    <w:p w14:paraId="02B5961C" w14:textId="77777777" w:rsidR="006B10BE" w:rsidRDefault="006B10BE" w:rsidP="006B10BE">
      <w:pPr>
        <w:spacing w:before="240"/>
      </w:pPr>
      <w:r>
        <w:lastRenderedPageBreak/>
        <w:t xml:space="preserve">Technological advancements also pose a potential risk. Products may become obsolete at an alarming rate due to the swift rate of innovation in solar technology; therefore, ongoing investments in research and development </w:t>
      </w:r>
      <w:r w:rsidR="008404EE">
        <w:t>are required (Schilling, 2019</w:t>
      </w:r>
      <w:r>
        <w:t>).</w:t>
      </w:r>
    </w:p>
    <w:p w14:paraId="0B4C71D0" w14:textId="77777777" w:rsidR="006B10BE" w:rsidRDefault="006B10BE">
      <w:pPr>
        <w:spacing w:line="259" w:lineRule="auto"/>
        <w:jc w:val="left"/>
      </w:pPr>
      <w:r>
        <w:br w:type="page"/>
      </w:r>
    </w:p>
    <w:p w14:paraId="0EB6F08A" w14:textId="77777777" w:rsidR="006B10BE" w:rsidRDefault="006B10BE" w:rsidP="006B10BE">
      <w:pPr>
        <w:pStyle w:val="Heading1"/>
      </w:pPr>
      <w:bookmarkStart w:id="10" w:name="_Toc150147561"/>
      <w:r>
        <w:lastRenderedPageBreak/>
        <w:t>Target Market and Marketing Strategy</w:t>
      </w:r>
      <w:bookmarkEnd w:id="10"/>
    </w:p>
    <w:p w14:paraId="1B369C8B" w14:textId="77777777" w:rsidR="006B10BE" w:rsidRDefault="006B10BE" w:rsidP="006B10BE">
      <w:pPr>
        <w:spacing w:before="240"/>
      </w:pPr>
      <w:r>
        <w:t>In order to ascertain the most valuable market segments and devise an effective communication strategy with them, the STP (Segmentation, Targeting, Positioning) model can be utilised to define the target market and customise the marketing s</w:t>
      </w:r>
      <w:r w:rsidR="00AF5702">
        <w:t>trategy (Kotler and Keller, 2021</w:t>
      </w:r>
      <w:r>
        <w:t>).</w:t>
      </w:r>
    </w:p>
    <w:p w14:paraId="1920307E" w14:textId="77777777" w:rsidR="006B10BE" w:rsidRDefault="006B10BE" w:rsidP="006B10BE">
      <w:pPr>
        <w:pStyle w:val="Heading2"/>
      </w:pPr>
      <w:bookmarkStart w:id="11" w:name="_Toc150147562"/>
      <w:r>
        <w:t>Target Market</w:t>
      </w:r>
      <w:bookmarkEnd w:id="11"/>
    </w:p>
    <w:p w14:paraId="02F0FF26" w14:textId="77777777" w:rsidR="006B10BE" w:rsidRDefault="006B10BE" w:rsidP="006B10BE">
      <w:pPr>
        <w:spacing w:before="240"/>
      </w:pPr>
      <w:r>
        <w:t>Solar Solutions Company's target demographic comprises community-based and residential sectors situated in geographically isolated regions of Kenya. These generally comprise local businesses and households (aged 25 to 55) with limited or no grid access, diverse income levels, and a common desire for dependable energy solutions.</w:t>
      </w:r>
    </w:p>
    <w:p w14:paraId="7278F476" w14:textId="77777777" w:rsidR="000F5ADA" w:rsidRDefault="000F5ADA" w:rsidP="000F5ADA">
      <w:pPr>
        <w:pStyle w:val="Caption"/>
        <w:keepNext/>
      </w:pPr>
      <w:r>
        <w:t xml:space="preserve">Table </w:t>
      </w:r>
      <w:fldSimple w:instr=" SEQ Table \* ARABIC ">
        <w:r>
          <w:rPr>
            <w:noProof/>
          </w:rPr>
          <w:t>3</w:t>
        </w:r>
      </w:fldSimple>
      <w:r>
        <w:t xml:space="preserve">. </w:t>
      </w:r>
      <w:r w:rsidRPr="008B2C64">
        <w:t>Demographic Breakdown of the Target Market for Solar Solutions Co.</w:t>
      </w:r>
    </w:p>
    <w:tbl>
      <w:tblPr>
        <w:tblStyle w:val="TableGrid"/>
        <w:tblW w:w="5000" w:type="pct"/>
        <w:tblLook w:val="04A0" w:firstRow="1" w:lastRow="0" w:firstColumn="1" w:lastColumn="0" w:noHBand="0" w:noVBand="1"/>
      </w:tblPr>
      <w:tblGrid>
        <w:gridCol w:w="2332"/>
        <w:gridCol w:w="2196"/>
        <w:gridCol w:w="2634"/>
        <w:gridCol w:w="1854"/>
      </w:tblGrid>
      <w:tr w:rsidR="000F5ADA" w:rsidRPr="000F5ADA" w14:paraId="0E3C0577" w14:textId="77777777" w:rsidTr="000F5ADA">
        <w:trPr>
          <w:trHeight w:val="840"/>
        </w:trPr>
        <w:tc>
          <w:tcPr>
            <w:tcW w:w="1293" w:type="pct"/>
            <w:hideMark/>
          </w:tcPr>
          <w:p w14:paraId="2547360A" w14:textId="77777777" w:rsidR="000F5ADA" w:rsidRPr="000F5ADA" w:rsidRDefault="000F5ADA" w:rsidP="000F5ADA">
            <w:pPr>
              <w:spacing w:line="240" w:lineRule="auto"/>
              <w:jc w:val="center"/>
              <w:rPr>
                <w:rFonts w:eastAsia="Times New Roman" w:cs="Times New Roman"/>
                <w:b/>
                <w:bCs/>
                <w:color w:val="000000" w:themeColor="text1"/>
                <w:sz w:val="18"/>
                <w:szCs w:val="18"/>
                <w:lang w:eastAsia="en-IN" w:bidi="ar-SA"/>
              </w:rPr>
            </w:pPr>
            <w:r w:rsidRPr="000F5ADA">
              <w:rPr>
                <w:rFonts w:eastAsia="Times New Roman" w:cs="Times New Roman"/>
                <w:b/>
                <w:bCs/>
                <w:color w:val="000000" w:themeColor="text1"/>
                <w:sz w:val="18"/>
                <w:szCs w:val="18"/>
                <w:lang w:eastAsia="en-IN" w:bidi="ar-SA"/>
              </w:rPr>
              <w:t>Demographic Factor</w:t>
            </w:r>
          </w:p>
        </w:tc>
        <w:tc>
          <w:tcPr>
            <w:tcW w:w="1218" w:type="pct"/>
            <w:hideMark/>
          </w:tcPr>
          <w:p w14:paraId="37F0E471" w14:textId="77777777" w:rsidR="000F5ADA" w:rsidRPr="000F5ADA" w:rsidRDefault="000F5ADA" w:rsidP="000F5ADA">
            <w:pPr>
              <w:spacing w:line="240" w:lineRule="auto"/>
              <w:jc w:val="center"/>
              <w:rPr>
                <w:rFonts w:eastAsia="Times New Roman" w:cs="Times New Roman"/>
                <w:b/>
                <w:bCs/>
                <w:color w:val="000000" w:themeColor="text1"/>
                <w:sz w:val="18"/>
                <w:szCs w:val="18"/>
                <w:lang w:eastAsia="en-IN" w:bidi="ar-SA"/>
              </w:rPr>
            </w:pPr>
            <w:r w:rsidRPr="000F5ADA">
              <w:rPr>
                <w:rFonts w:eastAsia="Times New Roman" w:cs="Times New Roman"/>
                <w:b/>
                <w:bCs/>
                <w:color w:val="000000" w:themeColor="text1"/>
                <w:sz w:val="18"/>
                <w:szCs w:val="18"/>
                <w:lang w:eastAsia="en-IN" w:bidi="ar-SA"/>
              </w:rPr>
              <w:t>Description</w:t>
            </w:r>
          </w:p>
        </w:tc>
        <w:tc>
          <w:tcPr>
            <w:tcW w:w="1461" w:type="pct"/>
            <w:hideMark/>
          </w:tcPr>
          <w:p w14:paraId="2F788F7B" w14:textId="77777777" w:rsidR="000F5ADA" w:rsidRPr="000F5ADA" w:rsidRDefault="000F5ADA" w:rsidP="000F5ADA">
            <w:pPr>
              <w:spacing w:line="240" w:lineRule="auto"/>
              <w:jc w:val="center"/>
              <w:rPr>
                <w:rFonts w:eastAsia="Times New Roman" w:cs="Times New Roman"/>
                <w:b/>
                <w:bCs/>
                <w:color w:val="000000" w:themeColor="text1"/>
                <w:sz w:val="18"/>
                <w:szCs w:val="18"/>
                <w:lang w:eastAsia="en-IN" w:bidi="ar-SA"/>
              </w:rPr>
            </w:pPr>
            <w:r w:rsidRPr="000F5ADA">
              <w:rPr>
                <w:rFonts w:eastAsia="Times New Roman" w:cs="Times New Roman"/>
                <w:b/>
                <w:bCs/>
                <w:color w:val="000000" w:themeColor="text1"/>
                <w:sz w:val="18"/>
                <w:szCs w:val="18"/>
                <w:lang w:eastAsia="en-IN" w:bidi="ar-SA"/>
              </w:rPr>
              <w:t>Percentage/Number</w:t>
            </w:r>
          </w:p>
        </w:tc>
        <w:tc>
          <w:tcPr>
            <w:tcW w:w="1029" w:type="pct"/>
            <w:hideMark/>
          </w:tcPr>
          <w:p w14:paraId="3F251FA6" w14:textId="77777777" w:rsidR="000F5ADA" w:rsidRPr="000F5ADA" w:rsidRDefault="000F5ADA" w:rsidP="000F5ADA">
            <w:pPr>
              <w:spacing w:line="240" w:lineRule="auto"/>
              <w:jc w:val="center"/>
              <w:rPr>
                <w:rFonts w:eastAsia="Times New Roman" w:cs="Times New Roman"/>
                <w:b/>
                <w:bCs/>
                <w:color w:val="000000" w:themeColor="text1"/>
                <w:sz w:val="18"/>
                <w:szCs w:val="18"/>
                <w:lang w:eastAsia="en-IN" w:bidi="ar-SA"/>
              </w:rPr>
            </w:pPr>
            <w:r w:rsidRPr="000F5ADA">
              <w:rPr>
                <w:rFonts w:eastAsia="Times New Roman" w:cs="Times New Roman"/>
                <w:b/>
                <w:bCs/>
                <w:color w:val="000000" w:themeColor="text1"/>
                <w:sz w:val="18"/>
                <w:szCs w:val="18"/>
                <w:lang w:eastAsia="en-IN" w:bidi="ar-SA"/>
              </w:rPr>
              <w:t>Notes</w:t>
            </w:r>
          </w:p>
        </w:tc>
      </w:tr>
      <w:tr w:rsidR="000F5ADA" w:rsidRPr="000F5ADA" w14:paraId="71497EDF" w14:textId="77777777" w:rsidTr="000F5ADA">
        <w:trPr>
          <w:trHeight w:val="564"/>
        </w:trPr>
        <w:tc>
          <w:tcPr>
            <w:tcW w:w="1293" w:type="pct"/>
            <w:hideMark/>
          </w:tcPr>
          <w:p w14:paraId="2FAA57C2" w14:textId="77777777" w:rsidR="000F5ADA" w:rsidRPr="000F5ADA" w:rsidRDefault="000F5ADA" w:rsidP="000F5ADA">
            <w:pPr>
              <w:spacing w:line="240" w:lineRule="auto"/>
              <w:jc w:val="left"/>
              <w:rPr>
                <w:rFonts w:eastAsia="Times New Roman" w:cs="Times New Roman"/>
                <w:b/>
                <w:bCs/>
                <w:color w:val="000000" w:themeColor="text1"/>
                <w:sz w:val="18"/>
                <w:szCs w:val="18"/>
                <w:lang w:eastAsia="en-IN" w:bidi="ar-SA"/>
              </w:rPr>
            </w:pPr>
            <w:r w:rsidRPr="000F5ADA">
              <w:rPr>
                <w:rFonts w:eastAsia="Times New Roman" w:cs="Times New Roman"/>
                <w:b/>
                <w:bCs/>
                <w:color w:val="000000" w:themeColor="text1"/>
                <w:sz w:val="18"/>
                <w:szCs w:val="18"/>
                <w:lang w:eastAsia="en-IN" w:bidi="ar-SA"/>
              </w:rPr>
              <w:t>Age Group</w:t>
            </w:r>
          </w:p>
        </w:tc>
        <w:tc>
          <w:tcPr>
            <w:tcW w:w="1218" w:type="pct"/>
            <w:hideMark/>
          </w:tcPr>
          <w:p w14:paraId="34F589CA"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461" w:type="pct"/>
            <w:hideMark/>
          </w:tcPr>
          <w:p w14:paraId="4AB3DBD4"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029" w:type="pct"/>
            <w:hideMark/>
          </w:tcPr>
          <w:p w14:paraId="71053EDC"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r>
      <w:tr w:rsidR="000F5ADA" w:rsidRPr="000F5ADA" w14:paraId="6EB0FD57" w14:textId="77777777" w:rsidTr="000F5ADA">
        <w:trPr>
          <w:trHeight w:val="904"/>
        </w:trPr>
        <w:tc>
          <w:tcPr>
            <w:tcW w:w="1293" w:type="pct"/>
            <w:hideMark/>
          </w:tcPr>
          <w:p w14:paraId="2B952215"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Youth (18-35)</w:t>
            </w:r>
          </w:p>
        </w:tc>
        <w:tc>
          <w:tcPr>
            <w:tcW w:w="1218" w:type="pct"/>
            <w:hideMark/>
          </w:tcPr>
          <w:p w14:paraId="134936DB"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Young adults, potentially tech-savvy, and open to new technologies.</w:t>
            </w:r>
          </w:p>
        </w:tc>
        <w:tc>
          <w:tcPr>
            <w:tcW w:w="1461" w:type="pct"/>
            <w:hideMark/>
          </w:tcPr>
          <w:p w14:paraId="7ACA1E03"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40%</w:t>
            </w:r>
          </w:p>
        </w:tc>
        <w:tc>
          <w:tcPr>
            <w:tcW w:w="1029" w:type="pct"/>
            <w:hideMark/>
          </w:tcPr>
          <w:p w14:paraId="36EE4A9B"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Likely to be early adopters and influencers.</w:t>
            </w:r>
          </w:p>
        </w:tc>
      </w:tr>
      <w:tr w:rsidR="000F5ADA" w:rsidRPr="000F5ADA" w14:paraId="6CB9759B" w14:textId="77777777" w:rsidTr="000F5ADA">
        <w:trPr>
          <w:trHeight w:val="1004"/>
        </w:trPr>
        <w:tc>
          <w:tcPr>
            <w:tcW w:w="1293" w:type="pct"/>
            <w:hideMark/>
          </w:tcPr>
          <w:p w14:paraId="16F3D510"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Adults (36-55)</w:t>
            </w:r>
          </w:p>
        </w:tc>
        <w:tc>
          <w:tcPr>
            <w:tcW w:w="1218" w:type="pct"/>
            <w:hideMark/>
          </w:tcPr>
          <w:p w14:paraId="2341945E"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Established adults, decision-makers in households and communities.</w:t>
            </w:r>
          </w:p>
        </w:tc>
        <w:tc>
          <w:tcPr>
            <w:tcW w:w="1461" w:type="pct"/>
            <w:hideMark/>
          </w:tcPr>
          <w:p w14:paraId="25E58D8D"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35%</w:t>
            </w:r>
          </w:p>
        </w:tc>
        <w:tc>
          <w:tcPr>
            <w:tcW w:w="1029" w:type="pct"/>
            <w:hideMark/>
          </w:tcPr>
          <w:p w14:paraId="727424EC"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Primary target for home installation sales.</w:t>
            </w:r>
          </w:p>
        </w:tc>
      </w:tr>
      <w:tr w:rsidR="000F5ADA" w:rsidRPr="000F5ADA" w14:paraId="74B5CECF" w14:textId="77777777" w:rsidTr="000F5ADA">
        <w:trPr>
          <w:trHeight w:val="961"/>
        </w:trPr>
        <w:tc>
          <w:tcPr>
            <w:tcW w:w="1293" w:type="pct"/>
            <w:hideMark/>
          </w:tcPr>
          <w:p w14:paraId="21E1AF86"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Seniors (56 and above)</w:t>
            </w:r>
          </w:p>
        </w:tc>
        <w:tc>
          <w:tcPr>
            <w:tcW w:w="1218" w:type="pct"/>
            <w:hideMark/>
          </w:tcPr>
          <w:p w14:paraId="6A177707"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Elders with influence in community decisions.</w:t>
            </w:r>
          </w:p>
        </w:tc>
        <w:tc>
          <w:tcPr>
            <w:tcW w:w="1461" w:type="pct"/>
            <w:hideMark/>
          </w:tcPr>
          <w:p w14:paraId="213E2F19"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25%</w:t>
            </w:r>
          </w:p>
        </w:tc>
        <w:tc>
          <w:tcPr>
            <w:tcW w:w="1029" w:type="pct"/>
            <w:hideMark/>
          </w:tcPr>
          <w:p w14:paraId="69A1869B"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Less likely to adopt but can be gatekeepers to community adoption.</w:t>
            </w:r>
          </w:p>
        </w:tc>
      </w:tr>
      <w:tr w:rsidR="000F5ADA" w:rsidRPr="000F5ADA" w14:paraId="3D1D7F77" w14:textId="77777777" w:rsidTr="000F5ADA">
        <w:trPr>
          <w:trHeight w:val="564"/>
        </w:trPr>
        <w:tc>
          <w:tcPr>
            <w:tcW w:w="1293" w:type="pct"/>
            <w:hideMark/>
          </w:tcPr>
          <w:p w14:paraId="7DCBC79E" w14:textId="77777777" w:rsidR="000F5ADA" w:rsidRPr="000F5ADA" w:rsidRDefault="000F5ADA" w:rsidP="000F5ADA">
            <w:pPr>
              <w:spacing w:line="240" w:lineRule="auto"/>
              <w:jc w:val="left"/>
              <w:rPr>
                <w:rFonts w:eastAsia="Times New Roman" w:cs="Times New Roman"/>
                <w:b/>
                <w:bCs/>
                <w:color w:val="000000" w:themeColor="text1"/>
                <w:sz w:val="18"/>
                <w:szCs w:val="18"/>
                <w:lang w:eastAsia="en-IN" w:bidi="ar-SA"/>
              </w:rPr>
            </w:pPr>
            <w:r w:rsidRPr="000F5ADA">
              <w:rPr>
                <w:rFonts w:eastAsia="Times New Roman" w:cs="Times New Roman"/>
                <w:b/>
                <w:bCs/>
                <w:color w:val="000000" w:themeColor="text1"/>
                <w:sz w:val="18"/>
                <w:szCs w:val="18"/>
                <w:lang w:eastAsia="en-IN" w:bidi="ar-SA"/>
              </w:rPr>
              <w:t>Income Level</w:t>
            </w:r>
          </w:p>
        </w:tc>
        <w:tc>
          <w:tcPr>
            <w:tcW w:w="1218" w:type="pct"/>
            <w:hideMark/>
          </w:tcPr>
          <w:p w14:paraId="0DB5F24F"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461" w:type="pct"/>
            <w:hideMark/>
          </w:tcPr>
          <w:p w14:paraId="181D888F"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029" w:type="pct"/>
            <w:hideMark/>
          </w:tcPr>
          <w:p w14:paraId="400C90D8"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r>
      <w:tr w:rsidR="000F5ADA" w:rsidRPr="000F5ADA" w14:paraId="775C532E" w14:textId="77777777" w:rsidTr="000F5ADA">
        <w:trPr>
          <w:trHeight w:val="992"/>
        </w:trPr>
        <w:tc>
          <w:tcPr>
            <w:tcW w:w="1293" w:type="pct"/>
            <w:hideMark/>
          </w:tcPr>
          <w:p w14:paraId="2FAFDFA2"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Low income</w:t>
            </w:r>
          </w:p>
        </w:tc>
        <w:tc>
          <w:tcPr>
            <w:tcW w:w="1218" w:type="pct"/>
            <w:hideMark/>
          </w:tcPr>
          <w:p w14:paraId="092316CE"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Earnings under the national poverty line.</w:t>
            </w:r>
          </w:p>
        </w:tc>
        <w:tc>
          <w:tcPr>
            <w:tcW w:w="1461" w:type="pct"/>
            <w:hideMark/>
          </w:tcPr>
          <w:p w14:paraId="222EA538"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50%</w:t>
            </w:r>
          </w:p>
        </w:tc>
        <w:tc>
          <w:tcPr>
            <w:tcW w:w="1029" w:type="pct"/>
            <w:hideMark/>
          </w:tcPr>
          <w:p w14:paraId="72851AA6"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Eligible for government assistance and financing plans.</w:t>
            </w:r>
          </w:p>
        </w:tc>
      </w:tr>
      <w:tr w:rsidR="000F5ADA" w:rsidRPr="000F5ADA" w14:paraId="4FAC79B8" w14:textId="77777777" w:rsidTr="000F5ADA">
        <w:trPr>
          <w:trHeight w:val="1120"/>
        </w:trPr>
        <w:tc>
          <w:tcPr>
            <w:tcW w:w="1293" w:type="pct"/>
            <w:hideMark/>
          </w:tcPr>
          <w:p w14:paraId="2BEFF5BC"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Middle income</w:t>
            </w:r>
          </w:p>
        </w:tc>
        <w:tc>
          <w:tcPr>
            <w:tcW w:w="1218" w:type="pct"/>
            <w:hideMark/>
          </w:tcPr>
          <w:p w14:paraId="2FB30809"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Earnings above the poverty line but below the national median.</w:t>
            </w:r>
          </w:p>
        </w:tc>
        <w:tc>
          <w:tcPr>
            <w:tcW w:w="1461" w:type="pct"/>
            <w:hideMark/>
          </w:tcPr>
          <w:p w14:paraId="024819D7"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40%</w:t>
            </w:r>
          </w:p>
        </w:tc>
        <w:tc>
          <w:tcPr>
            <w:tcW w:w="1029" w:type="pct"/>
            <w:hideMark/>
          </w:tcPr>
          <w:p w14:paraId="2313F50B"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Can afford upfront costs or financing for solar products.</w:t>
            </w:r>
          </w:p>
        </w:tc>
      </w:tr>
      <w:tr w:rsidR="000F5ADA" w:rsidRPr="000F5ADA" w14:paraId="4B0FD54B" w14:textId="77777777" w:rsidTr="000F5ADA">
        <w:trPr>
          <w:trHeight w:val="1125"/>
        </w:trPr>
        <w:tc>
          <w:tcPr>
            <w:tcW w:w="1293" w:type="pct"/>
            <w:hideMark/>
          </w:tcPr>
          <w:p w14:paraId="26C666B4"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High income</w:t>
            </w:r>
          </w:p>
        </w:tc>
        <w:tc>
          <w:tcPr>
            <w:tcW w:w="1218" w:type="pct"/>
            <w:hideMark/>
          </w:tcPr>
          <w:p w14:paraId="245EDF95"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Earnings above the national median.</w:t>
            </w:r>
          </w:p>
        </w:tc>
        <w:tc>
          <w:tcPr>
            <w:tcW w:w="1461" w:type="pct"/>
            <w:hideMark/>
          </w:tcPr>
          <w:p w14:paraId="66B428F3"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10%</w:t>
            </w:r>
          </w:p>
        </w:tc>
        <w:tc>
          <w:tcPr>
            <w:tcW w:w="1029" w:type="pct"/>
            <w:hideMark/>
          </w:tcPr>
          <w:p w14:paraId="2893D99B"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Likely to invest in higher-end solar solutions.</w:t>
            </w:r>
          </w:p>
        </w:tc>
      </w:tr>
      <w:tr w:rsidR="000F5ADA" w:rsidRPr="000F5ADA" w14:paraId="364772FA" w14:textId="77777777" w:rsidTr="000F5ADA">
        <w:trPr>
          <w:trHeight w:val="564"/>
        </w:trPr>
        <w:tc>
          <w:tcPr>
            <w:tcW w:w="1293" w:type="pct"/>
            <w:hideMark/>
          </w:tcPr>
          <w:p w14:paraId="39766AC0" w14:textId="77777777" w:rsidR="000F5ADA" w:rsidRPr="000F5ADA" w:rsidRDefault="000F5ADA" w:rsidP="000F5ADA">
            <w:pPr>
              <w:spacing w:line="240" w:lineRule="auto"/>
              <w:jc w:val="left"/>
              <w:rPr>
                <w:rFonts w:eastAsia="Times New Roman" w:cs="Times New Roman"/>
                <w:b/>
                <w:bCs/>
                <w:color w:val="000000" w:themeColor="text1"/>
                <w:sz w:val="18"/>
                <w:szCs w:val="18"/>
                <w:lang w:eastAsia="en-IN" w:bidi="ar-SA"/>
              </w:rPr>
            </w:pPr>
            <w:r w:rsidRPr="000F5ADA">
              <w:rPr>
                <w:rFonts w:eastAsia="Times New Roman" w:cs="Times New Roman"/>
                <w:b/>
                <w:bCs/>
                <w:color w:val="000000" w:themeColor="text1"/>
                <w:sz w:val="18"/>
                <w:szCs w:val="18"/>
                <w:lang w:eastAsia="en-IN" w:bidi="ar-SA"/>
              </w:rPr>
              <w:t>Occupation</w:t>
            </w:r>
          </w:p>
        </w:tc>
        <w:tc>
          <w:tcPr>
            <w:tcW w:w="1218" w:type="pct"/>
            <w:hideMark/>
          </w:tcPr>
          <w:p w14:paraId="0EEA0CB0"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461" w:type="pct"/>
            <w:hideMark/>
          </w:tcPr>
          <w:p w14:paraId="43F5739C"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029" w:type="pct"/>
            <w:hideMark/>
          </w:tcPr>
          <w:p w14:paraId="3A60FFF0"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r>
      <w:tr w:rsidR="000F5ADA" w:rsidRPr="000F5ADA" w14:paraId="332844D6" w14:textId="77777777" w:rsidTr="000F5ADA">
        <w:trPr>
          <w:trHeight w:val="1142"/>
        </w:trPr>
        <w:tc>
          <w:tcPr>
            <w:tcW w:w="1293" w:type="pct"/>
            <w:hideMark/>
          </w:tcPr>
          <w:p w14:paraId="6E12C406"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lastRenderedPageBreak/>
              <w:t>Agriculture</w:t>
            </w:r>
          </w:p>
        </w:tc>
        <w:tc>
          <w:tcPr>
            <w:tcW w:w="1218" w:type="pct"/>
            <w:hideMark/>
          </w:tcPr>
          <w:p w14:paraId="60F706E6"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Engaged in farming and related activities.</w:t>
            </w:r>
          </w:p>
        </w:tc>
        <w:tc>
          <w:tcPr>
            <w:tcW w:w="1461" w:type="pct"/>
            <w:hideMark/>
          </w:tcPr>
          <w:p w14:paraId="7FD094F8"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60%</w:t>
            </w:r>
          </w:p>
        </w:tc>
        <w:tc>
          <w:tcPr>
            <w:tcW w:w="1029" w:type="pct"/>
            <w:hideMark/>
          </w:tcPr>
          <w:p w14:paraId="7FEFF21D"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High potential for solar-powered irrigation and equipment.</w:t>
            </w:r>
          </w:p>
        </w:tc>
      </w:tr>
      <w:tr w:rsidR="000F5ADA" w:rsidRPr="000F5ADA" w14:paraId="15EAB2BB" w14:textId="77777777" w:rsidTr="000F5ADA">
        <w:trPr>
          <w:trHeight w:val="690"/>
        </w:trPr>
        <w:tc>
          <w:tcPr>
            <w:tcW w:w="1293" w:type="pct"/>
            <w:hideMark/>
          </w:tcPr>
          <w:p w14:paraId="2AE59ACA"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Trade and Services</w:t>
            </w:r>
          </w:p>
        </w:tc>
        <w:tc>
          <w:tcPr>
            <w:tcW w:w="1218" w:type="pct"/>
            <w:hideMark/>
          </w:tcPr>
          <w:p w14:paraId="456FF114"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Involved in local trade, services, and entrepreneurship.</w:t>
            </w:r>
          </w:p>
        </w:tc>
        <w:tc>
          <w:tcPr>
            <w:tcW w:w="1461" w:type="pct"/>
            <w:hideMark/>
          </w:tcPr>
          <w:p w14:paraId="728060DB"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30%</w:t>
            </w:r>
          </w:p>
        </w:tc>
        <w:tc>
          <w:tcPr>
            <w:tcW w:w="1029" w:type="pct"/>
            <w:hideMark/>
          </w:tcPr>
          <w:p w14:paraId="4210B489"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Could benefit from solar for business operations.</w:t>
            </w:r>
          </w:p>
        </w:tc>
      </w:tr>
      <w:tr w:rsidR="000F5ADA" w:rsidRPr="000F5ADA" w14:paraId="38319A01" w14:textId="77777777" w:rsidTr="000F5ADA">
        <w:trPr>
          <w:trHeight w:val="979"/>
        </w:trPr>
        <w:tc>
          <w:tcPr>
            <w:tcW w:w="1293" w:type="pct"/>
            <w:hideMark/>
          </w:tcPr>
          <w:p w14:paraId="67D763EF"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Professionals</w:t>
            </w:r>
          </w:p>
        </w:tc>
        <w:tc>
          <w:tcPr>
            <w:tcW w:w="1218" w:type="pct"/>
            <w:hideMark/>
          </w:tcPr>
          <w:p w14:paraId="4D21A3E9"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Educated professionals working in or out of the community.</w:t>
            </w:r>
          </w:p>
        </w:tc>
        <w:tc>
          <w:tcPr>
            <w:tcW w:w="1461" w:type="pct"/>
            <w:hideMark/>
          </w:tcPr>
          <w:p w14:paraId="1E9A048D"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10%</w:t>
            </w:r>
          </w:p>
        </w:tc>
        <w:tc>
          <w:tcPr>
            <w:tcW w:w="1029" w:type="pct"/>
            <w:hideMark/>
          </w:tcPr>
          <w:p w14:paraId="15AD6613"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May demand sophisticated solar solutions for home and work.</w:t>
            </w:r>
          </w:p>
        </w:tc>
      </w:tr>
      <w:tr w:rsidR="000F5ADA" w:rsidRPr="000F5ADA" w14:paraId="7598AE24" w14:textId="77777777" w:rsidTr="000F5ADA">
        <w:trPr>
          <w:trHeight w:val="564"/>
        </w:trPr>
        <w:tc>
          <w:tcPr>
            <w:tcW w:w="1293" w:type="pct"/>
            <w:hideMark/>
          </w:tcPr>
          <w:p w14:paraId="61EDED8E" w14:textId="77777777" w:rsidR="000F5ADA" w:rsidRPr="000F5ADA" w:rsidRDefault="000F5ADA" w:rsidP="000F5ADA">
            <w:pPr>
              <w:spacing w:line="240" w:lineRule="auto"/>
              <w:jc w:val="left"/>
              <w:rPr>
                <w:rFonts w:eastAsia="Times New Roman" w:cs="Times New Roman"/>
                <w:b/>
                <w:bCs/>
                <w:color w:val="000000" w:themeColor="text1"/>
                <w:sz w:val="18"/>
                <w:szCs w:val="18"/>
                <w:lang w:eastAsia="en-IN" w:bidi="ar-SA"/>
              </w:rPr>
            </w:pPr>
            <w:r w:rsidRPr="000F5ADA">
              <w:rPr>
                <w:rFonts w:eastAsia="Times New Roman" w:cs="Times New Roman"/>
                <w:b/>
                <w:bCs/>
                <w:color w:val="000000" w:themeColor="text1"/>
                <w:sz w:val="18"/>
                <w:szCs w:val="18"/>
                <w:lang w:eastAsia="en-IN" w:bidi="ar-SA"/>
              </w:rPr>
              <w:t>Education Level</w:t>
            </w:r>
          </w:p>
        </w:tc>
        <w:tc>
          <w:tcPr>
            <w:tcW w:w="1218" w:type="pct"/>
            <w:hideMark/>
          </w:tcPr>
          <w:p w14:paraId="7FBF4E94"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461" w:type="pct"/>
            <w:hideMark/>
          </w:tcPr>
          <w:p w14:paraId="6936767B"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029" w:type="pct"/>
            <w:hideMark/>
          </w:tcPr>
          <w:p w14:paraId="696C2A1E"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r>
      <w:tr w:rsidR="000F5ADA" w:rsidRPr="000F5ADA" w14:paraId="27C46CD7" w14:textId="77777777" w:rsidTr="000F5ADA">
        <w:trPr>
          <w:trHeight w:val="1067"/>
        </w:trPr>
        <w:tc>
          <w:tcPr>
            <w:tcW w:w="1293" w:type="pct"/>
            <w:hideMark/>
          </w:tcPr>
          <w:p w14:paraId="7D5D94D5"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No formal education</w:t>
            </w:r>
          </w:p>
        </w:tc>
        <w:tc>
          <w:tcPr>
            <w:tcW w:w="1218" w:type="pct"/>
            <w:hideMark/>
          </w:tcPr>
          <w:p w14:paraId="0A23B607"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461" w:type="pct"/>
            <w:hideMark/>
          </w:tcPr>
          <w:p w14:paraId="170AEDC2"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20%</w:t>
            </w:r>
          </w:p>
        </w:tc>
        <w:tc>
          <w:tcPr>
            <w:tcW w:w="1029" w:type="pct"/>
            <w:hideMark/>
          </w:tcPr>
          <w:p w14:paraId="194FDC55"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May require educational initiatives to understand the benefits of solar energy.</w:t>
            </w:r>
          </w:p>
        </w:tc>
      </w:tr>
      <w:tr w:rsidR="000F5ADA" w:rsidRPr="000F5ADA" w14:paraId="7AB3C8AA" w14:textId="77777777" w:rsidTr="000F5ADA">
        <w:trPr>
          <w:trHeight w:val="1032"/>
        </w:trPr>
        <w:tc>
          <w:tcPr>
            <w:tcW w:w="1293" w:type="pct"/>
            <w:hideMark/>
          </w:tcPr>
          <w:p w14:paraId="35904448"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Primary/Secondary</w:t>
            </w:r>
          </w:p>
        </w:tc>
        <w:tc>
          <w:tcPr>
            <w:tcW w:w="1218" w:type="pct"/>
            <w:hideMark/>
          </w:tcPr>
          <w:p w14:paraId="7A983F44"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461" w:type="pct"/>
            <w:hideMark/>
          </w:tcPr>
          <w:p w14:paraId="3DC00DFD"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50%</w:t>
            </w:r>
          </w:p>
        </w:tc>
        <w:tc>
          <w:tcPr>
            <w:tcW w:w="1029" w:type="pct"/>
            <w:hideMark/>
          </w:tcPr>
          <w:p w14:paraId="0BE5672C"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General understanding and openness to new technologies.</w:t>
            </w:r>
          </w:p>
        </w:tc>
      </w:tr>
      <w:tr w:rsidR="000F5ADA" w:rsidRPr="000F5ADA" w14:paraId="264C5AB7" w14:textId="77777777" w:rsidTr="000F5ADA">
        <w:trPr>
          <w:trHeight w:val="1823"/>
        </w:trPr>
        <w:tc>
          <w:tcPr>
            <w:tcW w:w="1293" w:type="pct"/>
            <w:hideMark/>
          </w:tcPr>
          <w:p w14:paraId="5E261F1D"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Tertiary</w:t>
            </w:r>
          </w:p>
        </w:tc>
        <w:tc>
          <w:tcPr>
            <w:tcW w:w="1218" w:type="pct"/>
            <w:hideMark/>
          </w:tcPr>
          <w:p w14:paraId="77847106"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461" w:type="pct"/>
            <w:hideMark/>
          </w:tcPr>
          <w:p w14:paraId="2EF0FD0D"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30%</w:t>
            </w:r>
          </w:p>
        </w:tc>
        <w:tc>
          <w:tcPr>
            <w:tcW w:w="1029" w:type="pct"/>
            <w:hideMark/>
          </w:tcPr>
          <w:p w14:paraId="6E289796"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Higher likelihood of understanding and valuing the long-term benefits and sustainability of solar energy.</w:t>
            </w:r>
          </w:p>
        </w:tc>
      </w:tr>
      <w:tr w:rsidR="000F5ADA" w:rsidRPr="000F5ADA" w14:paraId="51F73443" w14:textId="77777777" w:rsidTr="000F5ADA">
        <w:trPr>
          <w:trHeight w:val="564"/>
        </w:trPr>
        <w:tc>
          <w:tcPr>
            <w:tcW w:w="1293" w:type="pct"/>
            <w:hideMark/>
          </w:tcPr>
          <w:p w14:paraId="5A40F6D2" w14:textId="77777777" w:rsidR="000F5ADA" w:rsidRPr="000F5ADA" w:rsidRDefault="000F5ADA" w:rsidP="000F5ADA">
            <w:pPr>
              <w:spacing w:line="240" w:lineRule="auto"/>
              <w:jc w:val="left"/>
              <w:rPr>
                <w:rFonts w:eastAsia="Times New Roman" w:cs="Times New Roman"/>
                <w:b/>
                <w:bCs/>
                <w:color w:val="000000" w:themeColor="text1"/>
                <w:sz w:val="18"/>
                <w:szCs w:val="18"/>
                <w:lang w:eastAsia="en-IN" w:bidi="ar-SA"/>
              </w:rPr>
            </w:pPr>
            <w:r w:rsidRPr="000F5ADA">
              <w:rPr>
                <w:rFonts w:eastAsia="Times New Roman" w:cs="Times New Roman"/>
                <w:b/>
                <w:bCs/>
                <w:color w:val="000000" w:themeColor="text1"/>
                <w:sz w:val="18"/>
                <w:szCs w:val="18"/>
                <w:lang w:eastAsia="en-IN" w:bidi="ar-SA"/>
              </w:rPr>
              <w:t>Household Size</w:t>
            </w:r>
          </w:p>
        </w:tc>
        <w:tc>
          <w:tcPr>
            <w:tcW w:w="1218" w:type="pct"/>
            <w:hideMark/>
          </w:tcPr>
          <w:p w14:paraId="0949B60D"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461" w:type="pct"/>
            <w:hideMark/>
          </w:tcPr>
          <w:p w14:paraId="6BD9C971"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029" w:type="pct"/>
            <w:hideMark/>
          </w:tcPr>
          <w:p w14:paraId="1D11E126"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r>
      <w:tr w:rsidR="000F5ADA" w:rsidRPr="000F5ADA" w14:paraId="31226236" w14:textId="77777777" w:rsidTr="000F5ADA">
        <w:trPr>
          <w:trHeight w:val="822"/>
        </w:trPr>
        <w:tc>
          <w:tcPr>
            <w:tcW w:w="1293" w:type="pct"/>
            <w:hideMark/>
          </w:tcPr>
          <w:p w14:paraId="139CD6CB"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Small (1-3 members)</w:t>
            </w:r>
          </w:p>
        </w:tc>
        <w:tc>
          <w:tcPr>
            <w:tcW w:w="1218" w:type="pct"/>
            <w:hideMark/>
          </w:tcPr>
          <w:p w14:paraId="02E8E52B"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461" w:type="pct"/>
            <w:hideMark/>
          </w:tcPr>
          <w:p w14:paraId="3BAC57AC"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20%</w:t>
            </w:r>
          </w:p>
        </w:tc>
        <w:tc>
          <w:tcPr>
            <w:tcW w:w="1029" w:type="pct"/>
            <w:hideMark/>
          </w:tcPr>
          <w:p w14:paraId="5DAC2C0A"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Lower energy needs; small solar systems sufficed.</w:t>
            </w:r>
          </w:p>
        </w:tc>
      </w:tr>
      <w:tr w:rsidR="000F5ADA" w:rsidRPr="000F5ADA" w14:paraId="76106031" w14:textId="77777777" w:rsidTr="000F5ADA">
        <w:trPr>
          <w:trHeight w:val="834"/>
        </w:trPr>
        <w:tc>
          <w:tcPr>
            <w:tcW w:w="1293" w:type="pct"/>
            <w:hideMark/>
          </w:tcPr>
          <w:p w14:paraId="0F1E7EA6"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Medium (4-6 members)</w:t>
            </w:r>
          </w:p>
        </w:tc>
        <w:tc>
          <w:tcPr>
            <w:tcW w:w="1218" w:type="pct"/>
            <w:hideMark/>
          </w:tcPr>
          <w:p w14:paraId="1FED4F4B"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461" w:type="pct"/>
            <w:hideMark/>
          </w:tcPr>
          <w:p w14:paraId="6E07B16E"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50%</w:t>
            </w:r>
          </w:p>
        </w:tc>
        <w:tc>
          <w:tcPr>
            <w:tcW w:w="1029" w:type="pct"/>
            <w:hideMark/>
          </w:tcPr>
          <w:p w14:paraId="382ECA37"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Likely the primary market for standard home solar systems.</w:t>
            </w:r>
          </w:p>
        </w:tc>
      </w:tr>
      <w:tr w:rsidR="000F5ADA" w:rsidRPr="000F5ADA" w14:paraId="1877FC4F" w14:textId="77777777" w:rsidTr="000F5ADA">
        <w:trPr>
          <w:trHeight w:val="1359"/>
        </w:trPr>
        <w:tc>
          <w:tcPr>
            <w:tcW w:w="1293" w:type="pct"/>
            <w:hideMark/>
          </w:tcPr>
          <w:p w14:paraId="6D472B30"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Large (7+ members)</w:t>
            </w:r>
          </w:p>
        </w:tc>
        <w:tc>
          <w:tcPr>
            <w:tcW w:w="1218" w:type="pct"/>
            <w:hideMark/>
          </w:tcPr>
          <w:p w14:paraId="5E50C626"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 </w:t>
            </w:r>
          </w:p>
        </w:tc>
        <w:tc>
          <w:tcPr>
            <w:tcW w:w="1461" w:type="pct"/>
            <w:hideMark/>
          </w:tcPr>
          <w:p w14:paraId="5BCE876E" w14:textId="77777777" w:rsidR="000F5ADA" w:rsidRPr="000F5ADA" w:rsidRDefault="000F5ADA" w:rsidP="000F5ADA">
            <w:pPr>
              <w:spacing w:line="240" w:lineRule="auto"/>
              <w:jc w:val="righ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30%</w:t>
            </w:r>
          </w:p>
        </w:tc>
        <w:tc>
          <w:tcPr>
            <w:tcW w:w="1029" w:type="pct"/>
            <w:hideMark/>
          </w:tcPr>
          <w:p w14:paraId="1D2E68D2" w14:textId="77777777" w:rsidR="000F5ADA" w:rsidRPr="000F5ADA" w:rsidRDefault="000F5ADA" w:rsidP="000F5ADA">
            <w:pPr>
              <w:spacing w:line="240" w:lineRule="auto"/>
              <w:jc w:val="left"/>
              <w:rPr>
                <w:rFonts w:eastAsia="Times New Roman" w:cs="Times New Roman"/>
                <w:color w:val="000000" w:themeColor="text1"/>
                <w:sz w:val="18"/>
                <w:szCs w:val="18"/>
                <w:lang w:eastAsia="en-IN" w:bidi="ar-SA"/>
              </w:rPr>
            </w:pPr>
            <w:r w:rsidRPr="000F5ADA">
              <w:rPr>
                <w:rFonts w:eastAsia="Times New Roman" w:cs="Times New Roman"/>
                <w:color w:val="000000" w:themeColor="text1"/>
                <w:sz w:val="18"/>
                <w:szCs w:val="18"/>
                <w:lang w:eastAsia="en-IN" w:bidi="ar-SA"/>
              </w:rPr>
              <w:t>Higher energy needs; potential for larger or multiple solar systems.</w:t>
            </w:r>
          </w:p>
        </w:tc>
      </w:tr>
    </w:tbl>
    <w:p w14:paraId="4E172922" w14:textId="77777777" w:rsidR="000F5ADA" w:rsidRDefault="000F5ADA" w:rsidP="006B10BE">
      <w:pPr>
        <w:spacing w:before="240"/>
      </w:pPr>
    </w:p>
    <w:p w14:paraId="6991CD4C" w14:textId="77777777" w:rsidR="006B10BE" w:rsidRDefault="006B10BE" w:rsidP="006B10BE">
      <w:pPr>
        <w:spacing w:before="240"/>
      </w:pPr>
      <w:r>
        <w:t xml:space="preserve">Our target consumers prioritise economic stability, self-sufficiency, and sustainability from a psychological standpoint. They exhibit a strong commitment to the community and prioritise enduring investments that will positively impact their residences and the surrounding infrastructure. Given their potential to enhance economic productivity and quality of life, this </w:t>
      </w:r>
      <w:r>
        <w:lastRenderedPageBreak/>
        <w:t>demographic is expected to be receptive to renewable energy solutions that deliver consistent electricity (United Nations Development Programme, 2022).</w:t>
      </w:r>
    </w:p>
    <w:p w14:paraId="197DD58C" w14:textId="77777777" w:rsidR="006B10BE" w:rsidRDefault="006B10BE" w:rsidP="006B10BE">
      <w:pPr>
        <w:pStyle w:val="Heading2"/>
      </w:pPr>
      <w:bookmarkStart w:id="12" w:name="_Toc150147563"/>
      <w:r>
        <w:t>Marketing Strategy</w:t>
      </w:r>
      <w:bookmarkEnd w:id="12"/>
    </w:p>
    <w:p w14:paraId="0B7615C8" w14:textId="77777777" w:rsidR="006B10BE" w:rsidRDefault="006B10BE" w:rsidP="006B10BE">
      <w:pPr>
        <w:spacing w:before="240"/>
      </w:pPr>
      <w:r>
        <w:t>We will utilise both digital and community-based outreach through our marketing channels. By capitalising on the substantial expansion of social media platforms in Kenya, digital marketing intends to enlighten and inform the intended audience regarding the advantages of solar energy (Communications Authority of Kenya, 2022). In addition to this strategy, direct community engagement will be maintained via partnerships with community leaders and participation in local seminars; such initiatives are vital for fostering confidence and comprehending local requirements.</w:t>
      </w:r>
    </w:p>
    <w:p w14:paraId="4C2E5CCB" w14:textId="77777777" w:rsidR="006B10BE" w:rsidRDefault="006B10BE" w:rsidP="006B10BE">
      <w:pPr>
        <w:spacing w:before="240"/>
      </w:pPr>
      <w:r>
        <w:t>Residential solar systems will be sold directly to consumers, while community-wide initiatives will be approached through a business-to-business model. Contractual agreements and direct negotiations with community representatives or local enterprises will comprise the latter.</w:t>
      </w:r>
    </w:p>
    <w:p w14:paraId="29AAA7FF" w14:textId="77777777" w:rsidR="006B10BE" w:rsidRDefault="006B10BE" w:rsidP="006B10BE">
      <w:pPr>
        <w:spacing w:before="240"/>
      </w:pPr>
      <w:r>
        <w:t>Furthermore, Solar Solutions Co. intends to establish a referral programme as a means of motivating existing customers to promote our products in their local communities. This approach has been demonstrated to be successful in analogous markets (Keller, 2022).</w:t>
      </w:r>
    </w:p>
    <w:p w14:paraId="12FBA9B9" w14:textId="77777777" w:rsidR="00803D3F" w:rsidRDefault="00803D3F">
      <w:pPr>
        <w:spacing w:line="259" w:lineRule="auto"/>
        <w:jc w:val="left"/>
        <w:rPr>
          <w:rFonts w:eastAsiaTheme="majorEastAsia" w:cstheme="majorBidi"/>
          <w:b/>
          <w:color w:val="000000" w:themeColor="text1"/>
          <w:sz w:val="32"/>
          <w:szCs w:val="32"/>
        </w:rPr>
      </w:pPr>
      <w:bookmarkStart w:id="13" w:name="_Toc150147564"/>
      <w:r>
        <w:br w:type="page"/>
      </w:r>
    </w:p>
    <w:p w14:paraId="5BAAC7A4" w14:textId="77777777" w:rsidR="006B10BE" w:rsidRDefault="006B10BE" w:rsidP="006B10BE">
      <w:pPr>
        <w:pStyle w:val="Heading1"/>
      </w:pPr>
      <w:r>
        <w:lastRenderedPageBreak/>
        <w:t>Budgeting and Financial Plan</w:t>
      </w:r>
      <w:bookmarkEnd w:id="13"/>
      <w:r>
        <w:t xml:space="preserve"> </w:t>
      </w:r>
    </w:p>
    <w:p w14:paraId="41B9C993" w14:textId="77777777" w:rsidR="006B10BE" w:rsidRDefault="006B10BE" w:rsidP="006B10BE">
      <w:pPr>
        <w:spacing w:before="240"/>
      </w:pPr>
      <w:r>
        <w:t>For the establishment of Solar Solutions Co. in Kenya, a comprehensive financial strategy is necessary. The initial investment consists of several components, including legal fees for registering the company, an inventory of solar panels and related equipment, the recruitment of qualified staff, marketing expenditures, and the construction of a physical office and storage facility in the local area. A significant allocation of resources towards inventory is expected in remote environments, due to the criticality of durability and quality (Energy Sector Management Assistance Programme, 2022). The operational expenses will consist of recurrent staff salaries, inventory maintenance, installation transportation and logistics, and office operating expenses.</w:t>
      </w:r>
    </w:p>
    <w:p w14:paraId="0F76F4EE" w14:textId="77777777" w:rsidR="006B10BE" w:rsidRDefault="006B10BE" w:rsidP="006B10BE">
      <w:pPr>
        <w:spacing w:before="240"/>
      </w:pPr>
      <w:r>
        <w:t>The pricing strategy of Solar Solutions Co. will be value-based, taking into account the socioeconomic conditions of the target market. Although the upfront expense may surpass that of conventional energy sources, the principal value proposition will consist of enduring cost reductions on energy expenditures and</w:t>
      </w:r>
      <w:r w:rsidR="00B4702C">
        <w:t xml:space="preserve"> dependable service (Drury, 2013</w:t>
      </w:r>
      <w:r>
        <w:t xml:space="preserve">). To ensure affordability while sustaining profitability, a tiered pricing structure will be established </w:t>
      </w:r>
      <w:proofErr w:type="gramStart"/>
      <w:r>
        <w:t>in order to</w:t>
      </w:r>
      <w:proofErr w:type="gramEnd"/>
      <w:r>
        <w:t xml:space="preserve"> accommodate distinct segments of the target market.</w:t>
      </w:r>
    </w:p>
    <w:p w14:paraId="619F10D8" w14:textId="77777777" w:rsidR="006B10BE" w:rsidRDefault="006B10BE" w:rsidP="006B10BE">
      <w:pPr>
        <w:spacing w:before="240"/>
      </w:pPr>
      <w:r>
        <w:t>As market penetration increases, the projected Profit and Loss (P&amp;L) statement foresees a progressive rise in sales volume, concluding with a cautious estimation of breakeven occurring in the third year of operation. This takes into consideration the initial investment required to acquire customers and the adoption trajectory associated with the transition to solar energy in remote areas (</w:t>
      </w:r>
      <w:r w:rsidR="008D025C">
        <w:t>Horngren et al., 2010</w:t>
      </w:r>
      <w:r>
        <w:t>). A substantial allocation of funds will be documented on the Balance Sheet towards assets, predominantly inventory and capital equipment. Liabilities will be prudently controlled via strategic financing and the reinvestment of initial profits.</w:t>
      </w:r>
    </w:p>
    <w:p w14:paraId="2E562C20" w14:textId="77777777" w:rsidR="00B335D9" w:rsidRDefault="00B335D9" w:rsidP="00B335D9">
      <w:pPr>
        <w:pStyle w:val="Caption"/>
        <w:keepNext/>
      </w:pPr>
      <w:r>
        <w:t xml:space="preserve">Table </w:t>
      </w:r>
      <w:fldSimple w:instr=" SEQ Table \* ARABIC ">
        <w:r w:rsidR="000F5ADA">
          <w:rPr>
            <w:noProof/>
          </w:rPr>
          <w:t>4</w:t>
        </w:r>
      </w:fldSimple>
      <w:r>
        <w:t xml:space="preserve">. </w:t>
      </w:r>
      <w:r w:rsidRPr="009007AB">
        <w:t>Projected Profit and Loss (P&amp;L) Statement for the Next Five Years</w:t>
      </w:r>
    </w:p>
    <w:tbl>
      <w:tblPr>
        <w:tblStyle w:val="PlainTable2"/>
        <w:tblW w:w="5000" w:type="pct"/>
        <w:tblLook w:val="04A0" w:firstRow="1" w:lastRow="0" w:firstColumn="1" w:lastColumn="0" w:noHBand="0" w:noVBand="1"/>
      </w:tblPr>
      <w:tblGrid>
        <w:gridCol w:w="596"/>
        <w:gridCol w:w="901"/>
        <w:gridCol w:w="895"/>
        <w:gridCol w:w="895"/>
        <w:gridCol w:w="1029"/>
        <w:gridCol w:w="866"/>
        <w:gridCol w:w="1253"/>
        <w:gridCol w:w="895"/>
        <w:gridCol w:w="802"/>
        <w:gridCol w:w="894"/>
      </w:tblGrid>
      <w:tr w:rsidR="00B335D9" w:rsidRPr="00B335D9" w14:paraId="5AA6496C" w14:textId="77777777" w:rsidTr="00B335D9">
        <w:trPr>
          <w:cnfStyle w:val="100000000000" w:firstRow="1" w:lastRow="0" w:firstColumn="0" w:lastColumn="0" w:oddVBand="0" w:evenVBand="0" w:oddHBand="0" w:evenHBand="0" w:firstRowFirstColumn="0" w:firstRowLastColumn="0" w:lastRowFirstColumn="0" w:lastRowLastColumn="0"/>
          <w:trHeight w:val="651"/>
        </w:trPr>
        <w:tc>
          <w:tcPr>
            <w:cnfStyle w:val="001000000000" w:firstRow="0" w:lastRow="0" w:firstColumn="1" w:lastColumn="0" w:oddVBand="0" w:evenVBand="0" w:oddHBand="0" w:evenHBand="0" w:firstRowFirstColumn="0" w:firstRowLastColumn="0" w:lastRowFirstColumn="0" w:lastRowLastColumn="0"/>
            <w:tcW w:w="330" w:type="pct"/>
            <w:hideMark/>
          </w:tcPr>
          <w:p w14:paraId="3AE7928E" w14:textId="77777777" w:rsidR="00B335D9" w:rsidRPr="00B335D9" w:rsidRDefault="00B335D9" w:rsidP="00B335D9">
            <w:pPr>
              <w:spacing w:line="240" w:lineRule="auto"/>
              <w:jc w:val="center"/>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Year</w:t>
            </w:r>
          </w:p>
        </w:tc>
        <w:tc>
          <w:tcPr>
            <w:tcW w:w="499" w:type="pct"/>
            <w:hideMark/>
          </w:tcPr>
          <w:p w14:paraId="60EE1DA3"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Revenue</w:t>
            </w:r>
          </w:p>
        </w:tc>
        <w:tc>
          <w:tcPr>
            <w:tcW w:w="496" w:type="pct"/>
            <w:hideMark/>
          </w:tcPr>
          <w:p w14:paraId="29F3DE11"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COGS</w:t>
            </w:r>
          </w:p>
        </w:tc>
        <w:tc>
          <w:tcPr>
            <w:tcW w:w="496" w:type="pct"/>
            <w:hideMark/>
          </w:tcPr>
          <w:p w14:paraId="0B9B0294"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Gross Profit</w:t>
            </w:r>
          </w:p>
        </w:tc>
        <w:tc>
          <w:tcPr>
            <w:tcW w:w="570" w:type="pct"/>
            <w:hideMark/>
          </w:tcPr>
          <w:p w14:paraId="54BE976B"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Operating Expenses</w:t>
            </w:r>
          </w:p>
        </w:tc>
        <w:tc>
          <w:tcPr>
            <w:tcW w:w="480" w:type="pct"/>
            <w:hideMark/>
          </w:tcPr>
          <w:p w14:paraId="2EC3D1CB"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Interest Expense</w:t>
            </w:r>
          </w:p>
        </w:tc>
        <w:tc>
          <w:tcPr>
            <w:tcW w:w="694" w:type="pct"/>
            <w:hideMark/>
          </w:tcPr>
          <w:p w14:paraId="29541E22"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Depreciation</w:t>
            </w:r>
          </w:p>
        </w:tc>
        <w:tc>
          <w:tcPr>
            <w:tcW w:w="496" w:type="pct"/>
            <w:hideMark/>
          </w:tcPr>
          <w:p w14:paraId="1B14B979"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Pre-Tax Profit</w:t>
            </w:r>
          </w:p>
        </w:tc>
        <w:tc>
          <w:tcPr>
            <w:tcW w:w="444" w:type="pct"/>
            <w:hideMark/>
          </w:tcPr>
          <w:p w14:paraId="051C1680"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Tax (at 30%)</w:t>
            </w:r>
          </w:p>
        </w:tc>
        <w:tc>
          <w:tcPr>
            <w:tcW w:w="496" w:type="pct"/>
            <w:hideMark/>
          </w:tcPr>
          <w:p w14:paraId="2197E12D" w14:textId="77777777" w:rsidR="00B335D9" w:rsidRPr="00B335D9" w:rsidRDefault="00B335D9" w:rsidP="00B335D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Net Profit</w:t>
            </w:r>
          </w:p>
        </w:tc>
      </w:tr>
      <w:tr w:rsidR="00B335D9" w:rsidRPr="00B335D9" w14:paraId="6A2C14C9" w14:textId="77777777" w:rsidTr="00B335D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0" w:type="pct"/>
            <w:hideMark/>
          </w:tcPr>
          <w:p w14:paraId="385B986A" w14:textId="77777777" w:rsidR="00B335D9" w:rsidRPr="00B335D9" w:rsidRDefault="00B335D9" w:rsidP="00B335D9">
            <w:pPr>
              <w:spacing w:line="240" w:lineRule="auto"/>
              <w:jc w:val="right"/>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1</w:t>
            </w:r>
          </w:p>
        </w:tc>
        <w:tc>
          <w:tcPr>
            <w:tcW w:w="499" w:type="pct"/>
            <w:hideMark/>
          </w:tcPr>
          <w:p w14:paraId="2CF2EEBB"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$100,000</w:t>
            </w:r>
          </w:p>
        </w:tc>
        <w:tc>
          <w:tcPr>
            <w:tcW w:w="496" w:type="pct"/>
            <w:hideMark/>
          </w:tcPr>
          <w:p w14:paraId="7EBD35B3"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$70,000</w:t>
            </w:r>
          </w:p>
        </w:tc>
        <w:tc>
          <w:tcPr>
            <w:tcW w:w="496" w:type="pct"/>
            <w:hideMark/>
          </w:tcPr>
          <w:p w14:paraId="3BC215F4"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$30,000</w:t>
            </w:r>
          </w:p>
        </w:tc>
        <w:tc>
          <w:tcPr>
            <w:tcW w:w="570" w:type="pct"/>
            <w:hideMark/>
          </w:tcPr>
          <w:p w14:paraId="1FD10A48"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$20,000</w:t>
            </w:r>
          </w:p>
        </w:tc>
        <w:tc>
          <w:tcPr>
            <w:tcW w:w="480" w:type="pct"/>
            <w:hideMark/>
          </w:tcPr>
          <w:p w14:paraId="3184416D"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$5,000</w:t>
            </w:r>
          </w:p>
        </w:tc>
        <w:tc>
          <w:tcPr>
            <w:tcW w:w="694" w:type="pct"/>
            <w:hideMark/>
          </w:tcPr>
          <w:p w14:paraId="39CEC133"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$2,000</w:t>
            </w:r>
          </w:p>
        </w:tc>
        <w:tc>
          <w:tcPr>
            <w:tcW w:w="496" w:type="pct"/>
            <w:hideMark/>
          </w:tcPr>
          <w:p w14:paraId="4BD689C2"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$3,000</w:t>
            </w:r>
          </w:p>
        </w:tc>
        <w:tc>
          <w:tcPr>
            <w:tcW w:w="444" w:type="pct"/>
            <w:hideMark/>
          </w:tcPr>
          <w:p w14:paraId="006FB537"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$900</w:t>
            </w:r>
          </w:p>
        </w:tc>
        <w:tc>
          <w:tcPr>
            <w:tcW w:w="496" w:type="pct"/>
            <w:hideMark/>
          </w:tcPr>
          <w:p w14:paraId="5887BB5F"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$2,100</w:t>
            </w:r>
          </w:p>
        </w:tc>
      </w:tr>
      <w:tr w:rsidR="00B335D9" w:rsidRPr="00B335D9" w14:paraId="0EA048F8" w14:textId="77777777" w:rsidTr="00B335D9">
        <w:trPr>
          <w:trHeight w:val="300"/>
        </w:trPr>
        <w:tc>
          <w:tcPr>
            <w:cnfStyle w:val="001000000000" w:firstRow="0" w:lastRow="0" w:firstColumn="1" w:lastColumn="0" w:oddVBand="0" w:evenVBand="0" w:oddHBand="0" w:evenHBand="0" w:firstRowFirstColumn="0" w:firstRowLastColumn="0" w:lastRowFirstColumn="0" w:lastRowLastColumn="0"/>
            <w:tcW w:w="330" w:type="pct"/>
            <w:hideMark/>
          </w:tcPr>
          <w:p w14:paraId="38265031" w14:textId="77777777" w:rsidR="00B335D9" w:rsidRPr="00B335D9" w:rsidRDefault="00B335D9" w:rsidP="00B335D9">
            <w:pPr>
              <w:spacing w:line="240" w:lineRule="auto"/>
              <w:jc w:val="right"/>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w:t>
            </w:r>
          </w:p>
        </w:tc>
        <w:tc>
          <w:tcPr>
            <w:tcW w:w="499" w:type="pct"/>
            <w:hideMark/>
          </w:tcPr>
          <w:p w14:paraId="30DF343B"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$200,000</w:t>
            </w:r>
          </w:p>
        </w:tc>
        <w:tc>
          <w:tcPr>
            <w:tcW w:w="496" w:type="pct"/>
            <w:hideMark/>
          </w:tcPr>
          <w:p w14:paraId="7DE37965"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$130,000</w:t>
            </w:r>
          </w:p>
        </w:tc>
        <w:tc>
          <w:tcPr>
            <w:tcW w:w="496" w:type="pct"/>
            <w:hideMark/>
          </w:tcPr>
          <w:p w14:paraId="1AB52037"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$70,000</w:t>
            </w:r>
          </w:p>
        </w:tc>
        <w:tc>
          <w:tcPr>
            <w:tcW w:w="570" w:type="pct"/>
            <w:hideMark/>
          </w:tcPr>
          <w:p w14:paraId="31A18FA9"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$30,000</w:t>
            </w:r>
          </w:p>
        </w:tc>
        <w:tc>
          <w:tcPr>
            <w:tcW w:w="480" w:type="pct"/>
            <w:hideMark/>
          </w:tcPr>
          <w:p w14:paraId="1E110A48"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$4,500</w:t>
            </w:r>
          </w:p>
        </w:tc>
        <w:tc>
          <w:tcPr>
            <w:tcW w:w="694" w:type="pct"/>
            <w:hideMark/>
          </w:tcPr>
          <w:p w14:paraId="0EC4355D"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$2,000</w:t>
            </w:r>
          </w:p>
        </w:tc>
        <w:tc>
          <w:tcPr>
            <w:tcW w:w="496" w:type="pct"/>
            <w:hideMark/>
          </w:tcPr>
          <w:p w14:paraId="183FF606"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$33,500</w:t>
            </w:r>
          </w:p>
        </w:tc>
        <w:tc>
          <w:tcPr>
            <w:tcW w:w="444" w:type="pct"/>
            <w:hideMark/>
          </w:tcPr>
          <w:p w14:paraId="68CDF15C"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$10,050</w:t>
            </w:r>
          </w:p>
        </w:tc>
        <w:tc>
          <w:tcPr>
            <w:tcW w:w="496" w:type="pct"/>
            <w:hideMark/>
          </w:tcPr>
          <w:p w14:paraId="3FB14491"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$23,450</w:t>
            </w:r>
          </w:p>
        </w:tc>
      </w:tr>
      <w:tr w:rsidR="00B335D9" w:rsidRPr="00B335D9" w14:paraId="44979C2E" w14:textId="77777777" w:rsidTr="00B335D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0" w:type="pct"/>
            <w:hideMark/>
          </w:tcPr>
          <w:p w14:paraId="361C00DA" w14:textId="77777777" w:rsidR="00B335D9" w:rsidRPr="00B335D9" w:rsidRDefault="00B335D9" w:rsidP="00B335D9">
            <w:pPr>
              <w:spacing w:line="240" w:lineRule="auto"/>
              <w:jc w:val="right"/>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3</w:t>
            </w:r>
          </w:p>
        </w:tc>
        <w:tc>
          <w:tcPr>
            <w:tcW w:w="499" w:type="pct"/>
            <w:hideMark/>
          </w:tcPr>
          <w:p w14:paraId="6B596BDB"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$350,000</w:t>
            </w:r>
          </w:p>
        </w:tc>
        <w:tc>
          <w:tcPr>
            <w:tcW w:w="496" w:type="pct"/>
            <w:hideMark/>
          </w:tcPr>
          <w:p w14:paraId="608BA765"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$220,000</w:t>
            </w:r>
          </w:p>
        </w:tc>
        <w:tc>
          <w:tcPr>
            <w:tcW w:w="496" w:type="pct"/>
            <w:hideMark/>
          </w:tcPr>
          <w:p w14:paraId="68A1AAD3"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$130,000</w:t>
            </w:r>
          </w:p>
        </w:tc>
        <w:tc>
          <w:tcPr>
            <w:tcW w:w="570" w:type="pct"/>
            <w:hideMark/>
          </w:tcPr>
          <w:p w14:paraId="1D235864"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$40,000</w:t>
            </w:r>
          </w:p>
        </w:tc>
        <w:tc>
          <w:tcPr>
            <w:tcW w:w="480" w:type="pct"/>
            <w:hideMark/>
          </w:tcPr>
          <w:p w14:paraId="7002B1D7"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$4,000</w:t>
            </w:r>
          </w:p>
        </w:tc>
        <w:tc>
          <w:tcPr>
            <w:tcW w:w="694" w:type="pct"/>
            <w:hideMark/>
          </w:tcPr>
          <w:p w14:paraId="326D8A2E"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$2,000</w:t>
            </w:r>
          </w:p>
        </w:tc>
        <w:tc>
          <w:tcPr>
            <w:tcW w:w="496" w:type="pct"/>
            <w:hideMark/>
          </w:tcPr>
          <w:p w14:paraId="2F5AD0F7"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$84,000</w:t>
            </w:r>
          </w:p>
        </w:tc>
        <w:tc>
          <w:tcPr>
            <w:tcW w:w="444" w:type="pct"/>
            <w:hideMark/>
          </w:tcPr>
          <w:p w14:paraId="4A0F6DCB"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$25,200</w:t>
            </w:r>
          </w:p>
        </w:tc>
        <w:tc>
          <w:tcPr>
            <w:tcW w:w="496" w:type="pct"/>
            <w:hideMark/>
          </w:tcPr>
          <w:p w14:paraId="4CF3EB53"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$58,800</w:t>
            </w:r>
          </w:p>
        </w:tc>
      </w:tr>
      <w:tr w:rsidR="00B335D9" w:rsidRPr="00B335D9" w14:paraId="5CFD28CF" w14:textId="77777777" w:rsidTr="00B335D9">
        <w:trPr>
          <w:trHeight w:val="300"/>
        </w:trPr>
        <w:tc>
          <w:tcPr>
            <w:cnfStyle w:val="001000000000" w:firstRow="0" w:lastRow="0" w:firstColumn="1" w:lastColumn="0" w:oddVBand="0" w:evenVBand="0" w:oddHBand="0" w:evenHBand="0" w:firstRowFirstColumn="0" w:firstRowLastColumn="0" w:lastRowFirstColumn="0" w:lastRowLastColumn="0"/>
            <w:tcW w:w="330" w:type="pct"/>
            <w:hideMark/>
          </w:tcPr>
          <w:p w14:paraId="074F6010" w14:textId="77777777" w:rsidR="00B335D9" w:rsidRPr="00B335D9" w:rsidRDefault="00B335D9" w:rsidP="00B335D9">
            <w:pPr>
              <w:spacing w:line="240" w:lineRule="auto"/>
              <w:jc w:val="right"/>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4</w:t>
            </w:r>
          </w:p>
        </w:tc>
        <w:tc>
          <w:tcPr>
            <w:tcW w:w="499" w:type="pct"/>
            <w:hideMark/>
          </w:tcPr>
          <w:p w14:paraId="0B250701"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$500,000</w:t>
            </w:r>
          </w:p>
        </w:tc>
        <w:tc>
          <w:tcPr>
            <w:tcW w:w="496" w:type="pct"/>
            <w:hideMark/>
          </w:tcPr>
          <w:p w14:paraId="268A65E4"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$300,000</w:t>
            </w:r>
          </w:p>
        </w:tc>
        <w:tc>
          <w:tcPr>
            <w:tcW w:w="496" w:type="pct"/>
            <w:hideMark/>
          </w:tcPr>
          <w:p w14:paraId="26739BF8"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$200,000</w:t>
            </w:r>
          </w:p>
        </w:tc>
        <w:tc>
          <w:tcPr>
            <w:tcW w:w="570" w:type="pct"/>
            <w:hideMark/>
          </w:tcPr>
          <w:p w14:paraId="3C333F27"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$50,000</w:t>
            </w:r>
          </w:p>
        </w:tc>
        <w:tc>
          <w:tcPr>
            <w:tcW w:w="480" w:type="pct"/>
            <w:hideMark/>
          </w:tcPr>
          <w:p w14:paraId="150A8EA4"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$3,500</w:t>
            </w:r>
          </w:p>
        </w:tc>
        <w:tc>
          <w:tcPr>
            <w:tcW w:w="694" w:type="pct"/>
            <w:hideMark/>
          </w:tcPr>
          <w:p w14:paraId="510EEA64"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$2,000</w:t>
            </w:r>
          </w:p>
        </w:tc>
        <w:tc>
          <w:tcPr>
            <w:tcW w:w="496" w:type="pct"/>
            <w:hideMark/>
          </w:tcPr>
          <w:p w14:paraId="4442DCBD"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$144,500</w:t>
            </w:r>
          </w:p>
        </w:tc>
        <w:tc>
          <w:tcPr>
            <w:tcW w:w="444" w:type="pct"/>
            <w:hideMark/>
          </w:tcPr>
          <w:p w14:paraId="541B1367"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$43,350</w:t>
            </w:r>
          </w:p>
        </w:tc>
        <w:tc>
          <w:tcPr>
            <w:tcW w:w="496" w:type="pct"/>
            <w:hideMark/>
          </w:tcPr>
          <w:p w14:paraId="2DC440F8" w14:textId="77777777" w:rsidR="00B335D9" w:rsidRPr="00B335D9" w:rsidRDefault="00B335D9" w:rsidP="00B335D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$101,150</w:t>
            </w:r>
          </w:p>
        </w:tc>
      </w:tr>
      <w:tr w:rsidR="00B335D9" w:rsidRPr="00B335D9" w14:paraId="6D88DD7C" w14:textId="77777777" w:rsidTr="00B335D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0" w:type="pct"/>
            <w:hideMark/>
          </w:tcPr>
          <w:p w14:paraId="7713684F" w14:textId="77777777" w:rsidR="00B335D9" w:rsidRPr="00B335D9" w:rsidRDefault="00B335D9" w:rsidP="00B335D9">
            <w:pPr>
              <w:spacing w:line="240" w:lineRule="auto"/>
              <w:jc w:val="right"/>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5</w:t>
            </w:r>
          </w:p>
        </w:tc>
        <w:tc>
          <w:tcPr>
            <w:tcW w:w="499" w:type="pct"/>
            <w:hideMark/>
          </w:tcPr>
          <w:p w14:paraId="3E959A1B"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$650,000</w:t>
            </w:r>
          </w:p>
        </w:tc>
        <w:tc>
          <w:tcPr>
            <w:tcW w:w="496" w:type="pct"/>
            <w:hideMark/>
          </w:tcPr>
          <w:p w14:paraId="0C45DDF2"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$390,000</w:t>
            </w:r>
          </w:p>
        </w:tc>
        <w:tc>
          <w:tcPr>
            <w:tcW w:w="496" w:type="pct"/>
            <w:hideMark/>
          </w:tcPr>
          <w:p w14:paraId="6F60421C"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$260,000</w:t>
            </w:r>
          </w:p>
        </w:tc>
        <w:tc>
          <w:tcPr>
            <w:tcW w:w="570" w:type="pct"/>
            <w:hideMark/>
          </w:tcPr>
          <w:p w14:paraId="5AD52B06"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$60,000</w:t>
            </w:r>
          </w:p>
        </w:tc>
        <w:tc>
          <w:tcPr>
            <w:tcW w:w="480" w:type="pct"/>
            <w:hideMark/>
          </w:tcPr>
          <w:p w14:paraId="3EE072F3"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$3,000</w:t>
            </w:r>
          </w:p>
        </w:tc>
        <w:tc>
          <w:tcPr>
            <w:tcW w:w="694" w:type="pct"/>
            <w:hideMark/>
          </w:tcPr>
          <w:p w14:paraId="43A6B216"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$2,000</w:t>
            </w:r>
          </w:p>
        </w:tc>
        <w:tc>
          <w:tcPr>
            <w:tcW w:w="496" w:type="pct"/>
            <w:hideMark/>
          </w:tcPr>
          <w:p w14:paraId="6D0ADFB7"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$195,000</w:t>
            </w:r>
          </w:p>
        </w:tc>
        <w:tc>
          <w:tcPr>
            <w:tcW w:w="444" w:type="pct"/>
            <w:hideMark/>
          </w:tcPr>
          <w:p w14:paraId="553554A2"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$58,500</w:t>
            </w:r>
          </w:p>
        </w:tc>
        <w:tc>
          <w:tcPr>
            <w:tcW w:w="496" w:type="pct"/>
            <w:hideMark/>
          </w:tcPr>
          <w:p w14:paraId="79FCAD14" w14:textId="77777777" w:rsidR="00B335D9" w:rsidRPr="00B335D9" w:rsidRDefault="00B335D9" w:rsidP="00B335D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 w:val="18"/>
                <w:szCs w:val="19"/>
                <w:lang w:eastAsia="en-IN" w:bidi="ar-SA"/>
              </w:rPr>
            </w:pPr>
            <w:r w:rsidRPr="00B335D9">
              <w:rPr>
                <w:rFonts w:eastAsia="Times New Roman" w:cs="Times New Roman"/>
                <w:color w:val="000000" w:themeColor="text1"/>
                <w:sz w:val="18"/>
                <w:szCs w:val="19"/>
                <w:lang w:eastAsia="en-IN" w:bidi="ar-SA"/>
              </w:rPr>
              <w:t>$136,500</w:t>
            </w:r>
          </w:p>
        </w:tc>
      </w:tr>
    </w:tbl>
    <w:p w14:paraId="36A5DCC0" w14:textId="77777777" w:rsidR="00B335D9" w:rsidRDefault="00B335D9" w:rsidP="006B10BE">
      <w:pPr>
        <w:spacing w:before="240"/>
      </w:pPr>
    </w:p>
    <w:p w14:paraId="14129196" w14:textId="77777777" w:rsidR="006B10BE" w:rsidRDefault="006B10BE" w:rsidP="006B10BE">
      <w:pPr>
        <w:spacing w:before="240"/>
      </w:pPr>
      <w:r>
        <w:lastRenderedPageBreak/>
        <w:t xml:space="preserve">The break-even analysis takes into account variable costs, including transportation and installation, fixed costs (such as rent and salaries), and the average price of solar system units sold. The pricing strategy and sales targets of Solar Solutions Co. will be guided by the quantity of units that must be sold </w:t>
      </w:r>
      <w:proofErr w:type="gramStart"/>
      <w:r>
        <w:t>in order to</w:t>
      </w:r>
      <w:proofErr w:type="gramEnd"/>
      <w:r>
        <w:t xml:space="preserve"> recoup the expenses (Horngren</w:t>
      </w:r>
      <w:r w:rsidR="008D025C">
        <w:t xml:space="preserve"> et al., 2010</w:t>
      </w:r>
      <w:r>
        <w:t>).</w:t>
      </w:r>
    </w:p>
    <w:p w14:paraId="2767E72F" w14:textId="77777777" w:rsidR="00B335D9" w:rsidRDefault="00B335D9" w:rsidP="00B335D9">
      <w:pPr>
        <w:pStyle w:val="Caption"/>
        <w:keepNext/>
      </w:pPr>
      <w:r>
        <w:t xml:space="preserve">Table </w:t>
      </w:r>
      <w:fldSimple w:instr=" SEQ Table \* ARABIC ">
        <w:r w:rsidR="000F5ADA">
          <w:rPr>
            <w:noProof/>
          </w:rPr>
          <w:t>5</w:t>
        </w:r>
      </w:fldSimple>
      <w:r>
        <w:t xml:space="preserve">. </w:t>
      </w:r>
      <w:r w:rsidRPr="00426B1D">
        <w:t>Projected Balance Sheet for the Next Five Years</w:t>
      </w:r>
    </w:p>
    <w:tbl>
      <w:tblPr>
        <w:tblStyle w:val="TableGrid"/>
        <w:tblW w:w="5000" w:type="pct"/>
        <w:tblLook w:val="04A0" w:firstRow="1" w:lastRow="0" w:firstColumn="1" w:lastColumn="0" w:noHBand="0" w:noVBand="1"/>
      </w:tblPr>
      <w:tblGrid>
        <w:gridCol w:w="800"/>
        <w:gridCol w:w="1363"/>
        <w:gridCol w:w="1269"/>
        <w:gridCol w:w="1385"/>
        <w:gridCol w:w="1385"/>
        <w:gridCol w:w="1545"/>
        <w:gridCol w:w="1269"/>
      </w:tblGrid>
      <w:tr w:rsidR="00B335D9" w:rsidRPr="00B335D9" w14:paraId="0913C2DA" w14:textId="77777777" w:rsidTr="00B335D9">
        <w:trPr>
          <w:trHeight w:val="840"/>
        </w:trPr>
        <w:tc>
          <w:tcPr>
            <w:tcW w:w="443" w:type="pct"/>
            <w:hideMark/>
          </w:tcPr>
          <w:p w14:paraId="581CB8AF" w14:textId="77777777" w:rsidR="00B335D9" w:rsidRPr="00B335D9" w:rsidRDefault="00B335D9" w:rsidP="00B335D9">
            <w:pPr>
              <w:spacing w:line="240" w:lineRule="auto"/>
              <w:jc w:val="center"/>
              <w:rPr>
                <w:rFonts w:eastAsia="Times New Roman" w:cs="Times New Roman"/>
                <w:b/>
                <w:bCs/>
                <w:color w:val="000000" w:themeColor="text1"/>
                <w:sz w:val="18"/>
                <w:szCs w:val="18"/>
                <w:lang w:eastAsia="en-IN" w:bidi="ar-SA"/>
              </w:rPr>
            </w:pPr>
            <w:r w:rsidRPr="00B335D9">
              <w:rPr>
                <w:rFonts w:eastAsia="Times New Roman" w:cs="Times New Roman"/>
                <w:b/>
                <w:bCs/>
                <w:color w:val="000000" w:themeColor="text1"/>
                <w:sz w:val="18"/>
                <w:szCs w:val="18"/>
                <w:lang w:eastAsia="en-IN" w:bidi="ar-SA"/>
              </w:rPr>
              <w:t>Year</w:t>
            </w:r>
          </w:p>
        </w:tc>
        <w:tc>
          <w:tcPr>
            <w:tcW w:w="756" w:type="pct"/>
            <w:hideMark/>
          </w:tcPr>
          <w:p w14:paraId="60E5FDC5" w14:textId="77777777" w:rsidR="00B335D9" w:rsidRPr="00B335D9" w:rsidRDefault="00B335D9" w:rsidP="00B335D9">
            <w:pPr>
              <w:spacing w:line="240" w:lineRule="auto"/>
              <w:jc w:val="center"/>
              <w:rPr>
                <w:rFonts w:eastAsia="Times New Roman" w:cs="Times New Roman"/>
                <w:b/>
                <w:bCs/>
                <w:color w:val="000000" w:themeColor="text1"/>
                <w:sz w:val="18"/>
                <w:szCs w:val="18"/>
                <w:lang w:eastAsia="en-IN" w:bidi="ar-SA"/>
              </w:rPr>
            </w:pPr>
            <w:r w:rsidRPr="00B335D9">
              <w:rPr>
                <w:rFonts w:eastAsia="Times New Roman" w:cs="Times New Roman"/>
                <w:b/>
                <w:bCs/>
                <w:color w:val="000000" w:themeColor="text1"/>
                <w:sz w:val="18"/>
                <w:szCs w:val="18"/>
                <w:lang w:eastAsia="en-IN" w:bidi="ar-SA"/>
              </w:rPr>
              <w:t>Assets</w:t>
            </w:r>
          </w:p>
        </w:tc>
        <w:tc>
          <w:tcPr>
            <w:tcW w:w="704" w:type="pct"/>
            <w:hideMark/>
          </w:tcPr>
          <w:p w14:paraId="7245537E" w14:textId="77777777" w:rsidR="00B335D9" w:rsidRPr="00B335D9" w:rsidRDefault="00B335D9" w:rsidP="00B335D9">
            <w:pPr>
              <w:spacing w:line="240" w:lineRule="auto"/>
              <w:jc w:val="center"/>
              <w:rPr>
                <w:rFonts w:eastAsia="Times New Roman" w:cs="Times New Roman"/>
                <w:b/>
                <w:bCs/>
                <w:color w:val="000000" w:themeColor="text1"/>
                <w:sz w:val="18"/>
                <w:szCs w:val="18"/>
                <w:lang w:eastAsia="en-IN" w:bidi="ar-SA"/>
              </w:rPr>
            </w:pPr>
            <w:r w:rsidRPr="00B335D9">
              <w:rPr>
                <w:rFonts w:eastAsia="Times New Roman" w:cs="Times New Roman"/>
                <w:b/>
                <w:bCs/>
                <w:color w:val="000000" w:themeColor="text1"/>
                <w:sz w:val="18"/>
                <w:szCs w:val="18"/>
                <w:lang w:eastAsia="en-IN" w:bidi="ar-SA"/>
              </w:rPr>
              <w:t>Total Assets</w:t>
            </w:r>
          </w:p>
        </w:tc>
        <w:tc>
          <w:tcPr>
            <w:tcW w:w="768" w:type="pct"/>
            <w:hideMark/>
          </w:tcPr>
          <w:p w14:paraId="68A0FC50" w14:textId="77777777" w:rsidR="00B335D9" w:rsidRPr="00B335D9" w:rsidRDefault="00B335D9" w:rsidP="00B335D9">
            <w:pPr>
              <w:spacing w:line="240" w:lineRule="auto"/>
              <w:jc w:val="center"/>
              <w:rPr>
                <w:rFonts w:eastAsia="Times New Roman" w:cs="Times New Roman"/>
                <w:b/>
                <w:bCs/>
                <w:color w:val="000000" w:themeColor="text1"/>
                <w:sz w:val="18"/>
                <w:szCs w:val="18"/>
                <w:lang w:eastAsia="en-IN" w:bidi="ar-SA"/>
              </w:rPr>
            </w:pPr>
            <w:r w:rsidRPr="00B335D9">
              <w:rPr>
                <w:rFonts w:eastAsia="Times New Roman" w:cs="Times New Roman"/>
                <w:b/>
                <w:bCs/>
                <w:color w:val="000000" w:themeColor="text1"/>
                <w:sz w:val="18"/>
                <w:szCs w:val="18"/>
                <w:lang w:eastAsia="en-IN" w:bidi="ar-SA"/>
              </w:rPr>
              <w:t>Liabilities</w:t>
            </w:r>
          </w:p>
        </w:tc>
        <w:tc>
          <w:tcPr>
            <w:tcW w:w="768" w:type="pct"/>
            <w:hideMark/>
          </w:tcPr>
          <w:p w14:paraId="02FC6681" w14:textId="77777777" w:rsidR="00B335D9" w:rsidRPr="00B335D9" w:rsidRDefault="00B335D9" w:rsidP="00B335D9">
            <w:pPr>
              <w:spacing w:line="240" w:lineRule="auto"/>
              <w:jc w:val="center"/>
              <w:rPr>
                <w:rFonts w:eastAsia="Times New Roman" w:cs="Times New Roman"/>
                <w:b/>
                <w:bCs/>
                <w:color w:val="000000" w:themeColor="text1"/>
                <w:sz w:val="18"/>
                <w:szCs w:val="18"/>
                <w:lang w:eastAsia="en-IN" w:bidi="ar-SA"/>
              </w:rPr>
            </w:pPr>
            <w:r w:rsidRPr="00B335D9">
              <w:rPr>
                <w:rFonts w:eastAsia="Times New Roman" w:cs="Times New Roman"/>
                <w:b/>
                <w:bCs/>
                <w:color w:val="000000" w:themeColor="text1"/>
                <w:sz w:val="18"/>
                <w:szCs w:val="18"/>
                <w:lang w:eastAsia="en-IN" w:bidi="ar-SA"/>
              </w:rPr>
              <w:t>Total Liabilities</w:t>
            </w:r>
          </w:p>
        </w:tc>
        <w:tc>
          <w:tcPr>
            <w:tcW w:w="857" w:type="pct"/>
            <w:hideMark/>
          </w:tcPr>
          <w:p w14:paraId="27F50362" w14:textId="77777777" w:rsidR="00B335D9" w:rsidRPr="00B335D9" w:rsidRDefault="00B335D9" w:rsidP="00B335D9">
            <w:pPr>
              <w:spacing w:line="240" w:lineRule="auto"/>
              <w:jc w:val="center"/>
              <w:rPr>
                <w:rFonts w:eastAsia="Times New Roman" w:cs="Times New Roman"/>
                <w:b/>
                <w:bCs/>
                <w:color w:val="000000" w:themeColor="text1"/>
                <w:sz w:val="18"/>
                <w:szCs w:val="18"/>
                <w:lang w:eastAsia="en-IN" w:bidi="ar-SA"/>
              </w:rPr>
            </w:pPr>
            <w:r w:rsidRPr="00B335D9">
              <w:rPr>
                <w:rFonts w:eastAsia="Times New Roman" w:cs="Times New Roman"/>
                <w:b/>
                <w:bCs/>
                <w:color w:val="000000" w:themeColor="text1"/>
                <w:sz w:val="18"/>
                <w:szCs w:val="18"/>
                <w:lang w:eastAsia="en-IN" w:bidi="ar-SA"/>
              </w:rPr>
              <w:t>Equity</w:t>
            </w:r>
          </w:p>
        </w:tc>
        <w:tc>
          <w:tcPr>
            <w:tcW w:w="704" w:type="pct"/>
            <w:hideMark/>
          </w:tcPr>
          <w:p w14:paraId="7D8F99FF" w14:textId="77777777" w:rsidR="00B335D9" w:rsidRPr="00B335D9" w:rsidRDefault="00B335D9" w:rsidP="00B335D9">
            <w:pPr>
              <w:spacing w:line="240" w:lineRule="auto"/>
              <w:jc w:val="center"/>
              <w:rPr>
                <w:rFonts w:eastAsia="Times New Roman" w:cs="Times New Roman"/>
                <w:b/>
                <w:bCs/>
                <w:color w:val="000000" w:themeColor="text1"/>
                <w:sz w:val="18"/>
                <w:szCs w:val="18"/>
                <w:lang w:eastAsia="en-IN" w:bidi="ar-SA"/>
              </w:rPr>
            </w:pPr>
            <w:r w:rsidRPr="00B335D9">
              <w:rPr>
                <w:rFonts w:eastAsia="Times New Roman" w:cs="Times New Roman"/>
                <w:b/>
                <w:bCs/>
                <w:color w:val="000000" w:themeColor="text1"/>
                <w:sz w:val="18"/>
                <w:szCs w:val="18"/>
                <w:lang w:eastAsia="en-IN" w:bidi="ar-SA"/>
              </w:rPr>
              <w:t>Total Equity</w:t>
            </w:r>
          </w:p>
        </w:tc>
      </w:tr>
      <w:tr w:rsidR="00B335D9" w:rsidRPr="00B335D9" w14:paraId="0C04BDDE" w14:textId="77777777" w:rsidTr="00B335D9">
        <w:trPr>
          <w:trHeight w:val="1116"/>
        </w:trPr>
        <w:tc>
          <w:tcPr>
            <w:tcW w:w="443" w:type="pct"/>
            <w:hideMark/>
          </w:tcPr>
          <w:p w14:paraId="5626D85F" w14:textId="77777777" w:rsidR="00B335D9" w:rsidRPr="00B335D9" w:rsidRDefault="00B335D9" w:rsidP="00B335D9">
            <w:pPr>
              <w:spacing w:line="240" w:lineRule="auto"/>
              <w:jc w:val="righ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1</w:t>
            </w:r>
          </w:p>
        </w:tc>
        <w:tc>
          <w:tcPr>
            <w:tcW w:w="756" w:type="pct"/>
            <w:hideMark/>
          </w:tcPr>
          <w:p w14:paraId="2B4790AD"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Cash: $50,000</w:t>
            </w:r>
          </w:p>
        </w:tc>
        <w:tc>
          <w:tcPr>
            <w:tcW w:w="704" w:type="pct"/>
            <w:hideMark/>
          </w:tcPr>
          <w:p w14:paraId="7386005B"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68" w:type="pct"/>
            <w:hideMark/>
          </w:tcPr>
          <w:p w14:paraId="76C89625"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Accounts Payable: $20,000</w:t>
            </w:r>
          </w:p>
        </w:tc>
        <w:tc>
          <w:tcPr>
            <w:tcW w:w="768" w:type="pct"/>
            <w:hideMark/>
          </w:tcPr>
          <w:p w14:paraId="083509A6"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857" w:type="pct"/>
            <w:hideMark/>
          </w:tcPr>
          <w:p w14:paraId="75BFD0AF"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Initial Investment: $200,000</w:t>
            </w:r>
          </w:p>
        </w:tc>
        <w:tc>
          <w:tcPr>
            <w:tcW w:w="704" w:type="pct"/>
            <w:hideMark/>
          </w:tcPr>
          <w:p w14:paraId="5AB5D04B"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r>
      <w:tr w:rsidR="00B335D9" w:rsidRPr="00B335D9" w14:paraId="18E94BCE" w14:textId="77777777" w:rsidTr="00B335D9">
        <w:trPr>
          <w:trHeight w:val="1116"/>
        </w:trPr>
        <w:tc>
          <w:tcPr>
            <w:tcW w:w="443" w:type="pct"/>
            <w:hideMark/>
          </w:tcPr>
          <w:p w14:paraId="2CF4A15A"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56" w:type="pct"/>
            <w:hideMark/>
          </w:tcPr>
          <w:p w14:paraId="3FDEB9E9"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Inventory: $30,000</w:t>
            </w:r>
          </w:p>
        </w:tc>
        <w:tc>
          <w:tcPr>
            <w:tcW w:w="704" w:type="pct"/>
            <w:hideMark/>
          </w:tcPr>
          <w:p w14:paraId="5E8EECAB"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$150,000</w:t>
            </w:r>
          </w:p>
        </w:tc>
        <w:tc>
          <w:tcPr>
            <w:tcW w:w="768" w:type="pct"/>
            <w:hideMark/>
          </w:tcPr>
          <w:p w14:paraId="2C1A51D6"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Short-term Debt: $30,000</w:t>
            </w:r>
          </w:p>
        </w:tc>
        <w:tc>
          <w:tcPr>
            <w:tcW w:w="768" w:type="pct"/>
            <w:hideMark/>
          </w:tcPr>
          <w:p w14:paraId="08C23FEF"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$100,000</w:t>
            </w:r>
          </w:p>
        </w:tc>
        <w:tc>
          <w:tcPr>
            <w:tcW w:w="857" w:type="pct"/>
            <w:hideMark/>
          </w:tcPr>
          <w:p w14:paraId="1F1B685A"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Retained Earnings: $2,100</w:t>
            </w:r>
          </w:p>
        </w:tc>
        <w:tc>
          <w:tcPr>
            <w:tcW w:w="704" w:type="pct"/>
            <w:hideMark/>
          </w:tcPr>
          <w:p w14:paraId="797F04D5"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$202,100</w:t>
            </w:r>
          </w:p>
        </w:tc>
      </w:tr>
      <w:tr w:rsidR="00B335D9" w:rsidRPr="00B335D9" w14:paraId="728B0B3E" w14:textId="77777777" w:rsidTr="00B335D9">
        <w:trPr>
          <w:trHeight w:val="1116"/>
        </w:trPr>
        <w:tc>
          <w:tcPr>
            <w:tcW w:w="443" w:type="pct"/>
            <w:hideMark/>
          </w:tcPr>
          <w:p w14:paraId="490DCB04"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56" w:type="pct"/>
            <w:hideMark/>
          </w:tcPr>
          <w:p w14:paraId="31324699"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PP&amp;E (net): $70,000</w:t>
            </w:r>
          </w:p>
        </w:tc>
        <w:tc>
          <w:tcPr>
            <w:tcW w:w="704" w:type="pct"/>
            <w:hideMark/>
          </w:tcPr>
          <w:p w14:paraId="70CB35DE"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68" w:type="pct"/>
            <w:hideMark/>
          </w:tcPr>
          <w:p w14:paraId="3EDE8121"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Long-term Debt: $50,000</w:t>
            </w:r>
          </w:p>
        </w:tc>
        <w:tc>
          <w:tcPr>
            <w:tcW w:w="768" w:type="pct"/>
            <w:hideMark/>
          </w:tcPr>
          <w:p w14:paraId="790CB603"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857" w:type="pct"/>
            <w:hideMark/>
          </w:tcPr>
          <w:p w14:paraId="77AF87EC"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04" w:type="pct"/>
            <w:hideMark/>
          </w:tcPr>
          <w:p w14:paraId="23FE6C3C"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r>
      <w:tr w:rsidR="00B335D9" w:rsidRPr="00B335D9" w14:paraId="2E439CE4" w14:textId="77777777" w:rsidTr="00B335D9">
        <w:trPr>
          <w:trHeight w:val="1116"/>
        </w:trPr>
        <w:tc>
          <w:tcPr>
            <w:tcW w:w="443" w:type="pct"/>
            <w:hideMark/>
          </w:tcPr>
          <w:p w14:paraId="5B3B345F" w14:textId="77777777" w:rsidR="00B335D9" w:rsidRPr="00B335D9" w:rsidRDefault="00B335D9" w:rsidP="00B335D9">
            <w:pPr>
              <w:spacing w:line="240" w:lineRule="auto"/>
              <w:jc w:val="righ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2</w:t>
            </w:r>
          </w:p>
        </w:tc>
        <w:tc>
          <w:tcPr>
            <w:tcW w:w="756" w:type="pct"/>
            <w:hideMark/>
          </w:tcPr>
          <w:p w14:paraId="0954FB41"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Cash: $80,000</w:t>
            </w:r>
          </w:p>
        </w:tc>
        <w:tc>
          <w:tcPr>
            <w:tcW w:w="704" w:type="pct"/>
            <w:hideMark/>
          </w:tcPr>
          <w:p w14:paraId="1C379ED1"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68" w:type="pct"/>
            <w:hideMark/>
          </w:tcPr>
          <w:p w14:paraId="1CD4863A"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Accounts Payable: $25,000</w:t>
            </w:r>
          </w:p>
        </w:tc>
        <w:tc>
          <w:tcPr>
            <w:tcW w:w="768" w:type="pct"/>
            <w:hideMark/>
          </w:tcPr>
          <w:p w14:paraId="202E31CB"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857" w:type="pct"/>
            <w:hideMark/>
          </w:tcPr>
          <w:p w14:paraId="2739009B"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Initial Investment: $200,000</w:t>
            </w:r>
          </w:p>
        </w:tc>
        <w:tc>
          <w:tcPr>
            <w:tcW w:w="704" w:type="pct"/>
            <w:hideMark/>
          </w:tcPr>
          <w:p w14:paraId="50D8F534"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r>
      <w:tr w:rsidR="00B335D9" w:rsidRPr="00B335D9" w14:paraId="719BBE32" w14:textId="77777777" w:rsidTr="00B335D9">
        <w:trPr>
          <w:trHeight w:val="1116"/>
        </w:trPr>
        <w:tc>
          <w:tcPr>
            <w:tcW w:w="443" w:type="pct"/>
            <w:hideMark/>
          </w:tcPr>
          <w:p w14:paraId="72E697DD"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56" w:type="pct"/>
            <w:hideMark/>
          </w:tcPr>
          <w:p w14:paraId="135CEC9A"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Inventory: $50,000</w:t>
            </w:r>
          </w:p>
        </w:tc>
        <w:tc>
          <w:tcPr>
            <w:tcW w:w="704" w:type="pct"/>
            <w:hideMark/>
          </w:tcPr>
          <w:p w14:paraId="6EED9866"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$255,000</w:t>
            </w:r>
          </w:p>
        </w:tc>
        <w:tc>
          <w:tcPr>
            <w:tcW w:w="768" w:type="pct"/>
            <w:hideMark/>
          </w:tcPr>
          <w:p w14:paraId="2BFC73B2"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Short-term Debt: $25,000</w:t>
            </w:r>
          </w:p>
        </w:tc>
        <w:tc>
          <w:tcPr>
            <w:tcW w:w="768" w:type="pct"/>
            <w:hideMark/>
          </w:tcPr>
          <w:p w14:paraId="0EEF4A36"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$125,000</w:t>
            </w:r>
          </w:p>
        </w:tc>
        <w:tc>
          <w:tcPr>
            <w:tcW w:w="857" w:type="pct"/>
            <w:hideMark/>
          </w:tcPr>
          <w:p w14:paraId="0CFEA53B"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Retained Earnings: $25,550</w:t>
            </w:r>
          </w:p>
        </w:tc>
        <w:tc>
          <w:tcPr>
            <w:tcW w:w="704" w:type="pct"/>
            <w:hideMark/>
          </w:tcPr>
          <w:p w14:paraId="201570F9"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$225,550</w:t>
            </w:r>
          </w:p>
        </w:tc>
      </w:tr>
      <w:tr w:rsidR="00B335D9" w:rsidRPr="00B335D9" w14:paraId="16FEBAAC" w14:textId="77777777" w:rsidTr="00B335D9">
        <w:trPr>
          <w:trHeight w:val="1116"/>
        </w:trPr>
        <w:tc>
          <w:tcPr>
            <w:tcW w:w="443" w:type="pct"/>
            <w:hideMark/>
          </w:tcPr>
          <w:p w14:paraId="7EDC77C6"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56" w:type="pct"/>
            <w:hideMark/>
          </w:tcPr>
          <w:p w14:paraId="6AEBF19F"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PP&amp;E (net): $125,000</w:t>
            </w:r>
          </w:p>
        </w:tc>
        <w:tc>
          <w:tcPr>
            <w:tcW w:w="704" w:type="pct"/>
            <w:hideMark/>
          </w:tcPr>
          <w:p w14:paraId="78A142FD"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68" w:type="pct"/>
            <w:hideMark/>
          </w:tcPr>
          <w:p w14:paraId="5D93E935"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Long-term Debt: $75,000</w:t>
            </w:r>
          </w:p>
        </w:tc>
        <w:tc>
          <w:tcPr>
            <w:tcW w:w="768" w:type="pct"/>
            <w:hideMark/>
          </w:tcPr>
          <w:p w14:paraId="0E66757E"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857" w:type="pct"/>
            <w:hideMark/>
          </w:tcPr>
          <w:p w14:paraId="0BB61115"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04" w:type="pct"/>
            <w:hideMark/>
          </w:tcPr>
          <w:p w14:paraId="62BA0FD8"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r>
      <w:tr w:rsidR="00B335D9" w:rsidRPr="00B335D9" w14:paraId="669A2DA9" w14:textId="77777777" w:rsidTr="00B335D9">
        <w:trPr>
          <w:trHeight w:val="1116"/>
        </w:trPr>
        <w:tc>
          <w:tcPr>
            <w:tcW w:w="443" w:type="pct"/>
            <w:hideMark/>
          </w:tcPr>
          <w:p w14:paraId="454C0CDC" w14:textId="77777777" w:rsidR="00B335D9" w:rsidRPr="00B335D9" w:rsidRDefault="00B335D9" w:rsidP="00B335D9">
            <w:pPr>
              <w:spacing w:line="240" w:lineRule="auto"/>
              <w:jc w:val="righ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3</w:t>
            </w:r>
          </w:p>
        </w:tc>
        <w:tc>
          <w:tcPr>
            <w:tcW w:w="756" w:type="pct"/>
            <w:hideMark/>
          </w:tcPr>
          <w:p w14:paraId="11962C7E"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Cash: $120,000</w:t>
            </w:r>
          </w:p>
        </w:tc>
        <w:tc>
          <w:tcPr>
            <w:tcW w:w="704" w:type="pct"/>
            <w:hideMark/>
          </w:tcPr>
          <w:p w14:paraId="493585B6"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68" w:type="pct"/>
            <w:hideMark/>
          </w:tcPr>
          <w:p w14:paraId="255769D7"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Accounts Payable: $30,000</w:t>
            </w:r>
          </w:p>
        </w:tc>
        <w:tc>
          <w:tcPr>
            <w:tcW w:w="768" w:type="pct"/>
            <w:hideMark/>
          </w:tcPr>
          <w:p w14:paraId="258424F7"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857" w:type="pct"/>
            <w:hideMark/>
          </w:tcPr>
          <w:p w14:paraId="598AD29F"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Initial Investment: $200,000</w:t>
            </w:r>
          </w:p>
        </w:tc>
        <w:tc>
          <w:tcPr>
            <w:tcW w:w="704" w:type="pct"/>
            <w:hideMark/>
          </w:tcPr>
          <w:p w14:paraId="3DBF151F"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r>
      <w:tr w:rsidR="00B335D9" w:rsidRPr="00B335D9" w14:paraId="08C75E30" w14:textId="77777777" w:rsidTr="00B335D9">
        <w:trPr>
          <w:trHeight w:val="1116"/>
        </w:trPr>
        <w:tc>
          <w:tcPr>
            <w:tcW w:w="443" w:type="pct"/>
            <w:hideMark/>
          </w:tcPr>
          <w:p w14:paraId="43D69FB6"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56" w:type="pct"/>
            <w:hideMark/>
          </w:tcPr>
          <w:p w14:paraId="1BB9D180"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Inventory: $80,000</w:t>
            </w:r>
          </w:p>
        </w:tc>
        <w:tc>
          <w:tcPr>
            <w:tcW w:w="704" w:type="pct"/>
            <w:hideMark/>
          </w:tcPr>
          <w:p w14:paraId="42A6E0CF"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$400,000</w:t>
            </w:r>
          </w:p>
        </w:tc>
        <w:tc>
          <w:tcPr>
            <w:tcW w:w="768" w:type="pct"/>
            <w:hideMark/>
          </w:tcPr>
          <w:p w14:paraId="170B3FB7"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Short-term Debt: $20,000</w:t>
            </w:r>
          </w:p>
        </w:tc>
        <w:tc>
          <w:tcPr>
            <w:tcW w:w="768" w:type="pct"/>
            <w:hideMark/>
          </w:tcPr>
          <w:p w14:paraId="25981325"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$160,000</w:t>
            </w:r>
          </w:p>
        </w:tc>
        <w:tc>
          <w:tcPr>
            <w:tcW w:w="857" w:type="pct"/>
            <w:hideMark/>
          </w:tcPr>
          <w:p w14:paraId="562326BE"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Retained Earnings: $84,350</w:t>
            </w:r>
          </w:p>
        </w:tc>
        <w:tc>
          <w:tcPr>
            <w:tcW w:w="704" w:type="pct"/>
            <w:hideMark/>
          </w:tcPr>
          <w:p w14:paraId="1D92189F"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$284,350</w:t>
            </w:r>
          </w:p>
        </w:tc>
      </w:tr>
      <w:tr w:rsidR="00B335D9" w:rsidRPr="00B335D9" w14:paraId="3DC8BC5E" w14:textId="77777777" w:rsidTr="00B335D9">
        <w:trPr>
          <w:trHeight w:val="1116"/>
        </w:trPr>
        <w:tc>
          <w:tcPr>
            <w:tcW w:w="443" w:type="pct"/>
            <w:hideMark/>
          </w:tcPr>
          <w:p w14:paraId="6375036B"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56" w:type="pct"/>
            <w:hideMark/>
          </w:tcPr>
          <w:p w14:paraId="1B11119D"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PP&amp;E (net): $200,000</w:t>
            </w:r>
          </w:p>
        </w:tc>
        <w:tc>
          <w:tcPr>
            <w:tcW w:w="704" w:type="pct"/>
            <w:hideMark/>
          </w:tcPr>
          <w:p w14:paraId="78DD8388"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68" w:type="pct"/>
            <w:hideMark/>
          </w:tcPr>
          <w:p w14:paraId="650BEDE4"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Long-term Debt: $100,000</w:t>
            </w:r>
          </w:p>
        </w:tc>
        <w:tc>
          <w:tcPr>
            <w:tcW w:w="768" w:type="pct"/>
            <w:hideMark/>
          </w:tcPr>
          <w:p w14:paraId="15B23CD7"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857" w:type="pct"/>
            <w:hideMark/>
          </w:tcPr>
          <w:p w14:paraId="71D4C4FE"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04" w:type="pct"/>
            <w:hideMark/>
          </w:tcPr>
          <w:p w14:paraId="0A9629A8"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r>
      <w:tr w:rsidR="00B335D9" w:rsidRPr="00B335D9" w14:paraId="7BE127D8" w14:textId="77777777" w:rsidTr="00B335D9">
        <w:trPr>
          <w:trHeight w:val="1116"/>
        </w:trPr>
        <w:tc>
          <w:tcPr>
            <w:tcW w:w="443" w:type="pct"/>
            <w:hideMark/>
          </w:tcPr>
          <w:p w14:paraId="58EF2DAD" w14:textId="77777777" w:rsidR="00B335D9" w:rsidRPr="00B335D9" w:rsidRDefault="00B335D9" w:rsidP="00B335D9">
            <w:pPr>
              <w:spacing w:line="240" w:lineRule="auto"/>
              <w:jc w:val="righ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lastRenderedPageBreak/>
              <w:t>4</w:t>
            </w:r>
          </w:p>
        </w:tc>
        <w:tc>
          <w:tcPr>
            <w:tcW w:w="756" w:type="pct"/>
            <w:hideMark/>
          </w:tcPr>
          <w:p w14:paraId="6AB82348"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Cash: $180,000</w:t>
            </w:r>
          </w:p>
        </w:tc>
        <w:tc>
          <w:tcPr>
            <w:tcW w:w="704" w:type="pct"/>
            <w:hideMark/>
          </w:tcPr>
          <w:p w14:paraId="352E6E67"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68" w:type="pct"/>
            <w:hideMark/>
          </w:tcPr>
          <w:p w14:paraId="514E38D0"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Accounts Payable: $35,000</w:t>
            </w:r>
          </w:p>
        </w:tc>
        <w:tc>
          <w:tcPr>
            <w:tcW w:w="768" w:type="pct"/>
            <w:hideMark/>
          </w:tcPr>
          <w:p w14:paraId="40E663C5"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857" w:type="pct"/>
            <w:hideMark/>
          </w:tcPr>
          <w:p w14:paraId="618E5F18"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Initial Investment: $200,000</w:t>
            </w:r>
          </w:p>
        </w:tc>
        <w:tc>
          <w:tcPr>
            <w:tcW w:w="704" w:type="pct"/>
            <w:hideMark/>
          </w:tcPr>
          <w:p w14:paraId="2DE31674"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r>
      <w:tr w:rsidR="00B335D9" w:rsidRPr="00B335D9" w14:paraId="650DC834" w14:textId="77777777" w:rsidTr="00B335D9">
        <w:trPr>
          <w:trHeight w:val="1116"/>
        </w:trPr>
        <w:tc>
          <w:tcPr>
            <w:tcW w:w="443" w:type="pct"/>
            <w:hideMark/>
          </w:tcPr>
          <w:p w14:paraId="07C28328"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56" w:type="pct"/>
            <w:hideMark/>
          </w:tcPr>
          <w:p w14:paraId="4C2E4868"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Inventory: $120,000</w:t>
            </w:r>
          </w:p>
        </w:tc>
        <w:tc>
          <w:tcPr>
            <w:tcW w:w="704" w:type="pct"/>
            <w:hideMark/>
          </w:tcPr>
          <w:p w14:paraId="269CA46F"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$585,000</w:t>
            </w:r>
          </w:p>
        </w:tc>
        <w:tc>
          <w:tcPr>
            <w:tcW w:w="768" w:type="pct"/>
            <w:hideMark/>
          </w:tcPr>
          <w:p w14:paraId="625D0A51"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Short-term Debt: $15,000</w:t>
            </w:r>
          </w:p>
        </w:tc>
        <w:tc>
          <w:tcPr>
            <w:tcW w:w="768" w:type="pct"/>
            <w:hideMark/>
          </w:tcPr>
          <w:p w14:paraId="2661B705"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$200,000</w:t>
            </w:r>
          </w:p>
        </w:tc>
        <w:tc>
          <w:tcPr>
            <w:tcW w:w="857" w:type="pct"/>
            <w:hideMark/>
          </w:tcPr>
          <w:p w14:paraId="0DB6FC62"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Retained Earnings: $185,500</w:t>
            </w:r>
          </w:p>
        </w:tc>
        <w:tc>
          <w:tcPr>
            <w:tcW w:w="704" w:type="pct"/>
            <w:hideMark/>
          </w:tcPr>
          <w:p w14:paraId="3FFCEC9B"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$385,500</w:t>
            </w:r>
          </w:p>
        </w:tc>
      </w:tr>
      <w:tr w:rsidR="00B335D9" w:rsidRPr="00B335D9" w14:paraId="041995C2" w14:textId="77777777" w:rsidTr="00B335D9">
        <w:trPr>
          <w:trHeight w:val="1116"/>
        </w:trPr>
        <w:tc>
          <w:tcPr>
            <w:tcW w:w="443" w:type="pct"/>
            <w:hideMark/>
          </w:tcPr>
          <w:p w14:paraId="5CC6612F"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56" w:type="pct"/>
            <w:hideMark/>
          </w:tcPr>
          <w:p w14:paraId="418B304D"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PP&amp;E (net): $285,000</w:t>
            </w:r>
          </w:p>
        </w:tc>
        <w:tc>
          <w:tcPr>
            <w:tcW w:w="704" w:type="pct"/>
            <w:hideMark/>
          </w:tcPr>
          <w:p w14:paraId="13C8C6DA"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68" w:type="pct"/>
            <w:hideMark/>
          </w:tcPr>
          <w:p w14:paraId="18815A9C"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Long-term Debt: $150,000</w:t>
            </w:r>
          </w:p>
        </w:tc>
        <w:tc>
          <w:tcPr>
            <w:tcW w:w="768" w:type="pct"/>
            <w:hideMark/>
          </w:tcPr>
          <w:p w14:paraId="357DDC1A"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857" w:type="pct"/>
            <w:hideMark/>
          </w:tcPr>
          <w:p w14:paraId="3871AB96"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04" w:type="pct"/>
            <w:hideMark/>
          </w:tcPr>
          <w:p w14:paraId="7BD060AC"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r>
      <w:tr w:rsidR="00B335D9" w:rsidRPr="00B335D9" w14:paraId="39AEBF18" w14:textId="77777777" w:rsidTr="00B335D9">
        <w:trPr>
          <w:trHeight w:val="1116"/>
        </w:trPr>
        <w:tc>
          <w:tcPr>
            <w:tcW w:w="443" w:type="pct"/>
            <w:hideMark/>
          </w:tcPr>
          <w:p w14:paraId="6492DCE9" w14:textId="77777777" w:rsidR="00B335D9" w:rsidRPr="00B335D9" w:rsidRDefault="00B335D9" w:rsidP="00B335D9">
            <w:pPr>
              <w:spacing w:line="240" w:lineRule="auto"/>
              <w:jc w:val="righ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5</w:t>
            </w:r>
          </w:p>
        </w:tc>
        <w:tc>
          <w:tcPr>
            <w:tcW w:w="756" w:type="pct"/>
            <w:hideMark/>
          </w:tcPr>
          <w:p w14:paraId="7131C1A4"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Cash: $250,000</w:t>
            </w:r>
          </w:p>
        </w:tc>
        <w:tc>
          <w:tcPr>
            <w:tcW w:w="704" w:type="pct"/>
            <w:hideMark/>
          </w:tcPr>
          <w:p w14:paraId="1CDE991B"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68" w:type="pct"/>
            <w:hideMark/>
          </w:tcPr>
          <w:p w14:paraId="22A46346"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Accounts Payable: $40,000</w:t>
            </w:r>
          </w:p>
        </w:tc>
        <w:tc>
          <w:tcPr>
            <w:tcW w:w="768" w:type="pct"/>
            <w:hideMark/>
          </w:tcPr>
          <w:p w14:paraId="17812C54"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857" w:type="pct"/>
            <w:hideMark/>
          </w:tcPr>
          <w:p w14:paraId="518E5952"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Initial Investment: $200,000</w:t>
            </w:r>
          </w:p>
        </w:tc>
        <w:tc>
          <w:tcPr>
            <w:tcW w:w="704" w:type="pct"/>
            <w:hideMark/>
          </w:tcPr>
          <w:p w14:paraId="5D059194"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r>
      <w:tr w:rsidR="00B335D9" w:rsidRPr="00B335D9" w14:paraId="47641095" w14:textId="77777777" w:rsidTr="00B335D9">
        <w:trPr>
          <w:trHeight w:val="1116"/>
        </w:trPr>
        <w:tc>
          <w:tcPr>
            <w:tcW w:w="443" w:type="pct"/>
            <w:hideMark/>
          </w:tcPr>
          <w:p w14:paraId="7FE5DDDF"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56" w:type="pct"/>
            <w:hideMark/>
          </w:tcPr>
          <w:p w14:paraId="307DB244"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Inventory: $170,000</w:t>
            </w:r>
          </w:p>
        </w:tc>
        <w:tc>
          <w:tcPr>
            <w:tcW w:w="704" w:type="pct"/>
            <w:hideMark/>
          </w:tcPr>
          <w:p w14:paraId="612CB717"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$800,000</w:t>
            </w:r>
          </w:p>
        </w:tc>
        <w:tc>
          <w:tcPr>
            <w:tcW w:w="768" w:type="pct"/>
            <w:hideMark/>
          </w:tcPr>
          <w:p w14:paraId="0B78C5C6"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Short-term Debt: $10,000</w:t>
            </w:r>
          </w:p>
        </w:tc>
        <w:tc>
          <w:tcPr>
            <w:tcW w:w="768" w:type="pct"/>
            <w:hideMark/>
          </w:tcPr>
          <w:p w14:paraId="3347FD4B"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$250,000</w:t>
            </w:r>
          </w:p>
        </w:tc>
        <w:tc>
          <w:tcPr>
            <w:tcW w:w="857" w:type="pct"/>
            <w:hideMark/>
          </w:tcPr>
          <w:p w14:paraId="6BCD0135"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Retained Earnings: $322,000</w:t>
            </w:r>
          </w:p>
        </w:tc>
        <w:tc>
          <w:tcPr>
            <w:tcW w:w="704" w:type="pct"/>
            <w:hideMark/>
          </w:tcPr>
          <w:p w14:paraId="32B43BBA"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$522,000</w:t>
            </w:r>
          </w:p>
        </w:tc>
      </w:tr>
      <w:tr w:rsidR="00B335D9" w:rsidRPr="00B335D9" w14:paraId="563C52C0" w14:textId="77777777" w:rsidTr="00B335D9">
        <w:trPr>
          <w:trHeight w:val="1116"/>
        </w:trPr>
        <w:tc>
          <w:tcPr>
            <w:tcW w:w="443" w:type="pct"/>
            <w:hideMark/>
          </w:tcPr>
          <w:p w14:paraId="64DCFEF1"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56" w:type="pct"/>
            <w:hideMark/>
          </w:tcPr>
          <w:p w14:paraId="0D2D4316"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PP&amp;E (net): $380,000</w:t>
            </w:r>
          </w:p>
        </w:tc>
        <w:tc>
          <w:tcPr>
            <w:tcW w:w="704" w:type="pct"/>
            <w:hideMark/>
          </w:tcPr>
          <w:p w14:paraId="1C736D2C"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68" w:type="pct"/>
            <w:hideMark/>
          </w:tcPr>
          <w:p w14:paraId="13300415"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Long-term Debt: $200,000</w:t>
            </w:r>
          </w:p>
        </w:tc>
        <w:tc>
          <w:tcPr>
            <w:tcW w:w="768" w:type="pct"/>
            <w:hideMark/>
          </w:tcPr>
          <w:p w14:paraId="34195DF7"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857" w:type="pct"/>
            <w:hideMark/>
          </w:tcPr>
          <w:p w14:paraId="4C369962"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c>
          <w:tcPr>
            <w:tcW w:w="704" w:type="pct"/>
            <w:hideMark/>
          </w:tcPr>
          <w:p w14:paraId="65A71778" w14:textId="77777777" w:rsidR="00B335D9" w:rsidRPr="00B335D9" w:rsidRDefault="00B335D9" w:rsidP="00B335D9">
            <w:pPr>
              <w:spacing w:line="240" w:lineRule="auto"/>
              <w:jc w:val="left"/>
              <w:rPr>
                <w:rFonts w:eastAsia="Times New Roman" w:cs="Times New Roman"/>
                <w:color w:val="000000" w:themeColor="text1"/>
                <w:sz w:val="18"/>
                <w:szCs w:val="18"/>
                <w:lang w:eastAsia="en-IN" w:bidi="ar-SA"/>
              </w:rPr>
            </w:pPr>
            <w:r w:rsidRPr="00B335D9">
              <w:rPr>
                <w:rFonts w:eastAsia="Times New Roman" w:cs="Times New Roman"/>
                <w:color w:val="000000" w:themeColor="text1"/>
                <w:sz w:val="18"/>
                <w:szCs w:val="18"/>
                <w:lang w:eastAsia="en-IN" w:bidi="ar-SA"/>
              </w:rPr>
              <w:t> </w:t>
            </w:r>
          </w:p>
        </w:tc>
      </w:tr>
    </w:tbl>
    <w:p w14:paraId="633F68C3" w14:textId="77777777" w:rsidR="00B335D9" w:rsidRDefault="00B335D9" w:rsidP="006B10BE">
      <w:pPr>
        <w:spacing w:before="240"/>
      </w:pPr>
    </w:p>
    <w:p w14:paraId="12A2F8F4" w14:textId="77777777" w:rsidR="006B10BE" w:rsidRDefault="006B10BE" w:rsidP="006B10BE">
      <w:pPr>
        <w:spacing w:before="240"/>
      </w:pPr>
      <w:r>
        <w:t>In order to bolster the confidence of prospective investors and stakeholders in its financial statements, Solar Solutions Co. shall implement the International Financial Reporting Standards (IFRS) and Generally Accepted Accounting Principles (GAAP) to ensure the precision of its financial projections (Financial Accounting Standards Board, 2022).</w:t>
      </w:r>
    </w:p>
    <w:p w14:paraId="113562A3" w14:textId="77777777" w:rsidR="006B10BE" w:rsidRDefault="006B10BE" w:rsidP="006B10BE">
      <w:pPr>
        <w:spacing w:before="240"/>
      </w:pPr>
    </w:p>
    <w:p w14:paraId="4815D152" w14:textId="77777777" w:rsidR="006B10BE" w:rsidRDefault="006B10BE" w:rsidP="006B10BE">
      <w:pPr>
        <w:spacing w:before="240"/>
      </w:pPr>
    </w:p>
    <w:p w14:paraId="080C02EC" w14:textId="77777777" w:rsidR="006B10BE" w:rsidRDefault="006B10BE">
      <w:pPr>
        <w:spacing w:line="259" w:lineRule="auto"/>
        <w:jc w:val="left"/>
      </w:pPr>
      <w:r>
        <w:br w:type="page"/>
      </w:r>
    </w:p>
    <w:p w14:paraId="4FD8B9D3" w14:textId="77777777" w:rsidR="006B10BE" w:rsidRDefault="006B10BE" w:rsidP="006B10BE">
      <w:pPr>
        <w:pStyle w:val="Heading1"/>
      </w:pPr>
      <w:bookmarkStart w:id="14" w:name="_Toc150147565"/>
      <w:r>
        <w:lastRenderedPageBreak/>
        <w:t>Funding Requirements and Sources</w:t>
      </w:r>
      <w:bookmarkEnd w:id="14"/>
    </w:p>
    <w:p w14:paraId="485DC64B" w14:textId="77777777" w:rsidR="006B10BE" w:rsidRDefault="006B10BE" w:rsidP="006B10BE">
      <w:pPr>
        <w:spacing w:before="240"/>
      </w:pPr>
      <w:r>
        <w:t>Solar Solutions Co. must implement a comprehensive funding strategy in order to cover both the initial investment and ongoing operating expenses. The estimated total funding needs comprise commencement expenditures such as office installation, inventory procurement, initial marketing initiatives, and the capital required to maintain operations until the break-even point is achieved.</w:t>
      </w:r>
    </w:p>
    <w:p w14:paraId="508D01A3" w14:textId="77777777" w:rsidR="006B10BE" w:rsidRDefault="006B10BE" w:rsidP="006B10BE">
      <w:pPr>
        <w:spacing w:before="240"/>
      </w:pPr>
      <w:r>
        <w:t>Preliminary estimates place the total funding need for the initial five-year plan at around $2 million. The aforementioned assessment considers the initial investment in solar technology, ongoing operational expenditures, and an allowance for unanticipated cost</w:t>
      </w:r>
      <w:r w:rsidR="00D56CE7">
        <w:t xml:space="preserve">s (Kaplan </w:t>
      </w:r>
      <w:r w:rsidR="00275328">
        <w:t>and</w:t>
      </w:r>
      <w:r w:rsidR="00D56CE7">
        <w:t xml:space="preserve"> Stromberg, 2001</w:t>
      </w:r>
      <w:r>
        <w:t xml:space="preserve">). </w:t>
      </w:r>
      <w:proofErr w:type="gramStart"/>
      <w:r>
        <w:t>In order to</w:t>
      </w:r>
      <w:proofErr w:type="gramEnd"/>
      <w:r>
        <w:t xml:space="preserve"> obtain this financial support, an assortment of equity investors, grants, and loans will be pursued.</w:t>
      </w:r>
    </w:p>
    <w:p w14:paraId="4C84B49D" w14:textId="77777777" w:rsidR="006B10BE" w:rsidRDefault="006B10BE" w:rsidP="006B10BE">
      <w:pPr>
        <w:spacing w:before="240"/>
      </w:pPr>
      <w:r>
        <w:t xml:space="preserve">Grants, particularly those centred on the advancement of renewable energy and emergent market development, offer an appealing source of non-dilutive funding. Grants for initiatives that contribute to the achievement of sustainable development goals are provided by </w:t>
      </w:r>
      <w:proofErr w:type="gramStart"/>
      <w:r>
        <w:t>a number of</w:t>
      </w:r>
      <w:proofErr w:type="gramEnd"/>
      <w:r>
        <w:t xml:space="preserve"> international organisations, including the World Bank and the United Nations Development Programme (UND</w:t>
      </w:r>
      <w:r w:rsidR="001A7F60">
        <w:t>P) (UNDP, 2022; World Bank, 2021</w:t>
      </w:r>
      <w:r>
        <w:t>). Although these grants are extremely competitive, they would establish a strong groundwork for the company without requiring repayment or equity sacrifice.</w:t>
      </w:r>
    </w:p>
    <w:p w14:paraId="1A11C22E" w14:textId="77777777" w:rsidR="006B10BE" w:rsidRDefault="006B10BE" w:rsidP="006B10BE">
      <w:pPr>
        <w:spacing w:before="240"/>
      </w:pPr>
      <w:r>
        <w:t>Particular attention will be paid to the favourable terms and interest rates of loans from financial institutions and development banks, with a specific focus on green energy initiatives in developing nations. The World Bank-supported Green Climate Fund offers loans for these types of initiatives (Green Clim</w:t>
      </w:r>
      <w:r w:rsidR="001A7F60">
        <w:t>ate Fund, 2023</w:t>
      </w:r>
      <w:r>
        <w:t>). As a result of the developmental character of the projects they finance, the terms of these loans are generally more advantageous in comparison to commercial loans.</w:t>
      </w:r>
    </w:p>
    <w:p w14:paraId="36531BB4" w14:textId="77777777" w:rsidR="006B10BE" w:rsidRDefault="006B10BE" w:rsidP="006B10BE">
      <w:pPr>
        <w:spacing w:before="240"/>
      </w:pPr>
      <w:r>
        <w:t>Additionally, approaches will be made to angel and venture capitalists and equity investors who have an interest in sustainable initiatives. Significant investment returns may be obtained from the renewable energy sector due to its potential for rapid exp</w:t>
      </w:r>
      <w:r w:rsidR="00EC0189">
        <w:t xml:space="preserve">ansion (Kaplan </w:t>
      </w:r>
      <w:r w:rsidR="00607F26">
        <w:t>and</w:t>
      </w:r>
      <w:r w:rsidR="00EC0189">
        <w:t xml:space="preserve"> Stromberg, 2001</w:t>
      </w:r>
      <w:r>
        <w:t>). Anxiously attracting investors are the venture's strategic location in Kenya and the burgeoning demand for renewable energy in Sub-Saharan Africa.</w:t>
      </w:r>
    </w:p>
    <w:p w14:paraId="2D5A9CB0" w14:textId="77777777" w:rsidR="006B10BE" w:rsidRDefault="006B10BE" w:rsidP="006B10BE">
      <w:pPr>
        <w:spacing w:before="240"/>
      </w:pPr>
    </w:p>
    <w:p w14:paraId="0839CCAE" w14:textId="77777777" w:rsidR="006B10BE" w:rsidRDefault="006B10BE" w:rsidP="006B10BE">
      <w:pPr>
        <w:pStyle w:val="Heading1"/>
      </w:pPr>
      <w:bookmarkStart w:id="15" w:name="_Toc150147566"/>
      <w:r>
        <w:lastRenderedPageBreak/>
        <w:t>Conclusion</w:t>
      </w:r>
      <w:bookmarkEnd w:id="15"/>
      <w:r>
        <w:t xml:space="preserve"> </w:t>
      </w:r>
    </w:p>
    <w:p w14:paraId="2C6DE04A" w14:textId="77777777" w:rsidR="006B10BE" w:rsidRDefault="006B10BE" w:rsidP="006B10BE">
      <w:pPr>
        <w:spacing w:before="240"/>
      </w:pPr>
      <w:r>
        <w:t>In summary, Solar Solutions Co. offers a comprehensive business strategy designed to capitalise on the ample solar resources in Kenya in order to supply essential energy to off-grid communities. By integrating a strategic combination of superior renewable energy products, customised services, and a profound comprehension of market dynamics, the organisation is poised to effect substantial change. The financial strategy guarantees a robust groundwork for expansion and long-term viability, supported by a combination of grants, loans, and equity investments. Solar Solutions Co. serves as a catalyst for social and environmental progress in addition to being a commercial enterprise, with the potential to contribute to the worldwide shift towards sustainable development and renewable energy.</w:t>
      </w:r>
    </w:p>
    <w:p w14:paraId="0E424FC0" w14:textId="77777777" w:rsidR="0099310D" w:rsidRDefault="0099310D">
      <w:pPr>
        <w:spacing w:line="259" w:lineRule="auto"/>
        <w:jc w:val="left"/>
      </w:pPr>
      <w:r>
        <w:br w:type="page"/>
      </w:r>
    </w:p>
    <w:p w14:paraId="20FA3C90" w14:textId="77777777" w:rsidR="0099310D" w:rsidRDefault="0099310D" w:rsidP="006E7BA0">
      <w:pPr>
        <w:pStyle w:val="Heading1"/>
      </w:pPr>
      <w:bookmarkStart w:id="16" w:name="_Toc150147567"/>
      <w:r>
        <w:lastRenderedPageBreak/>
        <w:t>References</w:t>
      </w:r>
      <w:bookmarkEnd w:id="16"/>
      <w:r>
        <w:t xml:space="preserve"> </w:t>
      </w:r>
    </w:p>
    <w:p w14:paraId="3AF2228D" w14:textId="77777777" w:rsidR="00CA53AD" w:rsidRDefault="00CA53AD" w:rsidP="00CA53AD">
      <w:pPr>
        <w:pStyle w:val="NormalWeb"/>
        <w:spacing w:before="0" w:beforeAutospacing="0" w:after="0" w:afterAutospacing="0" w:line="360" w:lineRule="auto"/>
        <w:jc w:val="both"/>
        <w:rPr>
          <w:color w:val="000000"/>
        </w:rPr>
      </w:pPr>
      <w:proofErr w:type="spellStart"/>
      <w:r w:rsidRPr="00CA53AD">
        <w:rPr>
          <w:color w:val="000000"/>
        </w:rPr>
        <w:t>BloombergNEF</w:t>
      </w:r>
      <w:proofErr w:type="spellEnd"/>
      <w:r w:rsidRPr="00CA53AD">
        <w:rPr>
          <w:color w:val="000000"/>
        </w:rPr>
        <w:t xml:space="preserve"> (2022). </w:t>
      </w:r>
      <w:r w:rsidRPr="00CA53AD">
        <w:rPr>
          <w:i/>
          <w:iCs/>
          <w:color w:val="000000"/>
        </w:rPr>
        <w:t>New Energy Outlook 2018 | Bloomberg NEF</w:t>
      </w:r>
      <w:r w:rsidRPr="00CA53AD">
        <w:rPr>
          <w:color w:val="000000"/>
        </w:rPr>
        <w:t xml:space="preserve">. [online] Bloomberg NEF. Available at: </w:t>
      </w:r>
      <w:hyperlink r:id="rId9" w:history="1">
        <w:r w:rsidRPr="00CA53AD">
          <w:rPr>
            <w:rStyle w:val="Hyperlink"/>
          </w:rPr>
          <w:t>https://about.bnef.com/new-energy-outlook/</w:t>
        </w:r>
      </w:hyperlink>
      <w:r w:rsidRPr="00CA53AD">
        <w:rPr>
          <w:color w:val="000000"/>
        </w:rPr>
        <w:t>.</w:t>
      </w:r>
    </w:p>
    <w:p w14:paraId="76244493" w14:textId="77777777" w:rsidR="00CA53AD" w:rsidRPr="00CA53AD" w:rsidRDefault="00CA53AD" w:rsidP="00CA53AD">
      <w:pPr>
        <w:pStyle w:val="NormalWeb"/>
        <w:spacing w:before="0" w:beforeAutospacing="0" w:after="0" w:afterAutospacing="0" w:line="360" w:lineRule="auto"/>
        <w:jc w:val="both"/>
        <w:rPr>
          <w:color w:val="000000"/>
        </w:rPr>
      </w:pPr>
    </w:p>
    <w:p w14:paraId="6867B4EF"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 xml:space="preserve">Communications Authority of Kenya. (2022). Quarterly Sector Statistics Report. CAK. [online] Ca.go.ke. Available at: </w:t>
      </w:r>
      <w:hyperlink r:id="rId10" w:history="1">
        <w:r w:rsidRPr="00CA53AD">
          <w:rPr>
            <w:rStyle w:val="Hyperlink"/>
          </w:rPr>
          <w:t>https://repository.ca.go.ke/handle/123456789/1113</w:t>
        </w:r>
      </w:hyperlink>
    </w:p>
    <w:p w14:paraId="6D9526A3" w14:textId="77777777" w:rsidR="00CA53AD" w:rsidRPr="00CA53AD" w:rsidRDefault="00CA53AD" w:rsidP="00CA53AD">
      <w:pPr>
        <w:pStyle w:val="NormalWeb"/>
        <w:spacing w:before="0" w:beforeAutospacing="0" w:after="0" w:afterAutospacing="0" w:line="360" w:lineRule="auto"/>
        <w:jc w:val="both"/>
        <w:rPr>
          <w:color w:val="000000"/>
        </w:rPr>
      </w:pPr>
    </w:p>
    <w:p w14:paraId="0DF8380C" w14:textId="77777777" w:rsidR="00CA53AD" w:rsidRDefault="00CA53AD" w:rsidP="00CA53AD">
      <w:pPr>
        <w:pStyle w:val="NormalWeb"/>
        <w:spacing w:before="0" w:beforeAutospacing="0" w:after="0" w:afterAutospacing="0" w:line="360" w:lineRule="auto"/>
        <w:jc w:val="both"/>
        <w:rPr>
          <w:color w:val="222222"/>
          <w:shd w:val="clear" w:color="auto" w:fill="FFFFFF"/>
        </w:rPr>
      </w:pPr>
      <w:r w:rsidRPr="00CA53AD">
        <w:rPr>
          <w:color w:val="222222"/>
          <w:shd w:val="clear" w:color="auto" w:fill="FFFFFF"/>
        </w:rPr>
        <w:t>Drury, C.M., 2013. </w:t>
      </w:r>
      <w:r w:rsidRPr="00CA53AD">
        <w:rPr>
          <w:i/>
          <w:iCs/>
          <w:color w:val="222222"/>
          <w:shd w:val="clear" w:color="auto" w:fill="FFFFFF"/>
        </w:rPr>
        <w:t>Management and cost accounting</w:t>
      </w:r>
      <w:r w:rsidRPr="00CA53AD">
        <w:rPr>
          <w:color w:val="222222"/>
          <w:shd w:val="clear" w:color="auto" w:fill="FFFFFF"/>
        </w:rPr>
        <w:t>. Springer.</w:t>
      </w:r>
    </w:p>
    <w:p w14:paraId="068AEF84" w14:textId="77777777" w:rsidR="00CA53AD" w:rsidRPr="00CA53AD" w:rsidRDefault="00CA53AD" w:rsidP="00CA53AD">
      <w:pPr>
        <w:pStyle w:val="NormalWeb"/>
        <w:spacing w:before="0" w:beforeAutospacing="0" w:after="0" w:afterAutospacing="0" w:line="360" w:lineRule="auto"/>
        <w:jc w:val="both"/>
        <w:rPr>
          <w:color w:val="000000"/>
        </w:rPr>
      </w:pPr>
    </w:p>
    <w:p w14:paraId="1B13558D"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 xml:space="preserve">Energy Sector Management Assistance Program (ESMAP). (2022). Mini Grids for Half a Billion People: Market Outlook and Handbook for Decision Makers. World Bank. [online] Available at: </w:t>
      </w:r>
      <w:hyperlink r:id="rId11" w:history="1">
        <w:r w:rsidRPr="00CA53AD">
          <w:rPr>
            <w:rStyle w:val="Hyperlink"/>
          </w:rPr>
          <w:t>https://openknowledge.worldbank.org/entities/publication/b53273b6-b19a-578e-8949-8dc5c7a3cd79</w:t>
        </w:r>
      </w:hyperlink>
    </w:p>
    <w:p w14:paraId="4FC5B759" w14:textId="77777777" w:rsidR="00CA53AD" w:rsidRPr="00CA53AD" w:rsidRDefault="00CA53AD" w:rsidP="00CA53AD">
      <w:pPr>
        <w:pStyle w:val="NormalWeb"/>
        <w:spacing w:before="0" w:beforeAutospacing="0" w:after="0" w:afterAutospacing="0" w:line="360" w:lineRule="auto"/>
        <w:jc w:val="both"/>
        <w:rPr>
          <w:color w:val="000000"/>
        </w:rPr>
      </w:pPr>
    </w:p>
    <w:p w14:paraId="6F17A2DA"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 xml:space="preserve">Financial Accounting Standards Board. (2022). Available at: </w:t>
      </w:r>
      <w:hyperlink r:id="rId12" w:history="1">
        <w:r w:rsidRPr="00CA53AD">
          <w:rPr>
            <w:rStyle w:val="Hyperlink"/>
          </w:rPr>
          <w:t>https://fasb.org/document/blob?fileName=2022_GAAP_Financial_Reporting_Taxonomy_Release_Notes.pdf</w:t>
        </w:r>
      </w:hyperlink>
      <w:r w:rsidRPr="00CA53AD">
        <w:rPr>
          <w:color w:val="000000"/>
        </w:rPr>
        <w:t>.</w:t>
      </w:r>
    </w:p>
    <w:p w14:paraId="78CF7702" w14:textId="77777777" w:rsidR="00CA53AD" w:rsidRPr="00CA53AD" w:rsidRDefault="00CA53AD" w:rsidP="00CA53AD">
      <w:pPr>
        <w:pStyle w:val="NormalWeb"/>
        <w:spacing w:before="0" w:beforeAutospacing="0" w:after="0" w:afterAutospacing="0" w:line="360" w:lineRule="auto"/>
        <w:jc w:val="both"/>
        <w:rPr>
          <w:color w:val="000000"/>
        </w:rPr>
      </w:pPr>
    </w:p>
    <w:p w14:paraId="4A1584A2"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Green Climate Fund. (2023). </w:t>
      </w:r>
      <w:r w:rsidRPr="00CA53AD">
        <w:rPr>
          <w:i/>
          <w:iCs/>
          <w:color w:val="000000"/>
        </w:rPr>
        <w:t>GCF-1 Progress Report</w:t>
      </w:r>
      <w:r w:rsidRPr="00CA53AD">
        <w:rPr>
          <w:color w:val="000000"/>
        </w:rPr>
        <w:t xml:space="preserve">. [online] Green Climate Fund. Available at: </w:t>
      </w:r>
      <w:hyperlink r:id="rId13" w:history="1">
        <w:r w:rsidRPr="00CA53AD">
          <w:rPr>
            <w:rStyle w:val="Hyperlink"/>
          </w:rPr>
          <w:t>https://www.greenclimate.fund/gcf-1-progress-report</w:t>
        </w:r>
      </w:hyperlink>
      <w:r w:rsidRPr="00CA53AD">
        <w:rPr>
          <w:color w:val="000000"/>
        </w:rPr>
        <w:t>.</w:t>
      </w:r>
    </w:p>
    <w:p w14:paraId="368E0CE6" w14:textId="77777777" w:rsidR="00CA53AD" w:rsidRPr="00CA53AD" w:rsidRDefault="00CA53AD" w:rsidP="00CA53AD">
      <w:pPr>
        <w:pStyle w:val="NormalWeb"/>
        <w:spacing w:before="0" w:beforeAutospacing="0" w:after="0" w:afterAutospacing="0" w:line="360" w:lineRule="auto"/>
        <w:jc w:val="both"/>
        <w:rPr>
          <w:color w:val="000000"/>
        </w:rPr>
      </w:pPr>
    </w:p>
    <w:p w14:paraId="0291A96D" w14:textId="77777777" w:rsidR="00CA53AD" w:rsidRDefault="00CA53AD" w:rsidP="00CA53AD">
      <w:pPr>
        <w:pStyle w:val="NormalWeb"/>
        <w:spacing w:before="0" w:beforeAutospacing="0" w:after="0" w:afterAutospacing="0" w:line="360" w:lineRule="auto"/>
        <w:jc w:val="both"/>
        <w:rPr>
          <w:color w:val="222222"/>
          <w:shd w:val="clear" w:color="auto" w:fill="FFFFFF"/>
        </w:rPr>
      </w:pPr>
      <w:r w:rsidRPr="00CA53AD">
        <w:rPr>
          <w:color w:val="222222"/>
          <w:shd w:val="clear" w:color="auto" w:fill="FFFFFF"/>
        </w:rPr>
        <w:t>Horngren, C.T., Foster, G., Datar, S.M., Rajan, M., Ittner, C. and Baldwin, A.A., 2010. Cost accounting: a managerial emphasis. </w:t>
      </w:r>
      <w:r w:rsidRPr="00CA53AD">
        <w:rPr>
          <w:i/>
          <w:iCs/>
          <w:color w:val="222222"/>
          <w:shd w:val="clear" w:color="auto" w:fill="FFFFFF"/>
        </w:rPr>
        <w:t>Issues in accounting education</w:t>
      </w:r>
      <w:r w:rsidRPr="00CA53AD">
        <w:rPr>
          <w:color w:val="222222"/>
          <w:shd w:val="clear" w:color="auto" w:fill="FFFFFF"/>
        </w:rPr>
        <w:t>, </w:t>
      </w:r>
      <w:r w:rsidRPr="00CA53AD">
        <w:rPr>
          <w:i/>
          <w:iCs/>
          <w:color w:val="222222"/>
          <w:shd w:val="clear" w:color="auto" w:fill="FFFFFF"/>
        </w:rPr>
        <w:t>25</w:t>
      </w:r>
      <w:r w:rsidRPr="00CA53AD">
        <w:rPr>
          <w:color w:val="222222"/>
          <w:shd w:val="clear" w:color="auto" w:fill="FFFFFF"/>
        </w:rPr>
        <w:t>(4), pp.789-790.</w:t>
      </w:r>
    </w:p>
    <w:p w14:paraId="291D7438" w14:textId="77777777" w:rsidR="00CA53AD" w:rsidRPr="00CA53AD" w:rsidRDefault="00CA53AD" w:rsidP="00CA53AD">
      <w:pPr>
        <w:pStyle w:val="NormalWeb"/>
        <w:spacing w:before="0" w:beforeAutospacing="0" w:after="0" w:afterAutospacing="0" w:line="360" w:lineRule="auto"/>
        <w:jc w:val="both"/>
        <w:rPr>
          <w:color w:val="000000"/>
        </w:rPr>
      </w:pPr>
    </w:p>
    <w:p w14:paraId="6A0055F8"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IEA (2022). </w:t>
      </w:r>
      <w:r w:rsidRPr="00CA53AD">
        <w:rPr>
          <w:i/>
          <w:iCs/>
          <w:color w:val="000000"/>
        </w:rPr>
        <w:t>World Energy Outlook 2022 – Analysis - IEA</w:t>
      </w:r>
      <w:r w:rsidRPr="00CA53AD">
        <w:rPr>
          <w:color w:val="000000"/>
        </w:rPr>
        <w:t xml:space="preserve">. [online] IEA. Available at: </w:t>
      </w:r>
      <w:hyperlink r:id="rId14" w:history="1">
        <w:r w:rsidRPr="00CA53AD">
          <w:rPr>
            <w:rStyle w:val="Hyperlink"/>
          </w:rPr>
          <w:t>https://www.iea.org/reports/world-energy-outlook-2022</w:t>
        </w:r>
      </w:hyperlink>
      <w:r w:rsidRPr="00CA53AD">
        <w:rPr>
          <w:color w:val="000000"/>
        </w:rPr>
        <w:t>.</w:t>
      </w:r>
    </w:p>
    <w:p w14:paraId="29EF02D5" w14:textId="77777777" w:rsidR="00CA53AD" w:rsidRPr="00CA53AD" w:rsidRDefault="00CA53AD" w:rsidP="00CA53AD">
      <w:pPr>
        <w:pStyle w:val="NormalWeb"/>
        <w:spacing w:before="0" w:beforeAutospacing="0" w:after="0" w:afterAutospacing="0" w:line="360" w:lineRule="auto"/>
        <w:jc w:val="both"/>
        <w:rPr>
          <w:color w:val="000000"/>
        </w:rPr>
      </w:pPr>
    </w:p>
    <w:p w14:paraId="514C62E5"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IEA. (2022). </w:t>
      </w:r>
      <w:r w:rsidRPr="00CA53AD">
        <w:rPr>
          <w:i/>
          <w:iCs/>
          <w:color w:val="000000"/>
        </w:rPr>
        <w:t>World Energy Investment 2022 – Analysis</w:t>
      </w:r>
      <w:r w:rsidRPr="00CA53AD">
        <w:rPr>
          <w:color w:val="000000"/>
        </w:rPr>
        <w:t xml:space="preserve">. [online] Available at: </w:t>
      </w:r>
      <w:hyperlink r:id="rId15" w:history="1">
        <w:r w:rsidRPr="00CA53AD">
          <w:rPr>
            <w:rStyle w:val="Hyperlink"/>
          </w:rPr>
          <w:t>https://www.iea.org/reports/world-energy-investment-2022</w:t>
        </w:r>
      </w:hyperlink>
      <w:r w:rsidRPr="00CA53AD">
        <w:rPr>
          <w:color w:val="000000"/>
        </w:rPr>
        <w:t>.</w:t>
      </w:r>
    </w:p>
    <w:p w14:paraId="7A7AC9E6" w14:textId="77777777" w:rsidR="00CA53AD" w:rsidRPr="00CA53AD" w:rsidRDefault="00CA53AD" w:rsidP="00CA53AD">
      <w:pPr>
        <w:pStyle w:val="NormalWeb"/>
        <w:spacing w:before="0" w:beforeAutospacing="0" w:after="0" w:afterAutospacing="0" w:line="360" w:lineRule="auto"/>
        <w:jc w:val="both"/>
        <w:rPr>
          <w:color w:val="000000"/>
        </w:rPr>
      </w:pPr>
    </w:p>
    <w:p w14:paraId="53A06D2C"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 xml:space="preserve">International Renewable Energy Agency (IRENA). (2022). Renewable Energy Statistics 2022. IRENA. [online] Available at: </w:t>
      </w:r>
      <w:hyperlink r:id="rId16" w:history="1">
        <w:r w:rsidRPr="00CA53AD">
          <w:rPr>
            <w:rStyle w:val="Hyperlink"/>
          </w:rPr>
          <w:t>https://www.irena.org/publications/2022/Apr/Renewable-Capacity-Statistics-2022</w:t>
        </w:r>
      </w:hyperlink>
    </w:p>
    <w:p w14:paraId="4C890B1F" w14:textId="77777777" w:rsidR="00CA53AD" w:rsidRPr="00CA53AD" w:rsidRDefault="00CA53AD" w:rsidP="00CA53AD">
      <w:pPr>
        <w:pStyle w:val="NormalWeb"/>
        <w:spacing w:before="0" w:beforeAutospacing="0" w:after="0" w:afterAutospacing="0" w:line="360" w:lineRule="auto"/>
        <w:jc w:val="both"/>
        <w:rPr>
          <w:color w:val="000000"/>
        </w:rPr>
      </w:pPr>
    </w:p>
    <w:p w14:paraId="407C91CF" w14:textId="77777777" w:rsidR="00CA53AD" w:rsidRDefault="00CA53AD" w:rsidP="00CA53AD">
      <w:pPr>
        <w:pStyle w:val="NormalWeb"/>
        <w:spacing w:before="0" w:beforeAutospacing="0" w:after="0" w:afterAutospacing="0" w:line="360" w:lineRule="auto"/>
        <w:jc w:val="both"/>
        <w:rPr>
          <w:color w:val="222222"/>
          <w:shd w:val="clear" w:color="auto" w:fill="FFFFFF"/>
        </w:rPr>
      </w:pPr>
      <w:r w:rsidRPr="00CA53AD">
        <w:rPr>
          <w:color w:val="222222"/>
          <w:shd w:val="clear" w:color="auto" w:fill="FFFFFF"/>
        </w:rPr>
        <w:t>Kaplan, S.N. and Strömberg, P., 2001. Venture capitalists as principals: Contracting, screening, and monitoring. </w:t>
      </w:r>
      <w:r w:rsidRPr="00CA53AD">
        <w:rPr>
          <w:i/>
          <w:iCs/>
          <w:color w:val="222222"/>
          <w:shd w:val="clear" w:color="auto" w:fill="FFFFFF"/>
        </w:rPr>
        <w:t>American Economic Review</w:t>
      </w:r>
      <w:r w:rsidRPr="00CA53AD">
        <w:rPr>
          <w:color w:val="222222"/>
          <w:shd w:val="clear" w:color="auto" w:fill="FFFFFF"/>
        </w:rPr>
        <w:t>, </w:t>
      </w:r>
      <w:r w:rsidRPr="00CA53AD">
        <w:rPr>
          <w:i/>
          <w:iCs/>
          <w:color w:val="222222"/>
          <w:shd w:val="clear" w:color="auto" w:fill="FFFFFF"/>
        </w:rPr>
        <w:t>91</w:t>
      </w:r>
      <w:r w:rsidRPr="00CA53AD">
        <w:rPr>
          <w:color w:val="222222"/>
          <w:shd w:val="clear" w:color="auto" w:fill="FFFFFF"/>
        </w:rPr>
        <w:t>(2), pp.426-430.</w:t>
      </w:r>
    </w:p>
    <w:p w14:paraId="05F27B1C" w14:textId="77777777" w:rsidR="00CA53AD" w:rsidRPr="00CA53AD" w:rsidRDefault="00CA53AD" w:rsidP="00CA53AD">
      <w:pPr>
        <w:pStyle w:val="NormalWeb"/>
        <w:spacing w:before="0" w:beforeAutospacing="0" w:after="0" w:afterAutospacing="0" w:line="360" w:lineRule="auto"/>
        <w:jc w:val="both"/>
        <w:rPr>
          <w:color w:val="222222"/>
          <w:shd w:val="clear" w:color="auto" w:fill="FFFFFF"/>
        </w:rPr>
      </w:pPr>
    </w:p>
    <w:p w14:paraId="42698A88"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Kenya Investment Authority. (2022). </w:t>
      </w:r>
      <w:r w:rsidRPr="00CA53AD">
        <w:rPr>
          <w:i/>
          <w:iCs/>
          <w:color w:val="000000"/>
        </w:rPr>
        <w:t>Home</w:t>
      </w:r>
      <w:r w:rsidRPr="00CA53AD">
        <w:rPr>
          <w:color w:val="000000"/>
        </w:rPr>
        <w:t xml:space="preserve">. [online] Available at: </w:t>
      </w:r>
      <w:hyperlink r:id="rId17" w:history="1">
        <w:r w:rsidRPr="00CA53AD">
          <w:rPr>
            <w:rStyle w:val="Hyperlink"/>
          </w:rPr>
          <w:t>https://www.invest.go.ke/</w:t>
        </w:r>
      </w:hyperlink>
      <w:r w:rsidRPr="00CA53AD">
        <w:rPr>
          <w:color w:val="000000"/>
        </w:rPr>
        <w:t>.</w:t>
      </w:r>
    </w:p>
    <w:p w14:paraId="65F4676F" w14:textId="77777777" w:rsidR="00CA53AD" w:rsidRPr="00CA53AD" w:rsidRDefault="00CA53AD" w:rsidP="00CA53AD">
      <w:pPr>
        <w:pStyle w:val="NormalWeb"/>
        <w:spacing w:before="0" w:beforeAutospacing="0" w:after="0" w:afterAutospacing="0" w:line="360" w:lineRule="auto"/>
        <w:jc w:val="both"/>
        <w:rPr>
          <w:color w:val="000000"/>
        </w:rPr>
      </w:pPr>
    </w:p>
    <w:p w14:paraId="6C30F9F8"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Kenyan Ministry of Energy. (2022). </w:t>
      </w:r>
      <w:r w:rsidRPr="00CA53AD">
        <w:rPr>
          <w:i/>
          <w:iCs/>
          <w:color w:val="000000"/>
        </w:rPr>
        <w:t>About Vision 2030 | Kenya Vision 2030</w:t>
      </w:r>
      <w:r w:rsidRPr="00CA53AD">
        <w:rPr>
          <w:color w:val="000000"/>
        </w:rPr>
        <w:t xml:space="preserve">. [online] Available at: </w:t>
      </w:r>
      <w:hyperlink r:id="rId18" w:anchor=":~:text=The%20aim%20of%20Kenya%20Vision" w:history="1">
        <w:r w:rsidRPr="00CA53AD">
          <w:rPr>
            <w:rStyle w:val="Hyperlink"/>
          </w:rPr>
          <w:t>https://vision2030.go.ke/about-vision-2030/#:~:text=The%20aim%20of%20Kenya%20Vision</w:t>
        </w:r>
      </w:hyperlink>
      <w:r w:rsidRPr="00CA53AD">
        <w:rPr>
          <w:color w:val="000000"/>
        </w:rPr>
        <w:t>.</w:t>
      </w:r>
    </w:p>
    <w:p w14:paraId="2DF28778" w14:textId="77777777" w:rsidR="00CA53AD" w:rsidRPr="00CA53AD" w:rsidRDefault="00CA53AD" w:rsidP="00CA53AD">
      <w:pPr>
        <w:pStyle w:val="NormalWeb"/>
        <w:spacing w:before="0" w:beforeAutospacing="0" w:after="0" w:afterAutospacing="0" w:line="360" w:lineRule="auto"/>
        <w:jc w:val="both"/>
        <w:rPr>
          <w:color w:val="000000"/>
        </w:rPr>
      </w:pPr>
    </w:p>
    <w:p w14:paraId="4C43E17B"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Kotler, P., &amp; Keller, K. L. (2021). Marketing Management (16th ed.). Pearson Education.</w:t>
      </w:r>
    </w:p>
    <w:p w14:paraId="632E122F" w14:textId="77777777" w:rsidR="002A72B6" w:rsidRDefault="002A72B6" w:rsidP="00CA53AD">
      <w:pPr>
        <w:pStyle w:val="NormalWeb"/>
        <w:spacing w:before="0" w:beforeAutospacing="0" w:after="0" w:afterAutospacing="0" w:line="360" w:lineRule="auto"/>
        <w:jc w:val="both"/>
        <w:rPr>
          <w:color w:val="000000"/>
        </w:rPr>
      </w:pPr>
    </w:p>
    <w:p w14:paraId="797C817E" w14:textId="77777777" w:rsidR="002A72B6" w:rsidRDefault="002A72B6" w:rsidP="002A72B6">
      <w:pPr>
        <w:pStyle w:val="NormalWeb"/>
        <w:spacing w:before="0" w:beforeAutospacing="0" w:after="0" w:afterAutospacing="0" w:line="360" w:lineRule="auto"/>
        <w:jc w:val="both"/>
        <w:rPr>
          <w:color w:val="000000"/>
          <w:szCs w:val="27"/>
        </w:rPr>
      </w:pPr>
      <w:r w:rsidRPr="002A72B6">
        <w:rPr>
          <w:color w:val="000000"/>
          <w:szCs w:val="27"/>
        </w:rPr>
        <w:t>Oloo, F., Olang, L.O. and Strobl, J. (2015). Spatial Modelling of Solar energy Potential in Kenya. </w:t>
      </w:r>
      <w:r w:rsidRPr="002A72B6">
        <w:rPr>
          <w:i/>
          <w:iCs/>
          <w:color w:val="000000"/>
          <w:szCs w:val="27"/>
        </w:rPr>
        <w:t>DOAJ (DOAJ: Directory of Open Access Journals)</w:t>
      </w:r>
      <w:r w:rsidRPr="002A72B6">
        <w:rPr>
          <w:color w:val="000000"/>
          <w:szCs w:val="27"/>
        </w:rPr>
        <w:t xml:space="preserve">. </w:t>
      </w:r>
      <w:proofErr w:type="spellStart"/>
      <w:r w:rsidRPr="002A72B6">
        <w:rPr>
          <w:color w:val="000000"/>
          <w:szCs w:val="27"/>
        </w:rPr>
        <w:t>doi:https</w:t>
      </w:r>
      <w:proofErr w:type="spellEnd"/>
      <w:r w:rsidRPr="002A72B6">
        <w:rPr>
          <w:color w:val="000000"/>
          <w:szCs w:val="27"/>
        </w:rPr>
        <w:t>://doi.org/10.5278/ijsepm.2015.6.3.</w:t>
      </w:r>
    </w:p>
    <w:p w14:paraId="3880B89C" w14:textId="77777777" w:rsidR="00425BA1" w:rsidRDefault="00425BA1" w:rsidP="002A72B6">
      <w:pPr>
        <w:pStyle w:val="NormalWeb"/>
        <w:spacing w:before="0" w:beforeAutospacing="0" w:after="0" w:afterAutospacing="0" w:line="360" w:lineRule="auto"/>
        <w:jc w:val="both"/>
        <w:rPr>
          <w:color w:val="000000"/>
          <w:szCs w:val="27"/>
        </w:rPr>
      </w:pPr>
    </w:p>
    <w:p w14:paraId="3D36F9A3" w14:textId="77777777" w:rsidR="00425BA1" w:rsidRPr="00425BA1" w:rsidRDefault="00425BA1" w:rsidP="00425BA1">
      <w:pPr>
        <w:pStyle w:val="NormalWeb"/>
        <w:spacing w:before="0" w:beforeAutospacing="0" w:after="0" w:afterAutospacing="0" w:line="360" w:lineRule="atLeast"/>
        <w:jc w:val="both"/>
        <w:rPr>
          <w:color w:val="000000"/>
          <w:szCs w:val="27"/>
        </w:rPr>
      </w:pPr>
      <w:r w:rsidRPr="00425BA1">
        <w:rPr>
          <w:color w:val="000000"/>
          <w:szCs w:val="27"/>
        </w:rPr>
        <w:t>Plumer, B. (2014). </w:t>
      </w:r>
      <w:r w:rsidRPr="00425BA1">
        <w:rPr>
          <w:i/>
          <w:iCs/>
          <w:color w:val="000000"/>
          <w:szCs w:val="27"/>
        </w:rPr>
        <w:t>There are 620 million people in Africa without electricity. Here’s where they live.</w:t>
      </w:r>
      <w:r w:rsidRPr="00425BA1">
        <w:rPr>
          <w:color w:val="000000"/>
          <w:szCs w:val="27"/>
        </w:rPr>
        <w:t xml:space="preserve"> [online] Vox. Available at: </w:t>
      </w:r>
      <w:hyperlink r:id="rId19" w:history="1">
        <w:r w:rsidRPr="00425BA1">
          <w:rPr>
            <w:rStyle w:val="Hyperlink"/>
            <w:szCs w:val="27"/>
          </w:rPr>
          <w:t>https://www.vox.com/2014/10/13/6970513/africa-electricity-620-million-people-map-gas-coal-solar</w:t>
        </w:r>
      </w:hyperlink>
      <w:r w:rsidRPr="00425BA1">
        <w:rPr>
          <w:color w:val="000000"/>
          <w:szCs w:val="27"/>
        </w:rPr>
        <w:t>.</w:t>
      </w:r>
    </w:p>
    <w:p w14:paraId="0113A834" w14:textId="77777777" w:rsidR="00CA53AD" w:rsidRPr="00CA53AD" w:rsidRDefault="00CA53AD" w:rsidP="00CA53AD">
      <w:pPr>
        <w:pStyle w:val="NormalWeb"/>
        <w:spacing w:before="0" w:beforeAutospacing="0" w:after="0" w:afterAutospacing="0" w:line="360" w:lineRule="auto"/>
        <w:jc w:val="both"/>
        <w:rPr>
          <w:color w:val="000000"/>
        </w:rPr>
      </w:pPr>
    </w:p>
    <w:p w14:paraId="6A287907" w14:textId="77777777" w:rsidR="00CA53AD" w:rsidRDefault="00CA53AD" w:rsidP="00CA53AD">
      <w:pPr>
        <w:pStyle w:val="NormalWeb"/>
        <w:spacing w:before="0" w:beforeAutospacing="0" w:after="0" w:afterAutospacing="0" w:line="360" w:lineRule="auto"/>
        <w:jc w:val="both"/>
        <w:rPr>
          <w:color w:val="222222"/>
          <w:shd w:val="clear" w:color="auto" w:fill="FFFFFF"/>
        </w:rPr>
      </w:pPr>
      <w:r w:rsidRPr="00CA53AD">
        <w:rPr>
          <w:color w:val="222222"/>
          <w:shd w:val="clear" w:color="auto" w:fill="FFFFFF"/>
        </w:rPr>
        <w:t>Porter, M.E., 1997. Competitive strategy. </w:t>
      </w:r>
      <w:r w:rsidRPr="00CA53AD">
        <w:rPr>
          <w:i/>
          <w:iCs/>
          <w:color w:val="222222"/>
          <w:shd w:val="clear" w:color="auto" w:fill="FFFFFF"/>
        </w:rPr>
        <w:t>Measuring business excellence</w:t>
      </w:r>
      <w:r w:rsidRPr="00CA53AD">
        <w:rPr>
          <w:color w:val="222222"/>
          <w:shd w:val="clear" w:color="auto" w:fill="FFFFFF"/>
        </w:rPr>
        <w:t>, </w:t>
      </w:r>
      <w:r w:rsidRPr="00CA53AD">
        <w:rPr>
          <w:i/>
          <w:iCs/>
          <w:color w:val="222222"/>
          <w:shd w:val="clear" w:color="auto" w:fill="FFFFFF"/>
        </w:rPr>
        <w:t>1</w:t>
      </w:r>
      <w:r w:rsidRPr="00CA53AD">
        <w:rPr>
          <w:color w:val="222222"/>
          <w:shd w:val="clear" w:color="auto" w:fill="FFFFFF"/>
        </w:rPr>
        <w:t>(2), pp.12-17.</w:t>
      </w:r>
    </w:p>
    <w:p w14:paraId="2DB7ECD8" w14:textId="77777777" w:rsidR="00CA53AD" w:rsidRPr="00CA53AD" w:rsidRDefault="00CA53AD" w:rsidP="00CA53AD">
      <w:pPr>
        <w:pStyle w:val="NormalWeb"/>
        <w:spacing w:before="0" w:beforeAutospacing="0" w:after="0" w:afterAutospacing="0" w:line="360" w:lineRule="auto"/>
        <w:jc w:val="both"/>
        <w:rPr>
          <w:color w:val="000000"/>
        </w:rPr>
      </w:pPr>
    </w:p>
    <w:p w14:paraId="0405DD9C"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REN21 (2022). </w:t>
      </w:r>
      <w:r w:rsidRPr="00CA53AD">
        <w:rPr>
          <w:i/>
          <w:iCs/>
          <w:color w:val="000000"/>
        </w:rPr>
        <w:t>RENEWABLES 2022 GLOBAL STATUS REPORT</w:t>
      </w:r>
      <w:r w:rsidRPr="00CA53AD">
        <w:rPr>
          <w:color w:val="000000"/>
        </w:rPr>
        <w:t xml:space="preserve">. [online] www.ren21.net. Available at: </w:t>
      </w:r>
      <w:hyperlink r:id="rId20" w:history="1">
        <w:r w:rsidRPr="00CA53AD">
          <w:rPr>
            <w:rStyle w:val="Hyperlink"/>
          </w:rPr>
          <w:t>https://www.ren21.net/gsr-2022/</w:t>
        </w:r>
      </w:hyperlink>
      <w:r w:rsidRPr="00CA53AD">
        <w:rPr>
          <w:color w:val="000000"/>
        </w:rPr>
        <w:t>.</w:t>
      </w:r>
    </w:p>
    <w:p w14:paraId="7013538E" w14:textId="77777777" w:rsidR="00CA53AD" w:rsidRPr="00CA53AD" w:rsidRDefault="00CA53AD" w:rsidP="00CA53AD">
      <w:pPr>
        <w:pStyle w:val="NormalWeb"/>
        <w:spacing w:before="0" w:beforeAutospacing="0" w:after="0" w:afterAutospacing="0" w:line="360" w:lineRule="auto"/>
        <w:jc w:val="both"/>
        <w:rPr>
          <w:color w:val="000000"/>
        </w:rPr>
      </w:pPr>
    </w:p>
    <w:p w14:paraId="30795D08"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Schilling, M. A. (2019). Strategic Management of Technological Innovation (6th ed.). McGraw-Hill Education.</w:t>
      </w:r>
    </w:p>
    <w:p w14:paraId="3AF2CBDB" w14:textId="77777777" w:rsidR="00CA53AD" w:rsidRPr="00CA53AD" w:rsidRDefault="00CA53AD" w:rsidP="00CA53AD">
      <w:pPr>
        <w:pStyle w:val="NormalWeb"/>
        <w:spacing w:before="0" w:beforeAutospacing="0" w:after="0" w:afterAutospacing="0" w:line="360" w:lineRule="auto"/>
        <w:jc w:val="both"/>
        <w:rPr>
          <w:color w:val="000000"/>
        </w:rPr>
      </w:pPr>
    </w:p>
    <w:p w14:paraId="0F836322"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SEIA (2023). </w:t>
      </w:r>
      <w:r w:rsidRPr="00CA53AD">
        <w:rPr>
          <w:i/>
          <w:iCs/>
          <w:color w:val="000000"/>
        </w:rPr>
        <w:t>Solar Industry Research Data | SEIA</w:t>
      </w:r>
      <w:r w:rsidRPr="00CA53AD">
        <w:rPr>
          <w:color w:val="000000"/>
        </w:rPr>
        <w:t xml:space="preserve">. [online] SEIA. Available at: </w:t>
      </w:r>
      <w:hyperlink r:id="rId21" w:history="1">
        <w:r w:rsidRPr="00CA53AD">
          <w:rPr>
            <w:rStyle w:val="Hyperlink"/>
          </w:rPr>
          <w:t>https://www.seia.org/solar-industry-research-data</w:t>
        </w:r>
      </w:hyperlink>
      <w:r w:rsidRPr="00CA53AD">
        <w:rPr>
          <w:color w:val="000000"/>
        </w:rPr>
        <w:t>.</w:t>
      </w:r>
    </w:p>
    <w:p w14:paraId="3E7EC946" w14:textId="77777777" w:rsidR="00CA53AD" w:rsidRPr="00CA53AD" w:rsidRDefault="00CA53AD" w:rsidP="00CA53AD">
      <w:pPr>
        <w:pStyle w:val="NormalWeb"/>
        <w:spacing w:before="0" w:beforeAutospacing="0" w:after="0" w:afterAutospacing="0" w:line="360" w:lineRule="auto"/>
        <w:jc w:val="both"/>
        <w:rPr>
          <w:color w:val="000000"/>
        </w:rPr>
      </w:pPr>
    </w:p>
    <w:p w14:paraId="20FC4591"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UNDP. (2022). </w:t>
      </w:r>
      <w:r w:rsidRPr="00CA53AD">
        <w:rPr>
          <w:i/>
          <w:iCs/>
          <w:color w:val="000000"/>
        </w:rPr>
        <w:t>UNDP WACA | Annual Report 2022 | United Nations Development Programme</w:t>
      </w:r>
      <w:r w:rsidRPr="00CA53AD">
        <w:rPr>
          <w:color w:val="000000"/>
        </w:rPr>
        <w:t xml:space="preserve">. [online] Available at: </w:t>
      </w:r>
      <w:r w:rsidRPr="00CA53AD">
        <w:rPr>
          <w:color w:val="000000"/>
        </w:rPr>
        <w:lastRenderedPageBreak/>
        <w:t>pyqBhDmARIsAKd9XIOfp7nwhq96sj8ovwmmiGvB6J8UkRjlWaM79tl0YAkihqeogQcFGXwaAhTpEALw_wcB [Accessed 6 Nov. 2023].</w:t>
      </w:r>
    </w:p>
    <w:p w14:paraId="09059BED" w14:textId="77777777" w:rsidR="00CA53AD" w:rsidRPr="00CA53AD" w:rsidRDefault="00CA53AD" w:rsidP="00CA53AD">
      <w:pPr>
        <w:pStyle w:val="NormalWeb"/>
        <w:spacing w:before="0" w:beforeAutospacing="0" w:after="0" w:afterAutospacing="0" w:line="360" w:lineRule="auto"/>
        <w:jc w:val="both"/>
        <w:rPr>
          <w:color w:val="000000"/>
        </w:rPr>
      </w:pPr>
    </w:p>
    <w:p w14:paraId="373B9B2E" w14:textId="77777777" w:rsidR="00CA53AD" w:rsidRPr="00CA53AD" w:rsidRDefault="00CA53AD" w:rsidP="00CA53AD">
      <w:pPr>
        <w:pStyle w:val="NormalWeb"/>
        <w:spacing w:before="0" w:beforeAutospacing="0" w:after="0" w:afterAutospacing="0" w:line="360" w:lineRule="auto"/>
        <w:jc w:val="both"/>
        <w:rPr>
          <w:color w:val="000000"/>
        </w:rPr>
      </w:pPr>
      <w:r w:rsidRPr="00CA53AD">
        <w:rPr>
          <w:color w:val="000000"/>
        </w:rPr>
        <w:t>United Nations (2022). </w:t>
      </w:r>
      <w:r w:rsidRPr="00CA53AD">
        <w:rPr>
          <w:i/>
          <w:iCs/>
          <w:color w:val="000000"/>
        </w:rPr>
        <w:t>The Sustainable Development Goals Report 2022</w:t>
      </w:r>
      <w:r w:rsidRPr="00CA53AD">
        <w:rPr>
          <w:color w:val="000000"/>
        </w:rPr>
        <w:t xml:space="preserve">. [online] unstats.un.org. Available at: </w:t>
      </w:r>
      <w:hyperlink r:id="rId22" w:history="1">
        <w:r w:rsidRPr="00CA53AD">
          <w:rPr>
            <w:rStyle w:val="Hyperlink"/>
          </w:rPr>
          <w:t>https://unstats.un.org/sdgs/report/2022/</w:t>
        </w:r>
      </w:hyperlink>
      <w:r w:rsidRPr="00CA53AD">
        <w:rPr>
          <w:color w:val="000000"/>
        </w:rPr>
        <w:t>.</w:t>
      </w:r>
    </w:p>
    <w:p w14:paraId="04BD0383"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 xml:space="preserve">United Nations Development Programme (UNDP). (2022). Financing Solutions for Sustainable Development. UNDP. [online] Available at: </w:t>
      </w:r>
      <w:hyperlink r:id="rId23" w:history="1">
        <w:r w:rsidRPr="00CA53AD">
          <w:rPr>
            <w:rStyle w:val="Hyperlink"/>
          </w:rPr>
          <w:t>https://www.undp.org/uzbekistan/projects/financing-sustainable-development</w:t>
        </w:r>
      </w:hyperlink>
    </w:p>
    <w:p w14:paraId="623C7D39" w14:textId="77777777" w:rsidR="00CA53AD" w:rsidRPr="00CA53AD" w:rsidRDefault="00CA53AD" w:rsidP="00CA53AD">
      <w:pPr>
        <w:pStyle w:val="NormalWeb"/>
        <w:spacing w:before="0" w:beforeAutospacing="0" w:after="0" w:afterAutospacing="0" w:line="360" w:lineRule="auto"/>
        <w:jc w:val="both"/>
        <w:rPr>
          <w:color w:val="000000"/>
        </w:rPr>
      </w:pPr>
    </w:p>
    <w:p w14:paraId="459CDC3B"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 xml:space="preserve">United Nations Development Programme (UNDP). (2022). Human Development Report 2022: Uncertain Times, Unsettled Lives: Shaping our Future in a Transforming World. UNDP. [online] Available at: </w:t>
      </w:r>
      <w:hyperlink r:id="rId24" w:history="1">
        <w:r w:rsidRPr="00CA53AD">
          <w:rPr>
            <w:rStyle w:val="Hyperlink"/>
          </w:rPr>
          <w:t>https://www.undp.org/turkiye/publications/2022-human-development-report?gclid=Cj0KCQjw-pyqBhDmARIsAKd9XIOl3XrFpWvfAGKx7WFb_H7OKTDTXgYYZMe0XLswNRku5dx_5OD31uoaApQ4EALw_wcB</w:t>
        </w:r>
      </w:hyperlink>
    </w:p>
    <w:p w14:paraId="2DB9AC2F" w14:textId="77777777" w:rsidR="00CA53AD" w:rsidRPr="00CA53AD" w:rsidRDefault="00CA53AD" w:rsidP="00CA53AD">
      <w:pPr>
        <w:pStyle w:val="NormalWeb"/>
        <w:spacing w:before="0" w:beforeAutospacing="0" w:after="0" w:afterAutospacing="0" w:line="360" w:lineRule="auto"/>
        <w:jc w:val="both"/>
        <w:rPr>
          <w:color w:val="000000"/>
        </w:rPr>
      </w:pPr>
    </w:p>
    <w:p w14:paraId="470F5E5E"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 xml:space="preserve">United Nations Framework Convention on Climate Change. (2023). Climate Action Pathways. Available at: </w:t>
      </w:r>
      <w:hyperlink r:id="rId25" w:anchor=":~:text=The%20Pathways%20incorporate%20insights%20about" w:history="1">
        <w:r w:rsidRPr="00CA53AD">
          <w:rPr>
            <w:rStyle w:val="Hyperlink"/>
          </w:rPr>
          <w:t>https://unfccc.int/climate-action/marrakech-partnership/reporting-and-tracking/climate_action_pathways#:~:text=The%20Pathways%20incorporate%20insights%20about</w:t>
        </w:r>
      </w:hyperlink>
    </w:p>
    <w:p w14:paraId="33A40714" w14:textId="77777777" w:rsidR="00CA53AD" w:rsidRPr="00CA53AD" w:rsidRDefault="00CA53AD" w:rsidP="00CA53AD">
      <w:pPr>
        <w:pStyle w:val="NormalWeb"/>
        <w:spacing w:before="0" w:beforeAutospacing="0" w:after="0" w:afterAutospacing="0" w:line="360" w:lineRule="auto"/>
        <w:jc w:val="both"/>
        <w:rPr>
          <w:color w:val="000000"/>
        </w:rPr>
      </w:pPr>
    </w:p>
    <w:p w14:paraId="36B05652"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World Bank (2021). </w:t>
      </w:r>
      <w:r w:rsidRPr="00CA53AD">
        <w:rPr>
          <w:i/>
          <w:iCs/>
          <w:color w:val="000000"/>
        </w:rPr>
        <w:t>World Development Report 2021</w:t>
      </w:r>
      <w:r w:rsidRPr="00CA53AD">
        <w:rPr>
          <w:color w:val="000000"/>
        </w:rPr>
        <w:t xml:space="preserve">. [online] World Bank. Available at: </w:t>
      </w:r>
      <w:hyperlink r:id="rId26" w:history="1">
        <w:r w:rsidRPr="00CA53AD">
          <w:rPr>
            <w:rStyle w:val="Hyperlink"/>
          </w:rPr>
          <w:t>https://www.worldbank.org/en/publication/wdr2021</w:t>
        </w:r>
      </w:hyperlink>
      <w:r w:rsidRPr="00CA53AD">
        <w:rPr>
          <w:color w:val="000000"/>
        </w:rPr>
        <w:t>.</w:t>
      </w:r>
    </w:p>
    <w:p w14:paraId="25EC4947" w14:textId="77777777" w:rsidR="00CA53AD" w:rsidRPr="00CA53AD" w:rsidRDefault="00CA53AD" w:rsidP="00CA53AD">
      <w:pPr>
        <w:pStyle w:val="NormalWeb"/>
        <w:spacing w:before="0" w:beforeAutospacing="0" w:after="0" w:afterAutospacing="0" w:line="360" w:lineRule="auto"/>
        <w:jc w:val="both"/>
        <w:rPr>
          <w:color w:val="000000"/>
        </w:rPr>
      </w:pPr>
    </w:p>
    <w:p w14:paraId="74C3F930"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World Bank (2022). </w:t>
      </w:r>
      <w:r w:rsidRPr="00CA53AD">
        <w:rPr>
          <w:i/>
          <w:iCs/>
          <w:color w:val="000000"/>
        </w:rPr>
        <w:t>Access to electricity (% of population) | Data</w:t>
      </w:r>
      <w:r w:rsidRPr="00CA53AD">
        <w:rPr>
          <w:color w:val="000000"/>
        </w:rPr>
        <w:t xml:space="preserve">. [online] Worldbank.org. Available at: </w:t>
      </w:r>
      <w:hyperlink r:id="rId27" w:history="1">
        <w:r w:rsidRPr="00CA53AD">
          <w:rPr>
            <w:rStyle w:val="Hyperlink"/>
          </w:rPr>
          <w:t>https://data.worldbank.org/indicator/eg.elc.accs.zs</w:t>
        </w:r>
      </w:hyperlink>
      <w:r w:rsidRPr="00CA53AD">
        <w:rPr>
          <w:color w:val="000000"/>
        </w:rPr>
        <w:t>.</w:t>
      </w:r>
    </w:p>
    <w:p w14:paraId="1D3BA2D2" w14:textId="77777777" w:rsidR="00CA53AD" w:rsidRPr="00CA53AD" w:rsidRDefault="00CA53AD" w:rsidP="00CA53AD">
      <w:pPr>
        <w:pStyle w:val="NormalWeb"/>
        <w:spacing w:before="0" w:beforeAutospacing="0" w:after="0" w:afterAutospacing="0" w:line="360" w:lineRule="auto"/>
        <w:jc w:val="both"/>
        <w:rPr>
          <w:color w:val="000000"/>
        </w:rPr>
      </w:pPr>
    </w:p>
    <w:p w14:paraId="13E219D9"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World Bank. (2022). </w:t>
      </w:r>
      <w:r w:rsidRPr="00CA53AD">
        <w:rPr>
          <w:i/>
          <w:iCs/>
          <w:color w:val="000000"/>
        </w:rPr>
        <w:t>World Development Report 2022</w:t>
      </w:r>
      <w:r w:rsidRPr="00CA53AD">
        <w:rPr>
          <w:color w:val="000000"/>
        </w:rPr>
        <w:t>. [online] </w:t>
      </w:r>
      <w:r w:rsidRPr="00CA53AD">
        <w:rPr>
          <w:i/>
          <w:iCs/>
          <w:color w:val="000000"/>
        </w:rPr>
        <w:t>openknowledge.worldbank.org</w:t>
      </w:r>
      <w:r w:rsidRPr="00CA53AD">
        <w:rPr>
          <w:color w:val="000000"/>
        </w:rPr>
        <w:t xml:space="preserve">. Washington, DC: World Bank. Available at: </w:t>
      </w:r>
      <w:hyperlink r:id="rId28" w:history="1">
        <w:r w:rsidRPr="00CA53AD">
          <w:rPr>
            <w:rStyle w:val="Hyperlink"/>
          </w:rPr>
          <w:t>https://openknowledge.worldbank.org/entities/publication/856e3de3-cff9-5f26-8c64-a7ae95f29fa6</w:t>
        </w:r>
      </w:hyperlink>
      <w:r w:rsidRPr="00CA53AD">
        <w:rPr>
          <w:color w:val="000000"/>
        </w:rPr>
        <w:t>.</w:t>
      </w:r>
    </w:p>
    <w:p w14:paraId="64065F37" w14:textId="77777777" w:rsidR="00CA53AD" w:rsidRPr="00CA53AD" w:rsidRDefault="00CA53AD" w:rsidP="00CA53AD">
      <w:pPr>
        <w:pStyle w:val="NormalWeb"/>
        <w:spacing w:before="0" w:beforeAutospacing="0" w:after="0" w:afterAutospacing="0" w:line="360" w:lineRule="auto"/>
        <w:jc w:val="both"/>
        <w:rPr>
          <w:color w:val="000000"/>
        </w:rPr>
      </w:pPr>
    </w:p>
    <w:p w14:paraId="637FA276" w14:textId="77777777" w:rsidR="00CA53AD" w:rsidRDefault="00CA53AD" w:rsidP="00CA53AD">
      <w:pPr>
        <w:pStyle w:val="NormalWeb"/>
        <w:spacing w:before="0" w:beforeAutospacing="0" w:after="0" w:afterAutospacing="0" w:line="360" w:lineRule="auto"/>
        <w:jc w:val="both"/>
        <w:rPr>
          <w:color w:val="000000"/>
        </w:rPr>
      </w:pPr>
      <w:r w:rsidRPr="00CA53AD">
        <w:rPr>
          <w:color w:val="000000"/>
        </w:rPr>
        <w:t xml:space="preserve">World Economic Forum. (2022). Fostering Effective Energy Transition 2022. Available at: </w:t>
      </w:r>
      <w:hyperlink r:id="rId29" w:history="1">
        <w:r w:rsidRPr="00CA53AD">
          <w:rPr>
            <w:rStyle w:val="Hyperlink"/>
          </w:rPr>
          <w:t>https://www3.weforum.org/docs/WEF_Energy_Transition_Index_2022.pdf</w:t>
        </w:r>
      </w:hyperlink>
      <w:r w:rsidRPr="00CA53AD">
        <w:rPr>
          <w:color w:val="000000"/>
        </w:rPr>
        <w:t>.</w:t>
      </w:r>
    </w:p>
    <w:p w14:paraId="32886EC5" w14:textId="77777777" w:rsidR="00CA53AD" w:rsidRPr="00CA53AD" w:rsidRDefault="00CA53AD" w:rsidP="00CA53AD">
      <w:pPr>
        <w:pStyle w:val="NormalWeb"/>
        <w:spacing w:before="0" w:beforeAutospacing="0" w:after="0" w:afterAutospacing="0" w:line="360" w:lineRule="auto"/>
        <w:jc w:val="both"/>
        <w:rPr>
          <w:color w:val="000000"/>
        </w:rPr>
      </w:pPr>
    </w:p>
    <w:p w14:paraId="370E569B" w14:textId="77777777" w:rsidR="00CA53AD" w:rsidRPr="00CA53AD" w:rsidRDefault="00CA53AD" w:rsidP="00CA53AD">
      <w:pPr>
        <w:pStyle w:val="NormalWeb"/>
        <w:spacing w:before="0" w:beforeAutospacing="0" w:after="0" w:afterAutospacing="0" w:line="360" w:lineRule="auto"/>
        <w:jc w:val="both"/>
        <w:rPr>
          <w:color w:val="000000"/>
        </w:rPr>
      </w:pPr>
      <w:r w:rsidRPr="00CA53AD">
        <w:rPr>
          <w:color w:val="000000"/>
        </w:rPr>
        <w:t>World Energy Council. (2022). </w:t>
      </w:r>
      <w:r w:rsidRPr="00CA53AD">
        <w:rPr>
          <w:i/>
          <w:iCs/>
          <w:color w:val="000000"/>
        </w:rPr>
        <w:t>World Energy Issues Monitor | 2022</w:t>
      </w:r>
      <w:r w:rsidRPr="00CA53AD">
        <w:rPr>
          <w:color w:val="000000"/>
        </w:rPr>
        <w:t xml:space="preserve">. [online] Available at: </w:t>
      </w:r>
      <w:hyperlink r:id="rId30" w:history="1">
        <w:r w:rsidRPr="00CA53AD">
          <w:rPr>
            <w:rStyle w:val="Hyperlink"/>
          </w:rPr>
          <w:t>https://www.worldenergy.org/publications/entry/world-energy-issues-monitor-2022</w:t>
        </w:r>
      </w:hyperlink>
      <w:r w:rsidRPr="00CA53AD">
        <w:rPr>
          <w:color w:val="000000"/>
        </w:rPr>
        <w:t>.</w:t>
      </w:r>
    </w:p>
    <w:p w14:paraId="3C1D4662" w14:textId="77777777" w:rsidR="002810C9" w:rsidRDefault="002810C9" w:rsidP="001A7F60">
      <w:pPr>
        <w:pStyle w:val="NormalWeb"/>
        <w:spacing w:before="0" w:beforeAutospacing="0" w:after="0" w:afterAutospacing="0" w:line="360" w:lineRule="atLeast"/>
        <w:rPr>
          <w:rFonts w:ascii="Calibri" w:hAnsi="Calibri"/>
          <w:color w:val="000000"/>
          <w:sz w:val="27"/>
          <w:szCs w:val="27"/>
        </w:rPr>
      </w:pPr>
    </w:p>
    <w:p w14:paraId="4A2201C8" w14:textId="77777777" w:rsidR="001A7F60" w:rsidRPr="001A7F60" w:rsidRDefault="001A7F60" w:rsidP="001A7F60">
      <w:pPr>
        <w:pStyle w:val="NormalWeb"/>
        <w:spacing w:before="0" w:beforeAutospacing="0" w:after="0" w:afterAutospacing="0" w:line="360" w:lineRule="atLeast"/>
        <w:rPr>
          <w:rFonts w:ascii="Calibri" w:hAnsi="Calibri"/>
          <w:color w:val="000000"/>
          <w:sz w:val="27"/>
          <w:szCs w:val="27"/>
        </w:rPr>
      </w:pPr>
    </w:p>
    <w:sectPr w:rsidR="001A7F60" w:rsidRPr="001A7F60" w:rsidSect="006B10BE">
      <w:footerReference w:type="default" r:id="rId31"/>
      <w:pgSz w:w="11906" w:h="16838"/>
      <w:pgMar w:top="1440" w:right="1440" w:bottom="1440" w:left="1440" w:header="709" w:footer="709"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5C3A77" w14:textId="77777777" w:rsidR="00A81957" w:rsidRDefault="00A81957" w:rsidP="006B10BE">
      <w:pPr>
        <w:spacing w:after="0" w:line="240" w:lineRule="auto"/>
      </w:pPr>
      <w:r>
        <w:separator/>
      </w:r>
    </w:p>
  </w:endnote>
  <w:endnote w:type="continuationSeparator" w:id="0">
    <w:p w14:paraId="78F675F6" w14:textId="77777777" w:rsidR="00A81957" w:rsidRDefault="00A81957" w:rsidP="006B1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4590644"/>
      <w:docPartObj>
        <w:docPartGallery w:val="Page Numbers (Bottom of Page)"/>
        <w:docPartUnique/>
      </w:docPartObj>
    </w:sdtPr>
    <w:sdtEndPr>
      <w:rPr>
        <w:noProof/>
      </w:rPr>
    </w:sdtEndPr>
    <w:sdtContent>
      <w:p w14:paraId="4AAF44C3" w14:textId="77777777" w:rsidR="006B10BE" w:rsidRDefault="006B10BE">
        <w:pPr>
          <w:pStyle w:val="Footer"/>
          <w:jc w:val="center"/>
        </w:pPr>
        <w:r>
          <w:fldChar w:fldCharType="begin"/>
        </w:r>
        <w:r>
          <w:instrText xml:space="preserve"> PAGE   \* MERGEFORMAT </w:instrText>
        </w:r>
        <w:r>
          <w:fldChar w:fldCharType="separate"/>
        </w:r>
        <w:r w:rsidR="00803D3F">
          <w:rPr>
            <w:noProof/>
          </w:rPr>
          <w:t>25</w:t>
        </w:r>
        <w:r>
          <w:rPr>
            <w:noProof/>
          </w:rPr>
          <w:fldChar w:fldCharType="end"/>
        </w:r>
      </w:p>
    </w:sdtContent>
  </w:sdt>
  <w:p w14:paraId="40EDD66A" w14:textId="77777777" w:rsidR="006B10BE" w:rsidRDefault="006B10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E1E4D" w14:textId="77777777" w:rsidR="00A81957" w:rsidRDefault="00A81957" w:rsidP="006B10BE">
      <w:pPr>
        <w:spacing w:after="0" w:line="240" w:lineRule="auto"/>
      </w:pPr>
      <w:r>
        <w:separator/>
      </w:r>
    </w:p>
  </w:footnote>
  <w:footnote w:type="continuationSeparator" w:id="0">
    <w:p w14:paraId="297C0F3A" w14:textId="77777777" w:rsidR="00A81957" w:rsidRDefault="00A81957" w:rsidP="006B10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10BE"/>
    <w:rsid w:val="000F5ADA"/>
    <w:rsid w:val="00143B7E"/>
    <w:rsid w:val="001A7F60"/>
    <w:rsid w:val="00275328"/>
    <w:rsid w:val="002810C9"/>
    <w:rsid w:val="002A5879"/>
    <w:rsid w:val="002A72B6"/>
    <w:rsid w:val="004156A8"/>
    <w:rsid w:val="00425BA1"/>
    <w:rsid w:val="004A18EA"/>
    <w:rsid w:val="0057748E"/>
    <w:rsid w:val="00607F26"/>
    <w:rsid w:val="00650B51"/>
    <w:rsid w:val="006B10BE"/>
    <w:rsid w:val="006E7BA0"/>
    <w:rsid w:val="00780CD9"/>
    <w:rsid w:val="007A7726"/>
    <w:rsid w:val="00803D3F"/>
    <w:rsid w:val="008404EE"/>
    <w:rsid w:val="00885DB0"/>
    <w:rsid w:val="00886D00"/>
    <w:rsid w:val="008D025C"/>
    <w:rsid w:val="0099310D"/>
    <w:rsid w:val="009C7DA4"/>
    <w:rsid w:val="00A11DA1"/>
    <w:rsid w:val="00A46708"/>
    <w:rsid w:val="00A769C9"/>
    <w:rsid w:val="00A81957"/>
    <w:rsid w:val="00AB2059"/>
    <w:rsid w:val="00AF5702"/>
    <w:rsid w:val="00B335D9"/>
    <w:rsid w:val="00B4702C"/>
    <w:rsid w:val="00CA53AD"/>
    <w:rsid w:val="00CE6171"/>
    <w:rsid w:val="00D51ED6"/>
    <w:rsid w:val="00D56CE7"/>
    <w:rsid w:val="00E46D6D"/>
    <w:rsid w:val="00E60557"/>
    <w:rsid w:val="00EA32A7"/>
    <w:rsid w:val="00EC0189"/>
    <w:rsid w:val="00F11E2D"/>
    <w:rsid w:val="00F62304"/>
    <w:rsid w:val="00F95A82"/>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71030"/>
  <w15:chartTrackingRefBased/>
  <w15:docId w15:val="{B049CD83-8E31-4833-A3E4-07907AA19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10B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B10BE"/>
    <w:pPr>
      <w:keepNext/>
      <w:keepLines/>
      <w:spacing w:before="240" w:after="0"/>
      <w:jc w:val="center"/>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6B10BE"/>
    <w:pPr>
      <w:keepNext/>
      <w:keepLines/>
      <w:spacing w:before="40" w:after="0"/>
      <w:outlineLvl w:val="1"/>
    </w:pPr>
    <w:rPr>
      <w:rFonts w:eastAsiaTheme="majorEastAsia" w:cstheme="majorBidi"/>
      <w:b/>
      <w:color w:val="000000" w:themeColor="text1"/>
      <w:sz w:val="28"/>
      <w:szCs w:val="28"/>
    </w:rPr>
  </w:style>
  <w:style w:type="paragraph" w:styleId="Heading3">
    <w:name w:val="heading 3"/>
    <w:basedOn w:val="Normal"/>
    <w:next w:val="Normal"/>
    <w:link w:val="Heading3Char"/>
    <w:uiPriority w:val="9"/>
    <w:semiHidden/>
    <w:unhideWhenUsed/>
    <w:qFormat/>
    <w:rsid w:val="006B10BE"/>
    <w:pPr>
      <w:keepNext/>
      <w:keepLines/>
      <w:spacing w:before="40" w:after="0"/>
      <w:outlineLvl w:val="2"/>
    </w:pPr>
    <w:rPr>
      <w:rFonts w:asciiTheme="majorHAnsi" w:eastAsiaTheme="majorEastAsia" w:hAnsiTheme="majorHAnsi" w:cstheme="majorBidi"/>
      <w:color w:val="1F3864" w:themeColor="accent1" w:themeShade="80"/>
      <w:szCs w:val="24"/>
    </w:rPr>
  </w:style>
  <w:style w:type="paragraph" w:styleId="Heading4">
    <w:name w:val="heading 4"/>
    <w:basedOn w:val="Normal"/>
    <w:next w:val="Normal"/>
    <w:link w:val="Heading4Char"/>
    <w:uiPriority w:val="9"/>
    <w:semiHidden/>
    <w:unhideWhenUsed/>
    <w:qFormat/>
    <w:rsid w:val="006B10B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B10BE"/>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B10BE"/>
    <w:pPr>
      <w:keepNext/>
      <w:keepLines/>
      <w:spacing w:before="40" w:after="0"/>
      <w:outlineLvl w:val="5"/>
    </w:pPr>
    <w:rPr>
      <w:rFonts w:asciiTheme="majorHAnsi" w:eastAsiaTheme="majorEastAsia" w:hAnsiTheme="majorHAnsi" w:cstheme="majorBidi"/>
      <w:color w:val="1F3864" w:themeColor="accent1" w:themeShade="80"/>
    </w:rPr>
  </w:style>
  <w:style w:type="paragraph" w:styleId="Heading7">
    <w:name w:val="heading 7"/>
    <w:basedOn w:val="Normal"/>
    <w:next w:val="Normal"/>
    <w:link w:val="Heading7Char"/>
    <w:uiPriority w:val="9"/>
    <w:semiHidden/>
    <w:unhideWhenUsed/>
    <w:qFormat/>
    <w:rsid w:val="006B10BE"/>
    <w:pPr>
      <w:keepNext/>
      <w:keepLines/>
      <w:spacing w:before="40" w:after="0"/>
      <w:outlineLvl w:val="6"/>
    </w:pPr>
    <w:rPr>
      <w:rFonts w:asciiTheme="majorHAnsi" w:eastAsiaTheme="majorEastAsia" w:hAnsiTheme="majorHAnsi" w:cstheme="majorBidi"/>
      <w:i/>
      <w:iCs/>
      <w:color w:val="1F3864" w:themeColor="accent1" w:themeShade="80"/>
    </w:rPr>
  </w:style>
  <w:style w:type="paragraph" w:styleId="Heading8">
    <w:name w:val="heading 8"/>
    <w:basedOn w:val="Normal"/>
    <w:next w:val="Normal"/>
    <w:link w:val="Heading8Char"/>
    <w:uiPriority w:val="9"/>
    <w:semiHidden/>
    <w:unhideWhenUsed/>
    <w:qFormat/>
    <w:rsid w:val="006B10BE"/>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6B10BE"/>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10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0BE"/>
  </w:style>
  <w:style w:type="paragraph" w:styleId="Footer">
    <w:name w:val="footer"/>
    <w:basedOn w:val="Normal"/>
    <w:link w:val="FooterChar"/>
    <w:uiPriority w:val="99"/>
    <w:unhideWhenUsed/>
    <w:rsid w:val="006B10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0BE"/>
  </w:style>
  <w:style w:type="character" w:customStyle="1" w:styleId="Heading1Char">
    <w:name w:val="Heading 1 Char"/>
    <w:basedOn w:val="DefaultParagraphFont"/>
    <w:link w:val="Heading1"/>
    <w:uiPriority w:val="9"/>
    <w:rsid w:val="006B10BE"/>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6B10BE"/>
    <w:rPr>
      <w:rFonts w:ascii="Times New Roman" w:eastAsiaTheme="majorEastAsia" w:hAnsi="Times New Roman" w:cstheme="majorBidi"/>
      <w:b/>
      <w:color w:val="000000" w:themeColor="text1"/>
      <w:sz w:val="28"/>
      <w:szCs w:val="28"/>
    </w:rPr>
  </w:style>
  <w:style w:type="character" w:customStyle="1" w:styleId="Heading3Char">
    <w:name w:val="Heading 3 Char"/>
    <w:basedOn w:val="DefaultParagraphFont"/>
    <w:link w:val="Heading3"/>
    <w:uiPriority w:val="9"/>
    <w:semiHidden/>
    <w:rsid w:val="006B10BE"/>
    <w:rPr>
      <w:rFonts w:asciiTheme="majorHAnsi" w:eastAsiaTheme="majorEastAsia" w:hAnsiTheme="majorHAnsi" w:cstheme="majorBidi"/>
      <w:color w:val="1F3864" w:themeColor="accent1" w:themeShade="80"/>
      <w:sz w:val="24"/>
      <w:szCs w:val="24"/>
    </w:rPr>
  </w:style>
  <w:style w:type="character" w:customStyle="1" w:styleId="Heading4Char">
    <w:name w:val="Heading 4 Char"/>
    <w:basedOn w:val="DefaultParagraphFont"/>
    <w:link w:val="Heading4"/>
    <w:uiPriority w:val="9"/>
    <w:semiHidden/>
    <w:rsid w:val="006B10B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B10B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B10BE"/>
    <w:rPr>
      <w:rFonts w:asciiTheme="majorHAnsi" w:eastAsiaTheme="majorEastAsia" w:hAnsiTheme="majorHAnsi" w:cstheme="majorBidi"/>
      <w:color w:val="1F3864" w:themeColor="accent1" w:themeShade="80"/>
    </w:rPr>
  </w:style>
  <w:style w:type="character" w:customStyle="1" w:styleId="Heading7Char">
    <w:name w:val="Heading 7 Char"/>
    <w:basedOn w:val="DefaultParagraphFont"/>
    <w:link w:val="Heading7"/>
    <w:uiPriority w:val="9"/>
    <w:semiHidden/>
    <w:rsid w:val="006B10BE"/>
    <w:rPr>
      <w:rFonts w:asciiTheme="majorHAnsi" w:eastAsiaTheme="majorEastAsia" w:hAnsiTheme="majorHAnsi" w:cstheme="majorBidi"/>
      <w:i/>
      <w:iCs/>
      <w:color w:val="1F3864" w:themeColor="accent1" w:themeShade="80"/>
    </w:rPr>
  </w:style>
  <w:style w:type="character" w:customStyle="1" w:styleId="Heading8Char">
    <w:name w:val="Heading 8 Char"/>
    <w:basedOn w:val="DefaultParagraphFont"/>
    <w:link w:val="Heading8"/>
    <w:uiPriority w:val="9"/>
    <w:semiHidden/>
    <w:rsid w:val="006B10BE"/>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6B10BE"/>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unhideWhenUsed/>
    <w:qFormat/>
    <w:rsid w:val="006B10BE"/>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6B10BE"/>
    <w:pPr>
      <w:spacing w:after="0" w:line="240" w:lineRule="auto"/>
      <w:contextualSpacing/>
      <w:jc w:val="center"/>
    </w:pPr>
    <w:rPr>
      <w:rFonts w:eastAsiaTheme="majorEastAsia" w:cstheme="majorBidi"/>
      <w:b/>
      <w:spacing w:val="-10"/>
      <w:sz w:val="44"/>
      <w:szCs w:val="56"/>
    </w:rPr>
  </w:style>
  <w:style w:type="character" w:customStyle="1" w:styleId="TitleChar">
    <w:name w:val="Title Char"/>
    <w:basedOn w:val="DefaultParagraphFont"/>
    <w:link w:val="Title"/>
    <w:uiPriority w:val="10"/>
    <w:rsid w:val="006B10BE"/>
    <w:rPr>
      <w:rFonts w:ascii="Times New Roman" w:eastAsiaTheme="majorEastAsia" w:hAnsi="Times New Roman" w:cstheme="majorBidi"/>
      <w:b/>
      <w:spacing w:val="-10"/>
      <w:sz w:val="44"/>
      <w:szCs w:val="56"/>
    </w:rPr>
  </w:style>
  <w:style w:type="paragraph" w:styleId="Subtitle">
    <w:name w:val="Subtitle"/>
    <w:basedOn w:val="Normal"/>
    <w:next w:val="Normal"/>
    <w:link w:val="SubtitleChar"/>
    <w:uiPriority w:val="11"/>
    <w:qFormat/>
    <w:rsid w:val="006B10BE"/>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6B10BE"/>
    <w:rPr>
      <w:color w:val="5A5A5A" w:themeColor="text1" w:themeTint="A5"/>
      <w:spacing w:val="15"/>
    </w:rPr>
  </w:style>
  <w:style w:type="character" w:styleId="Strong">
    <w:name w:val="Strong"/>
    <w:basedOn w:val="DefaultParagraphFont"/>
    <w:uiPriority w:val="22"/>
    <w:qFormat/>
    <w:rsid w:val="006B10BE"/>
    <w:rPr>
      <w:b/>
      <w:bCs/>
      <w:color w:val="auto"/>
    </w:rPr>
  </w:style>
  <w:style w:type="character" w:styleId="Emphasis">
    <w:name w:val="Emphasis"/>
    <w:basedOn w:val="DefaultParagraphFont"/>
    <w:uiPriority w:val="20"/>
    <w:qFormat/>
    <w:rsid w:val="006B10BE"/>
    <w:rPr>
      <w:i/>
      <w:iCs/>
      <w:color w:val="auto"/>
    </w:rPr>
  </w:style>
  <w:style w:type="paragraph" w:styleId="NoSpacing">
    <w:name w:val="No Spacing"/>
    <w:uiPriority w:val="1"/>
    <w:qFormat/>
    <w:rsid w:val="006B10BE"/>
    <w:pPr>
      <w:spacing w:after="0" w:line="240" w:lineRule="auto"/>
    </w:pPr>
  </w:style>
  <w:style w:type="paragraph" w:styleId="Quote">
    <w:name w:val="Quote"/>
    <w:basedOn w:val="Normal"/>
    <w:next w:val="Normal"/>
    <w:link w:val="QuoteChar"/>
    <w:uiPriority w:val="29"/>
    <w:qFormat/>
    <w:rsid w:val="006B10BE"/>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6B10BE"/>
    <w:rPr>
      <w:i/>
      <w:iCs/>
      <w:color w:val="404040" w:themeColor="text1" w:themeTint="BF"/>
    </w:rPr>
  </w:style>
  <w:style w:type="paragraph" w:styleId="IntenseQuote">
    <w:name w:val="Intense Quote"/>
    <w:basedOn w:val="Normal"/>
    <w:next w:val="Normal"/>
    <w:link w:val="IntenseQuoteChar"/>
    <w:uiPriority w:val="30"/>
    <w:qFormat/>
    <w:rsid w:val="006B10BE"/>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B10BE"/>
    <w:rPr>
      <w:i/>
      <w:iCs/>
      <w:color w:val="4472C4" w:themeColor="accent1"/>
    </w:rPr>
  </w:style>
  <w:style w:type="character" w:styleId="SubtleEmphasis">
    <w:name w:val="Subtle Emphasis"/>
    <w:basedOn w:val="DefaultParagraphFont"/>
    <w:uiPriority w:val="19"/>
    <w:qFormat/>
    <w:rsid w:val="006B10BE"/>
    <w:rPr>
      <w:i/>
      <w:iCs/>
      <w:color w:val="404040" w:themeColor="text1" w:themeTint="BF"/>
    </w:rPr>
  </w:style>
  <w:style w:type="character" w:styleId="IntenseEmphasis">
    <w:name w:val="Intense Emphasis"/>
    <w:basedOn w:val="DefaultParagraphFont"/>
    <w:uiPriority w:val="21"/>
    <w:qFormat/>
    <w:rsid w:val="006B10BE"/>
    <w:rPr>
      <w:i/>
      <w:iCs/>
      <w:color w:val="4472C4" w:themeColor="accent1"/>
    </w:rPr>
  </w:style>
  <w:style w:type="character" w:styleId="SubtleReference">
    <w:name w:val="Subtle Reference"/>
    <w:basedOn w:val="DefaultParagraphFont"/>
    <w:uiPriority w:val="31"/>
    <w:qFormat/>
    <w:rsid w:val="006B10BE"/>
    <w:rPr>
      <w:smallCaps/>
      <w:color w:val="404040" w:themeColor="text1" w:themeTint="BF"/>
    </w:rPr>
  </w:style>
  <w:style w:type="character" w:styleId="IntenseReference">
    <w:name w:val="Intense Reference"/>
    <w:basedOn w:val="DefaultParagraphFont"/>
    <w:uiPriority w:val="32"/>
    <w:qFormat/>
    <w:rsid w:val="006B10BE"/>
    <w:rPr>
      <w:b/>
      <w:bCs/>
      <w:smallCaps/>
      <w:color w:val="4472C4" w:themeColor="accent1"/>
      <w:spacing w:val="5"/>
    </w:rPr>
  </w:style>
  <w:style w:type="character" w:styleId="BookTitle">
    <w:name w:val="Book Title"/>
    <w:basedOn w:val="DefaultParagraphFont"/>
    <w:uiPriority w:val="33"/>
    <w:qFormat/>
    <w:rsid w:val="006B10BE"/>
    <w:rPr>
      <w:b/>
      <w:bCs/>
      <w:i/>
      <w:iCs/>
      <w:spacing w:val="5"/>
    </w:rPr>
  </w:style>
  <w:style w:type="paragraph" w:styleId="TOCHeading">
    <w:name w:val="TOC Heading"/>
    <w:basedOn w:val="Heading1"/>
    <w:next w:val="Normal"/>
    <w:uiPriority w:val="39"/>
    <w:unhideWhenUsed/>
    <w:qFormat/>
    <w:rsid w:val="006B10BE"/>
    <w:pPr>
      <w:outlineLvl w:val="9"/>
    </w:pPr>
  </w:style>
  <w:style w:type="paragraph" w:styleId="NormalWeb">
    <w:name w:val="Normal (Web)"/>
    <w:basedOn w:val="Normal"/>
    <w:uiPriority w:val="99"/>
    <w:unhideWhenUsed/>
    <w:rsid w:val="006E7BA0"/>
    <w:pPr>
      <w:spacing w:before="100" w:beforeAutospacing="1" w:after="100" w:afterAutospacing="1" w:line="240" w:lineRule="auto"/>
      <w:jc w:val="left"/>
    </w:pPr>
    <w:rPr>
      <w:rFonts w:eastAsia="Times New Roman" w:cs="Times New Roman"/>
      <w:szCs w:val="24"/>
      <w:lang w:eastAsia="en-IN" w:bidi="ar-SA"/>
    </w:rPr>
  </w:style>
  <w:style w:type="character" w:styleId="Hyperlink">
    <w:name w:val="Hyperlink"/>
    <w:basedOn w:val="DefaultParagraphFont"/>
    <w:uiPriority w:val="99"/>
    <w:unhideWhenUsed/>
    <w:rsid w:val="006E7BA0"/>
    <w:rPr>
      <w:color w:val="0563C1" w:themeColor="hyperlink"/>
      <w:u w:val="single"/>
    </w:rPr>
  </w:style>
  <w:style w:type="paragraph" w:styleId="TOC1">
    <w:name w:val="toc 1"/>
    <w:basedOn w:val="Normal"/>
    <w:next w:val="Normal"/>
    <w:autoRedefine/>
    <w:uiPriority w:val="39"/>
    <w:unhideWhenUsed/>
    <w:rsid w:val="00885DB0"/>
    <w:pPr>
      <w:spacing w:after="100"/>
    </w:pPr>
  </w:style>
  <w:style w:type="paragraph" w:styleId="TOC2">
    <w:name w:val="toc 2"/>
    <w:basedOn w:val="Normal"/>
    <w:next w:val="Normal"/>
    <w:autoRedefine/>
    <w:uiPriority w:val="39"/>
    <w:unhideWhenUsed/>
    <w:rsid w:val="00885DB0"/>
    <w:pPr>
      <w:spacing w:after="100"/>
      <w:ind w:left="240"/>
    </w:pPr>
  </w:style>
  <w:style w:type="table" w:styleId="PlainTable2">
    <w:name w:val="Plain Table 2"/>
    <w:basedOn w:val="TableNormal"/>
    <w:uiPriority w:val="42"/>
    <w:rsid w:val="00B335D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B335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335D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5949">
      <w:bodyDiv w:val="1"/>
      <w:marLeft w:val="0"/>
      <w:marRight w:val="0"/>
      <w:marTop w:val="0"/>
      <w:marBottom w:val="0"/>
      <w:divBdr>
        <w:top w:val="none" w:sz="0" w:space="0" w:color="auto"/>
        <w:left w:val="none" w:sz="0" w:space="0" w:color="auto"/>
        <w:bottom w:val="none" w:sz="0" w:space="0" w:color="auto"/>
        <w:right w:val="none" w:sz="0" w:space="0" w:color="auto"/>
      </w:divBdr>
    </w:div>
    <w:div w:id="80487158">
      <w:bodyDiv w:val="1"/>
      <w:marLeft w:val="0"/>
      <w:marRight w:val="0"/>
      <w:marTop w:val="0"/>
      <w:marBottom w:val="0"/>
      <w:divBdr>
        <w:top w:val="none" w:sz="0" w:space="0" w:color="auto"/>
        <w:left w:val="none" w:sz="0" w:space="0" w:color="auto"/>
        <w:bottom w:val="none" w:sz="0" w:space="0" w:color="auto"/>
        <w:right w:val="none" w:sz="0" w:space="0" w:color="auto"/>
      </w:divBdr>
    </w:div>
    <w:div w:id="118381184">
      <w:bodyDiv w:val="1"/>
      <w:marLeft w:val="0"/>
      <w:marRight w:val="0"/>
      <w:marTop w:val="0"/>
      <w:marBottom w:val="0"/>
      <w:divBdr>
        <w:top w:val="none" w:sz="0" w:space="0" w:color="auto"/>
        <w:left w:val="none" w:sz="0" w:space="0" w:color="auto"/>
        <w:bottom w:val="none" w:sz="0" w:space="0" w:color="auto"/>
        <w:right w:val="none" w:sz="0" w:space="0" w:color="auto"/>
      </w:divBdr>
    </w:div>
    <w:div w:id="165177042">
      <w:bodyDiv w:val="1"/>
      <w:marLeft w:val="0"/>
      <w:marRight w:val="0"/>
      <w:marTop w:val="0"/>
      <w:marBottom w:val="0"/>
      <w:divBdr>
        <w:top w:val="none" w:sz="0" w:space="0" w:color="auto"/>
        <w:left w:val="none" w:sz="0" w:space="0" w:color="auto"/>
        <w:bottom w:val="none" w:sz="0" w:space="0" w:color="auto"/>
        <w:right w:val="none" w:sz="0" w:space="0" w:color="auto"/>
      </w:divBdr>
    </w:div>
    <w:div w:id="231278992">
      <w:bodyDiv w:val="1"/>
      <w:marLeft w:val="0"/>
      <w:marRight w:val="0"/>
      <w:marTop w:val="0"/>
      <w:marBottom w:val="0"/>
      <w:divBdr>
        <w:top w:val="none" w:sz="0" w:space="0" w:color="auto"/>
        <w:left w:val="none" w:sz="0" w:space="0" w:color="auto"/>
        <w:bottom w:val="none" w:sz="0" w:space="0" w:color="auto"/>
        <w:right w:val="none" w:sz="0" w:space="0" w:color="auto"/>
      </w:divBdr>
    </w:div>
    <w:div w:id="270481151">
      <w:bodyDiv w:val="1"/>
      <w:marLeft w:val="0"/>
      <w:marRight w:val="0"/>
      <w:marTop w:val="0"/>
      <w:marBottom w:val="0"/>
      <w:divBdr>
        <w:top w:val="none" w:sz="0" w:space="0" w:color="auto"/>
        <w:left w:val="none" w:sz="0" w:space="0" w:color="auto"/>
        <w:bottom w:val="none" w:sz="0" w:space="0" w:color="auto"/>
        <w:right w:val="none" w:sz="0" w:space="0" w:color="auto"/>
      </w:divBdr>
    </w:div>
    <w:div w:id="273447053">
      <w:bodyDiv w:val="1"/>
      <w:marLeft w:val="0"/>
      <w:marRight w:val="0"/>
      <w:marTop w:val="0"/>
      <w:marBottom w:val="0"/>
      <w:divBdr>
        <w:top w:val="none" w:sz="0" w:space="0" w:color="auto"/>
        <w:left w:val="none" w:sz="0" w:space="0" w:color="auto"/>
        <w:bottom w:val="none" w:sz="0" w:space="0" w:color="auto"/>
        <w:right w:val="none" w:sz="0" w:space="0" w:color="auto"/>
      </w:divBdr>
    </w:div>
    <w:div w:id="773594867">
      <w:bodyDiv w:val="1"/>
      <w:marLeft w:val="0"/>
      <w:marRight w:val="0"/>
      <w:marTop w:val="0"/>
      <w:marBottom w:val="0"/>
      <w:divBdr>
        <w:top w:val="none" w:sz="0" w:space="0" w:color="auto"/>
        <w:left w:val="none" w:sz="0" w:space="0" w:color="auto"/>
        <w:bottom w:val="none" w:sz="0" w:space="0" w:color="auto"/>
        <w:right w:val="none" w:sz="0" w:space="0" w:color="auto"/>
      </w:divBdr>
    </w:div>
    <w:div w:id="917522233">
      <w:bodyDiv w:val="1"/>
      <w:marLeft w:val="0"/>
      <w:marRight w:val="0"/>
      <w:marTop w:val="0"/>
      <w:marBottom w:val="0"/>
      <w:divBdr>
        <w:top w:val="none" w:sz="0" w:space="0" w:color="auto"/>
        <w:left w:val="none" w:sz="0" w:space="0" w:color="auto"/>
        <w:bottom w:val="none" w:sz="0" w:space="0" w:color="auto"/>
        <w:right w:val="none" w:sz="0" w:space="0" w:color="auto"/>
      </w:divBdr>
    </w:div>
    <w:div w:id="1198198821">
      <w:bodyDiv w:val="1"/>
      <w:marLeft w:val="0"/>
      <w:marRight w:val="0"/>
      <w:marTop w:val="0"/>
      <w:marBottom w:val="0"/>
      <w:divBdr>
        <w:top w:val="none" w:sz="0" w:space="0" w:color="auto"/>
        <w:left w:val="none" w:sz="0" w:space="0" w:color="auto"/>
        <w:bottom w:val="none" w:sz="0" w:space="0" w:color="auto"/>
        <w:right w:val="none" w:sz="0" w:space="0" w:color="auto"/>
      </w:divBdr>
    </w:div>
    <w:div w:id="1206481098">
      <w:bodyDiv w:val="1"/>
      <w:marLeft w:val="0"/>
      <w:marRight w:val="0"/>
      <w:marTop w:val="0"/>
      <w:marBottom w:val="0"/>
      <w:divBdr>
        <w:top w:val="none" w:sz="0" w:space="0" w:color="auto"/>
        <w:left w:val="none" w:sz="0" w:space="0" w:color="auto"/>
        <w:bottom w:val="none" w:sz="0" w:space="0" w:color="auto"/>
        <w:right w:val="none" w:sz="0" w:space="0" w:color="auto"/>
      </w:divBdr>
    </w:div>
    <w:div w:id="1267155794">
      <w:bodyDiv w:val="1"/>
      <w:marLeft w:val="0"/>
      <w:marRight w:val="0"/>
      <w:marTop w:val="0"/>
      <w:marBottom w:val="0"/>
      <w:divBdr>
        <w:top w:val="none" w:sz="0" w:space="0" w:color="auto"/>
        <w:left w:val="none" w:sz="0" w:space="0" w:color="auto"/>
        <w:bottom w:val="none" w:sz="0" w:space="0" w:color="auto"/>
        <w:right w:val="none" w:sz="0" w:space="0" w:color="auto"/>
      </w:divBdr>
    </w:div>
    <w:div w:id="1279944010">
      <w:bodyDiv w:val="1"/>
      <w:marLeft w:val="0"/>
      <w:marRight w:val="0"/>
      <w:marTop w:val="0"/>
      <w:marBottom w:val="0"/>
      <w:divBdr>
        <w:top w:val="none" w:sz="0" w:space="0" w:color="auto"/>
        <w:left w:val="none" w:sz="0" w:space="0" w:color="auto"/>
        <w:bottom w:val="none" w:sz="0" w:space="0" w:color="auto"/>
        <w:right w:val="none" w:sz="0" w:space="0" w:color="auto"/>
      </w:divBdr>
    </w:div>
    <w:div w:id="1409107405">
      <w:bodyDiv w:val="1"/>
      <w:marLeft w:val="0"/>
      <w:marRight w:val="0"/>
      <w:marTop w:val="0"/>
      <w:marBottom w:val="0"/>
      <w:divBdr>
        <w:top w:val="none" w:sz="0" w:space="0" w:color="auto"/>
        <w:left w:val="none" w:sz="0" w:space="0" w:color="auto"/>
        <w:bottom w:val="none" w:sz="0" w:space="0" w:color="auto"/>
        <w:right w:val="none" w:sz="0" w:space="0" w:color="auto"/>
      </w:divBdr>
    </w:div>
    <w:div w:id="1492336077">
      <w:bodyDiv w:val="1"/>
      <w:marLeft w:val="0"/>
      <w:marRight w:val="0"/>
      <w:marTop w:val="0"/>
      <w:marBottom w:val="0"/>
      <w:divBdr>
        <w:top w:val="none" w:sz="0" w:space="0" w:color="auto"/>
        <w:left w:val="none" w:sz="0" w:space="0" w:color="auto"/>
        <w:bottom w:val="none" w:sz="0" w:space="0" w:color="auto"/>
        <w:right w:val="none" w:sz="0" w:space="0" w:color="auto"/>
      </w:divBdr>
    </w:div>
    <w:div w:id="1494561598">
      <w:bodyDiv w:val="1"/>
      <w:marLeft w:val="0"/>
      <w:marRight w:val="0"/>
      <w:marTop w:val="0"/>
      <w:marBottom w:val="0"/>
      <w:divBdr>
        <w:top w:val="none" w:sz="0" w:space="0" w:color="auto"/>
        <w:left w:val="none" w:sz="0" w:space="0" w:color="auto"/>
        <w:bottom w:val="none" w:sz="0" w:space="0" w:color="auto"/>
        <w:right w:val="none" w:sz="0" w:space="0" w:color="auto"/>
      </w:divBdr>
    </w:div>
    <w:div w:id="1589581078">
      <w:bodyDiv w:val="1"/>
      <w:marLeft w:val="0"/>
      <w:marRight w:val="0"/>
      <w:marTop w:val="0"/>
      <w:marBottom w:val="0"/>
      <w:divBdr>
        <w:top w:val="none" w:sz="0" w:space="0" w:color="auto"/>
        <w:left w:val="none" w:sz="0" w:space="0" w:color="auto"/>
        <w:bottom w:val="none" w:sz="0" w:space="0" w:color="auto"/>
        <w:right w:val="none" w:sz="0" w:space="0" w:color="auto"/>
      </w:divBdr>
    </w:div>
    <w:div w:id="1755856972">
      <w:bodyDiv w:val="1"/>
      <w:marLeft w:val="0"/>
      <w:marRight w:val="0"/>
      <w:marTop w:val="0"/>
      <w:marBottom w:val="0"/>
      <w:divBdr>
        <w:top w:val="none" w:sz="0" w:space="0" w:color="auto"/>
        <w:left w:val="none" w:sz="0" w:space="0" w:color="auto"/>
        <w:bottom w:val="none" w:sz="0" w:space="0" w:color="auto"/>
        <w:right w:val="none" w:sz="0" w:space="0" w:color="auto"/>
      </w:divBdr>
    </w:div>
    <w:div w:id="1928608523">
      <w:bodyDiv w:val="1"/>
      <w:marLeft w:val="0"/>
      <w:marRight w:val="0"/>
      <w:marTop w:val="0"/>
      <w:marBottom w:val="0"/>
      <w:divBdr>
        <w:top w:val="none" w:sz="0" w:space="0" w:color="auto"/>
        <w:left w:val="none" w:sz="0" w:space="0" w:color="auto"/>
        <w:bottom w:val="none" w:sz="0" w:space="0" w:color="auto"/>
        <w:right w:val="none" w:sz="0" w:space="0" w:color="auto"/>
      </w:divBdr>
    </w:div>
    <w:div w:id="2045398346">
      <w:bodyDiv w:val="1"/>
      <w:marLeft w:val="0"/>
      <w:marRight w:val="0"/>
      <w:marTop w:val="0"/>
      <w:marBottom w:val="0"/>
      <w:divBdr>
        <w:top w:val="none" w:sz="0" w:space="0" w:color="auto"/>
        <w:left w:val="none" w:sz="0" w:space="0" w:color="auto"/>
        <w:bottom w:val="none" w:sz="0" w:space="0" w:color="auto"/>
        <w:right w:val="none" w:sz="0" w:space="0" w:color="auto"/>
      </w:divBdr>
    </w:div>
    <w:div w:id="2047175987">
      <w:bodyDiv w:val="1"/>
      <w:marLeft w:val="0"/>
      <w:marRight w:val="0"/>
      <w:marTop w:val="0"/>
      <w:marBottom w:val="0"/>
      <w:divBdr>
        <w:top w:val="none" w:sz="0" w:space="0" w:color="auto"/>
        <w:left w:val="none" w:sz="0" w:space="0" w:color="auto"/>
        <w:bottom w:val="none" w:sz="0" w:space="0" w:color="auto"/>
        <w:right w:val="none" w:sz="0" w:space="0" w:color="auto"/>
      </w:divBdr>
    </w:div>
    <w:div w:id="2064870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reenclimate.fund/gcf-1-progress-report" TargetMode="External"/><Relationship Id="rId18" Type="http://schemas.openxmlformats.org/officeDocument/2006/relationships/hyperlink" Target="https://vision2030.go.ke/about-vision-2030/" TargetMode="External"/><Relationship Id="rId26" Type="http://schemas.openxmlformats.org/officeDocument/2006/relationships/hyperlink" Target="https://www.worldbank.org/en/publication/wdr2021" TargetMode="External"/><Relationship Id="rId3" Type="http://schemas.openxmlformats.org/officeDocument/2006/relationships/settings" Target="settings.xml"/><Relationship Id="rId21" Type="http://schemas.openxmlformats.org/officeDocument/2006/relationships/hyperlink" Target="https://www.seia.org/solar-industry-research-data" TargetMode="External"/><Relationship Id="rId7" Type="http://schemas.openxmlformats.org/officeDocument/2006/relationships/image" Target="media/image1.jpeg"/><Relationship Id="rId12" Type="http://schemas.openxmlformats.org/officeDocument/2006/relationships/hyperlink" Target="https://fasb.org/document/blob?fileName=2022_GAAP_Financial_Reporting_Taxonomy_Release_Notes.pdf" TargetMode="External"/><Relationship Id="rId17" Type="http://schemas.openxmlformats.org/officeDocument/2006/relationships/hyperlink" Target="https://www.invest.go.ke/" TargetMode="External"/><Relationship Id="rId25" Type="http://schemas.openxmlformats.org/officeDocument/2006/relationships/hyperlink" Target="https://unfccc.int/climate-action/marrakech-partnership/reporting-and-tracking/climate_action_pathway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rena.org/publications/2022/Apr/Renewable-Capacity-Statistics-2022" TargetMode="External"/><Relationship Id="rId20" Type="http://schemas.openxmlformats.org/officeDocument/2006/relationships/hyperlink" Target="https://www.ren21.net/gsr-2022/" TargetMode="External"/><Relationship Id="rId29" Type="http://schemas.openxmlformats.org/officeDocument/2006/relationships/hyperlink" Target="https://www3.weforum.org/docs/WEF_Energy_Transition_Index_2022.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penknowledge.worldbank.org/entities/publication/b53273b6-b19a-578e-8949-8dc5c7a3cd79" TargetMode="External"/><Relationship Id="rId24" Type="http://schemas.openxmlformats.org/officeDocument/2006/relationships/hyperlink" Target="https://www.undp.org/turkiye/publications/2022-human-development-report?gclid=Cj0KCQjw-pyqBhDmARIsAKd9XIOl3XrFpWvfAGKx7WFb_H7OKTDTXgYYZMe0XLswNRku5dx_5OD31uoaApQ4EALw_wcB"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iea.org/reports/world-energy-investment-2022" TargetMode="External"/><Relationship Id="rId23" Type="http://schemas.openxmlformats.org/officeDocument/2006/relationships/hyperlink" Target="https://www.undp.org/uzbekistan/projects/financing-sustainable-development" TargetMode="External"/><Relationship Id="rId28" Type="http://schemas.openxmlformats.org/officeDocument/2006/relationships/hyperlink" Target="https://openknowledge.worldbank.org/entities/publication/856e3de3-cff9-5f26-8c64-a7ae95f29fa6" TargetMode="External"/><Relationship Id="rId10" Type="http://schemas.openxmlformats.org/officeDocument/2006/relationships/hyperlink" Target="https://repository.ca.go.ke/handle/123456789/1113" TargetMode="External"/><Relationship Id="rId19" Type="http://schemas.openxmlformats.org/officeDocument/2006/relationships/hyperlink" Target="https://www.vox.com/2014/10/13/6970513/africa-electricity-620-million-people-map-gas-coal-solar"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bout.bnef.com/new-energy-outlook/" TargetMode="External"/><Relationship Id="rId14" Type="http://schemas.openxmlformats.org/officeDocument/2006/relationships/hyperlink" Target="https://www.iea.org/reports/world-energy-outlook-2022" TargetMode="External"/><Relationship Id="rId22" Type="http://schemas.openxmlformats.org/officeDocument/2006/relationships/hyperlink" Target="https://unstats.un.org/sdgs/report/2022/" TargetMode="External"/><Relationship Id="rId27" Type="http://schemas.openxmlformats.org/officeDocument/2006/relationships/hyperlink" Target="https://data.worldbank.org/indicator/eg.elc.accs.zs" TargetMode="External"/><Relationship Id="rId30" Type="http://schemas.openxmlformats.org/officeDocument/2006/relationships/hyperlink" Target="https://www.worldenergy.org/publications/entry/world-energy-issues-monitor-2022"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5C2193-D492-409A-8096-9BD487856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25</Pages>
  <Words>5197</Words>
  <Characters>29628</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ASHKER ALI PUTHUKKADAN BASHEER</dc:creator>
  <cp:keywords/>
  <dc:description/>
  <cp:lastModifiedBy>Grandways System</cp:lastModifiedBy>
  <cp:revision>34</cp:revision>
  <dcterms:created xsi:type="dcterms:W3CDTF">2023-11-06T06:32:00Z</dcterms:created>
  <dcterms:modified xsi:type="dcterms:W3CDTF">2023-11-06T11:28:00Z</dcterms:modified>
</cp:coreProperties>
</file>